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Jacobs v. Basil, [2017] B.C.J. No. 1517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 Abrioux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7-10, 14-17 and 20-22,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31,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S50828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Vernon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1517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2017 BCSC 1339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Richard Anthony Jacobs, Plaintiff, and Joshua Alexander Basil, James Dylan McRae Basil, Mark Ndan Klock and Quality Drive Away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After accidents — Causation — Foreseeability and remoteness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Duty of care — Motor vehicles — Motor vehicles — Passengers — Gratuitous passengers — Rules of the road — Action for injuries suffered in two motor vehicle accidents allowed in part — Plaintiff was passenger in James' vehicle involved in roll over — Plaintiff flagged down another vehicle for help and was struck by Klock vehicle — James solely liable for first accident — James and Klock each 25 per cent liable for second accident — Plaintiff 50 per cent liable — In causing first accident, James placed plaintiff in position to obtain assistance from passing vehicles — Klock failed to drive with due care and attention — Plaintiff negligent in crossing highway in front of Klock vehicle.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For personal injuries — Cost of future care — Loss of earning capacity — Non-pecuniary loss — Pain and suffering — Action for injuries suffered in two 2011 motor vehicle accidents allowed in part — Plaintiff suffered minor injuries in first accident and was awarded $5,000 in general damages — Plaintiff suffered significant internal and orthopaedic injuries in second accident and mild traumatic brain injury — Plaintiff, 19 at time of accidents, worked sporadically prior to accidents — He had grade 9 education and extremely limited work experience — General damages assessed at $115,000 — Past loss of earning capacity assessed at $15,000 — Future loss of earning capacity assessed at $115,000 — Cost of future care assessed at $50,000.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personal injuries suffered in two 2011 motor vehicle accidents. The plaintiff, then 19, was a passenger in a vehicle owned by the defendant Joshua. Joshua was not in the vehicle at the time of the accident but refused to admit that his brother James was driving as claimed by the plaintiff. The plaintiff also indicated James had consumed alcohol prior to driving. The vehicle lost left the road and landed in a ditch. The plaintiff and James then went to flag down a vehicle for help. As the defendant Klock's vehicle approached the plaintiff standing near a semi-trailer on the highway, the plaintiff ran across the highway and was struck by the Klock vehicle. The plaintiff suffered minor soft tissue injuries in the first accident. The plaintiff sustained significant internal and orthopaedic injuries as a result of the second accident as well as a mild traumatic brain injury. The second accident left him with chronic pain in his right leg, hip and back. At the time of the accidents, the plaintiff was an aboriginal young man in his late teens and had faced a somewhat troubled and negative upbringing. He worked sporadically prior to the accidents. He had a grade 9 education and extremely limited work experience.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James was solely liable for the first accident by breaching his duty to the plaintiff by failing to keep the vehicle on the highway. James was the driver of the vehicle. Joshua did not give his implied consent to James to drive the vehicle. Both James and Klock were negligent with respect to the second accident. The plaintiff was contributorily negligent. In causing the first accident, James placed the plaintiff in a position where it was foreseeable that the plaintiff would go on the highway to obtain assistance from passing vehicles. Klock failed to drive with due care and attention in the presence of reasonably foreseeable danger. The plaintiff was impaired and was negligent in crossing the highway in front of the approaching Klock vehicle. He failed to take reasonable steps for his own safety. Klock and James were each 25 per cent responsible and the plaintiff 50 responsible for the second accident. The plaintiff was awarded $5,000 in general damages for the first accident and $115,000 in general damages for the second accident. His past loss of earning capacity was assessed at $15,000. The plaintiff established the basis for a very modest award for past loss of earning capacity. The fact he was competitively unemployable at the time of the accident did not mean that, in the intervening six year time frame to trial, a real and substantial possibility to earn an income was lost due to the injuries sustained in the accident. This loss, however, must take into account the plaintiff's pre-accident lifestyle and lack of any real motivation to earn an income. His loss of future earning capacity was assessed at $115,000. The plaintiff's ability to work but for the accident was largely limited to physical activities unless he upgraded his education. His future care costs were assessed at %50,000.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Legislation Cited"/>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12" w:history="1">
        <w:r>
          <w:rPr>
            <w:rFonts w:ascii="arial" w:eastAsia="arial" w:hAnsi="arial" w:cs="arial"/>
            <w:i/>
            <w:color w:val="0077CC"/>
            <w:sz w:val="20"/>
            <w:u w:val="single"/>
            <w:shd w:val="clear" w:color="auto" w:fill="FFFFFF"/>
            <w:lang w:val="en-US" w:eastAsia="en-US" w:bidi="ar-SA"/>
          </w:rPr>
          <w:t>R.S.B.C. 1996 c. 318, s. 86</w:t>
        </w:r>
      </w:hyperlink>
      <w:r>
        <w:rPr>
          <w:rFonts w:ascii="arial" w:eastAsia="arial" w:hAnsi="arial" w:cs="arial"/>
          <w:color w:val="000000"/>
          <w:sz w:val="20"/>
          <w:lang w:val="en-US" w:eastAsia="en-US" w:bidi="ar-SA"/>
        </w:rPr>
        <w:t>, s. 144(1), s. 179, s. 179(2), s. 180, s. 181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 w:name="Counsel"/>
      <w:bookmarkEnd w:id="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7606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M. Yawney, Q.C., A. Martin.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Joshua Basil: L. Pedersen.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Mark Klock and Quality Drive Away Inc.: J. Groenewold, Z. Rogers.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 w:name="Judgment"/>
      <w:bookmarkEnd w:id="5"/>
      <w:r>
        <w:pict>
          <v:line id="_x0000_s1028" style="position:absolute;z-index:2518118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PLAINTIFF'S BACKGROUND PRIOR TO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ACCIDENTS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Circumstances Prior to Accident #1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Liability for Accident #1</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C. Did James Basil Have the Expressed or Implied Consent of Joshua Basil to Operate the Explorer?</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D. Liability for Accident #2 and Determination of Whether Apportionment is Necessary</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Positions</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Framework</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ASSESSMENT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Post-Accident Events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Causation and Findings of Fact re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Cultural Factors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General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Past Loss of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 Loss of Future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 Future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 In Trust Claim for Francis Jacobs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CONCLUSIONS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 w:name="P. ABRIOUX J."/>
            <w:bookmarkEnd w:id="6"/>
            <w:r>
              <w:rPr>
                <w:rFonts w:ascii="arial" w:eastAsia="arial" w:hAnsi="arial" w:cs="arial"/>
                <w:b/>
                <w:color w:val="000000"/>
                <w:sz w:val="30"/>
                <w:lang w:val="en-US" w:eastAsia="en-US" w:bidi="ar-SA"/>
              </w:rPr>
              <w:t>P. ABRIOUX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proceeding arises out of two motor vehicle accidents which occurred on February 26, 2011 near Yahk,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Yahk is a remote unincorporated hamlet located 64 kilometers southwest of Cranbrook, and 41 kilometers southeast of Creston, along Highway #3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February 26, 2011, there was no cellular reception in Yahk.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Since several of the parties and persons involved bear the same surname, I shall, for the most part, refer to them by their first names and intend no disrespect by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early morning hours of February 26, 2011, the plaintiff was a rear passenger in a 1991 Ford Explorer (the "Explorer") owned by the defendant, Joshua Basil ("Joshua"). The plaintiff was wearing a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Explorer was traveling back to Creston from Cranbrook, when it left the Highway near Yahk and rolled over into a snow-covered ditch ("Accident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Joshua is not prepared to admit that his brother, the defendant James Basil ("James"), was the driver of the Explorer at the time of Accident #1. If the court were to find that James was the driver, then Joshua denies that James was in possession of and operating the Explorer with his consent. Joshua was not in the Explorer at the time of Accident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Following Accident #1, the plaintiff, together with one of the other occupants, returned to the Highway on foot in order to seek assistance from passing vehicles. The identity of the person with him is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Mark Klock ("Klock") was driving a 1999 Ford F-350 Super Duty Pick-Up Truck, bearing Indiana licence plate 189658, which was towing a fifth wheel travel trailer (the "Klock Vehicle"). The Klock Vehicle was travelling eastbound on the Highway towards Cranbrook, being en route to Coaldale,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was a pedestrian on the Highway when he was struck by the Klock Vehicle ("Accident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location of both Accidents #1 and #2, which will collectively be referred to as the "Accidents" where appropriate, was approximately 10 miles from the border crossing between Washington State and British Columbia. Accident #2 occurred approximately 15 minutes after Klock crossed the border.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experienced some pain and discomfort to his chest and collarbone as a result of Accident #1. Whether the plaintiff sustained a mild traumatic brain injury in Accident #1 and/or Accident #2 is in issue, as is the extent of that injury. It is not in dispute that the plaintiff sustained significant internal and orthopaedic injuries as a result of Accident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issues which arise include: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was the driver of the Explorer at the time of Accident #1?</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driver was James, had he acquired possession of the Explorer with the express or implied consent of Joshua?</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Klock and/or the driver of the Explorer and/or Joshua (as the owner of the Explorer) and/or the plaintiff liable for Accident #2, and, should apportionment be necessary, to what extent should liability be apportioned as between the parties that the court finds were liable for this accident?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assessment of the plaintiff's damages and an apportionment of those damages between Accidents #1 and #2, should that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PLAINTIFF'S BACKGROUND PRIOR TO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Jacobs was born on April 7, 1991 in Creston, British Columbia, and is a member of the Lower Kootenay Band (the "LKB"). He was 19 years old at the time of the Accidents and was 25 years old at the time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his written submissions, Mr. Jacobs' counsel states that the plaintiff "was an aboriginal young man in his late teens at the time of the accidents and had faced a somewhat troubled and negative upbringing".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 lived with his parents, Paula and Richard Jacobs, until they separated. He has a brother Francis ("Frankie"), who is two years older than him, and who has been employed full time for a number of years by Brightline Holdings Ltd., a manufacturing company located in Vernon, B.C. Frankie has earned between $25,000 and approximately $30,000 over the past several years working as a cashier and making cleaning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parents separated as he was entering preschool. He and his brother then lived on the LKB reserve (the "Reserve") with their maternal grandparents. Their grandfather owned a company that made teepees and various artifacts. He was a highly respected member and leader of the LKB.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Jacobs said that his parents had problems with alcohol abuse. Following the separation, his mother resided with family in Washington State before moving to Vernon, B.C. Mr. Jacobs and his brother would visit her there. She would also come to Creston from time to time to see her children but essentially he and his brother were raised by their grandparents from an early age. Over the years he had little contact with his father, who had also moved to the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Jacobs described what was generally a positive home environment with his grandparents. He stated that he learned much of his culture from his grandfather.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His mother has resided with family in Vernon for many years where she has been regularly employed as a chambermaid. The plaintiff went and lived with her for various periods during his late teens and also after the Accidents. He has been living with her essentially full time since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described a predominantly happy life in his early school years. He did well in sports and had many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the age of 12, the plaintiff started drinking alcohol on a progressively regular basis. This continued to increase during his high school years. He stated he had difficulties with depression. He did not perform well academically at high school and had problems with absenteeism. He also received counselling for his alcohol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Jacobs' difficulties at school increased when he left the LKB elementary school, located on the Reserve, to attend high school in Creston. He stated that he and his friends from the Reserve were subjected to racist behavior from the non-indigenous students and also certain teachers. He said this negatively impacted his desire to do well at school; he did not want to do the work and generally felt angry at the world. As a result there were discipline problems and he was suspended on several occasions, although he could not recall how often this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By grade 9 he would attend school for only part of the day, spending the remaining hours wandering around town, usually on his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Jacobs stated that by the time he was in grade 10, he was having significant academic difficulties. He was taking grade 8 maths for the third time and was feeling very depressed. His grandfather suddenly passed away and the loss was very significant to him, since he looked up to him. Mr. Jacobs also indicated that his grandfather had supported him and believed in him. A year later, his grandmother passed away, which was also very troubling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then decided to move to Vernon to be with his mother. His father had offered him a home in Ohio but Mr. Jacobs considered that he had no real choice but to move to be with his mother. He was 16 years old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stated that he had always been in extremely good physical health growing up. He continued to consume alcohol on a regular basis during his high school years. He also consumed marihuana as part of socializing with his friends. He remained depressed and was not receiving any counselling. He said that he thought he would not be believed if he explained his problems to a counsellor. He had considered suicide and had attempted to do so on two occasions. He also had one close friend who committed suicide when he still lived in Creston and this affected him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Jacobs stated that upon his arrival in Vernon, he received no support for his personal difficulties from his mother. He would spend great portions of the day alone on his computer.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When he was 17, he registered at the Open Education Centre in Vernon hoping to be able to complete his Grade 10. His registration was terminated when he stopped attending.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From an employment perspective, Mr. Jacobs did have some sporadic opportunities prior to the Accidents. He enjoyed working with his hands and being outdoors. He participated in a program for indigenous youth while still living on the Reserve. He also worked sporadically as a dishwasher. He applied for a job at a Tim Hortons in 2011, prior to the Accidents, but was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 year before the Accidents, Mr. Jacobs was in a steady relationship with his girlfriend. He was 19 years old, she was 17. They had a child in February 2010. His girlfriend wanted to keep the baby and he wanted to support her, so the relationship continued. They moved into his girlfriend's mother's apartment. He would assist with taking care of his son but he does not believe that he was looking for work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Jacobs testified that both families were very supportive after his son was born but his alcohol problems continued. He described himself as having very low self-esteem and as feeling "useless" for not being able to provide for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the latter part of 2010, without any warning, Mr. Jacobs' girlfriend moved to Ontario with their child. He was able to talk to her on the telephone but she would not tell him where she was. He found this to be very upsetting. He was in this emotional state when he decided to return to Creston to visit friends in early February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ACCIDENTS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Circumstances Prior to Accident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was one of four persons in the Explorer: Christopher Krisher, Jonathan Basil and James Basil were the other occupants. The four occupants of the Explorer will collectively be referred to as the "Explorer Passengers", and will individually be referred to by their first names.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Both the plaintiff and Jonathan gave evidence that at some time on February 25, 2011, James arrived at the residence of Dallas and Mary Basil which is located on the Reserve. Both agree that James was driving the Explorer when he arrived at the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James proposed driving to Cranbrook to meet friends. The plaintiff, Jonathan and Chris joined him for this 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Both the plaintiff and Jonathan gave evidence that they, along with Chris, drank beer on the trip to Cranbrook.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There is some disagreement in the evidence with respect to whether the Explorer Passengers socialized with friends in a 7-Eleven parking lot, or attended various residences in Cranbrook. They may also have attempted to follow others to a hot springs. In any event, the evidence is clear that they consumed alcohol throughout this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Jonathan observed James with beer while the Explorer Passengers were in Cranbrook.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At some point, the Explorer Passengers headed back home to Creston. The plaintiff, Jonathan and Chris each gave evidence that they were sleeping or passed out for portions of this 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gave evidence that he was "drunk"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the return trip, the Explorer crossed the eastbound lane of traffic, left the Highway and likely rolled over, although the number of times is uncertain. The Explorer came to a stop in a snow-covered ditch near the gas station in Yahk.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plaintiff's evidence was that he "came to" after the Explorer had stopped in the ditch. He also used the expression "woke up" in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Jonathan's evidence was that he "woke up" in the rear cargo/trunk area of the Explorer after the vehicle came to a stop in the ditch. Jonathan claims to have kicked out a window in order to exit the Explorer.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Chris' evidence was that he was very intoxicated and was sleeping on and off on the trip back to Creston. He too woke up after the Explorer had stopped in the ditch.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plaintiff's evidence was that when he woke up, the other three passengers were outside and were attempting to push the Explorer out of the ditch and back onto the Highway. The plaintiff eventually joined in those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Both the plaintiff and Jonathan gave evidence that the Explorer Passengers eventually came to the conclusion they would be unable to get the Explorer back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At some point, the Explorer Passengers decided to attempt to flag down a passing motorist for assistance.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Liability for Accident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James did not appear in the proceeding, nor did he testify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Joshua's position is that there is very little direct evidence on the issue regarding liability for Accident #1. He argues that the evidence of the plaintiff and that of Jonathan and Chris must be viewed with much skepticism. That is because, generally speaking, their memories are poor and alcohol was clearly a factor in the activities of February 25-26, 2011. He says the evidence, at best, is circumstantial and it is unclear as to who was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disagree. While there are some frailties in the evidence on the issue of who was driving the Explorer at the time of Accident #1, I am satisfied that the plaintiff has established that it is more likely than not that James was the driver. That is because the evidence includes: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Jonathan and Chris testified that James picked up the group from Dallas Basil's house on the evening of February 25, 2011. He was driving the Explorer;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other individuals may have been passengers in the Explorer at various points on February 25 and 26, 2011, Jonathan, Chris and the plaintiff stated that only the original 4 (James, Jonathan, Chris and the plaintiff) were in the Explorer when they began the drive home to Creston;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testified that he remembered putting his seat belt on in the Explorer, at some point after leaving Cranbrook. He said that he did this because the Explorer "jerked" and startled him awake. He recalled that James was driving at that time;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Jonathan, Chris, and the plaintiff each testified that they were sleeping or passed out at the time of Accident #1;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James made an admission against interest to his brother Joshua, after Accident #1, telling him that he had "flipped" the Explorer.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There is no evidence that anyone other than James, Jonathan, Chris and the plaintiff were involved in Accident #1 or were in the Explorer at the time of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 have also concluded that the plaintiff has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James. Accident #1 was a single vehicle accident which involved the Explorer leaving its lane of travel, crossing the Highway and rolling over before coming to rest in a snowbank. There is also evidence of alcohol consumption by James prior to Accident #1. This evidence included Jonathan stating that he observed James drinking beer at various times while they were socializing in Cranbrook. The plaintiff, Jonathan and Chris also testified that James purchased either a 24-pack or a 30-pack of beer, which the Explorer Passengers drank while he drove them to Cranbrook. There is also the evidence of Mr. Ken Smith, who interacted with the plaintiff when he was on the Highway, which was to the effect that the person with the plaintiff, who I conclude was James, smelled of alcohol and was 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Accordingly, the plaintiff has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that James breached his duty to the occupants of the Explorer, including the plaintiff, by failing to keep the vehicle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having been established, it is for James or Joshua to rebut that presumption and neither has done so. See </w:t>
      </w:r>
      <w:r>
        <w:rPr>
          <w:rFonts w:ascii="arial" w:eastAsia="arial" w:hAnsi="arial" w:cs="arial"/>
          <w:i/>
          <w:color w:val="000000"/>
          <w:sz w:val="20"/>
          <w:lang w:val="en-US" w:eastAsia="en-US" w:bidi="ar-SA"/>
        </w:rPr>
        <w:t>Fontaine v. B.C. (Official Administrator)</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[1998] 1 S.C.R. 424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McKenzie v. Mills</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2013 BCSC 1505</w:t>
        </w:r>
      </w:hyperlink>
      <w:r>
        <w:rPr>
          <w:rFonts w:ascii="arial" w:eastAsia="arial" w:hAnsi="arial" w:cs="arial"/>
          <w:color w:val="000000"/>
          <w:sz w:val="20"/>
          <w:lang w:val="en-US" w:eastAsia="en-US" w:bidi="ar-SA"/>
        </w:rPr>
        <w:t xml:space="preserve"> at paras. 30-32.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Accordingly I find James 100% liable for Accident #1.</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Did James Basil Have the Expressed or Implied</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Consent of Joshua Basil to Operate the Explorer?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next issue is whether James had Joshua's expressed or implied consent to drive the Explorer at the time of Accident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It is for the plaintiff to establish that James had Joshua's express or implied consent to drive the Explorer: </w:t>
      </w:r>
      <w:r>
        <w:rPr>
          <w:rFonts w:ascii="arial" w:eastAsia="arial" w:hAnsi="arial" w:cs="arial"/>
          <w:i/>
          <w:color w:val="000000"/>
          <w:sz w:val="20"/>
          <w:lang w:val="en-US" w:eastAsia="en-US" w:bidi="ar-SA"/>
        </w:rPr>
        <w:t>Morris v. Morris</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2009 BCSC 1567</w:t>
        </w:r>
      </w:hyperlink>
      <w:r>
        <w:rPr>
          <w:rFonts w:ascii="arial" w:eastAsia="arial" w:hAnsi="arial" w:cs="arial"/>
          <w:color w:val="000000"/>
          <w:sz w:val="20"/>
          <w:lang w:val="en-US" w:eastAsia="en-US" w:bidi="ar-SA"/>
        </w:rPr>
        <w:t>,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If he is able to do so, then Joshua is vicariously liable for James'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pursuant to s. 86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as amended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At the time of Accident #1, Joshua lived at a residence on Mallory Place, which is located on the Reserve.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Joshua was the registered owner of the Explorer although he also owned another vehicle, which he drove for his own use. The address of the registered owner on the Explorer's insurance document, however, was the address of his mother's residence located elsewhere on the Reserve on Simon Road. As a child, Joshua had lived most of the time at his mother's residence on Simon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James habitually lived at his mother's residence, although he had been serving a custodial term of imprisonment until a few months prior to Accident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Johnathan Basil, who is James' and Joshua's cousin, testified that he had seen James driving the Explorer around the Reserve many times prior to Accident #1. Johnathan estimated that he saw James driving the Explorer approximately twice a week. He stated that he never asked James who owned the Explorer nor did James tell him that the vehicle was owned by someone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Chase Louie, who was 20 years old at the time of the trial and 14 years old at the time of Accident #1, also lives on the Reserve. He testified that in 2011 he knew James very well, that they played music together and would "hang around", which included drinking, when he lived on the Reserve. He also lived with James from time to time, but could not recall if this was the case in February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He stated that prior to Accident #1 he had seen James drive the Explorer. He did not know if James had a driver's licence. On many occasions he had been a passenger when James was driving the vehicle and when they had gone to pick up friends and liquor. He said he was a passenger in the Explorer when James was driving in the two months prior to the Accidents. He indicated that he did not know who owned the Explorer but that he had never seen Joshua drive it. He also knew that Joshua had his own vehicle, which was a white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Louie also said that he believed he had seen the Explorer at James and Joshua's mother's home on the Reserve after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Joshua stated that his residence on Mallory Place, where he lived with his wife and daughters, is a 10-15 minute walk from his mother's home. The principal vehicle he drove was a red Dodge Caravan. He used the Explorer from time to time for driving around the Reserve. He had purchased it during the summer of 2010 for $500. The only reason it was insured was that he had to cross the Highway to get to the "flats", being another portion of the Reserve. He said that for the past four to five years he has also owned a white pick-up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He stated he left a set of keys for the Explorer for safekeeping with his mother since he had a habit of locking himself out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Joshua testified that as of February 2011, he did not authorize anyone, including his mother, to drive the Explorer. In particular he did not authorize James to drive that vehicle. He thought James was a "horrible driver", and knew he did not have a valid driver's license as a result of many outstanding fines. He was not aware of his brother driving the Explorer in the six months prior to the Accidents. James had never asked him for permission to drive the Explorer or to be given its keys.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Joshua was aware that James had been incarcerated for just less than a year and was released, he believed, in October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his direct examination Joshua testified that on the day before the Accidents, that is February 25, 2011, he left his home for the day with his wife and daughters. He was driving the red Dodge Caravan. The Explorer was parked in his driveway when he left. They intended to spend the day in Cranbrook and return home that evening. He had car trouble and so they stayed in Cranbrook overnight, returning to Creston the next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According to Joshua's evidence at the trial and excerpts of his examination for discovery, which were read in to the record as part of the plaintiff's case, Joshua first learned of the Accidents upon his return to Creston. The Explorer was not in his driveway where he had left it. He suspected that James may have taken the vehicle. At some point that day he spoke to his mother on the phone. She told him that she had no idea where his vehicle or his brother was. He says he telephoned the Creston RCMP late in the afternoon and was told they would keep an eye out for the Explorer. There is no record in the police files of that call being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He went to his mother's residence the next day. The first person he saw was James, who apologized: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said that "we got in an accident". "I got mad at him and asked them what they did and he said they took a trip to Cranbrook and on the way back he flipped his truck in Yahk...I don't know who was driving. He didn't tell me. He would not tell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Joshua also said that he did not report the accident, being Accident #1, to ICBC at the time. He had minimum insurance coverage and assumed the vehicle would be sold for parts.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and Klock's position is that, at the very least, James had Joshua's implied consent to drive the Explorer. They point to the numerous instances when James was observed driving the vehicle and the fact he had access to the keys left with their mother. They also submit that Joshua's account of what occurred after he became aware of Accident #1 is not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While each case is highly fact specific, the circumstances before me are somewhat similar to those in </w:t>
      </w:r>
      <w:r>
        <w:rPr>
          <w:rFonts w:ascii="arial" w:eastAsia="arial" w:hAnsi="arial" w:cs="arial"/>
          <w:i/>
          <w:color w:val="000000"/>
          <w:sz w:val="20"/>
          <w:lang w:val="en-US" w:eastAsia="en-US" w:bidi="ar-SA"/>
        </w:rPr>
        <w:t>Simon (Guardian ad litem of) v. Portsmith</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2010 BCSC 134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Simon</w:t>
      </w:r>
      <w:r>
        <w:rPr>
          <w:rFonts w:ascii="arial" w:eastAsia="arial" w:hAnsi="arial" w:cs="arial"/>
          <w:color w:val="000000"/>
          <w:sz w:val="20"/>
          <w:lang w:val="en-US" w:eastAsia="en-US" w:bidi="ar-SA"/>
        </w:rPr>
        <w:t>]. There, Justice Joyce found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[79] In my opinion, the plaintiff cannot succeed in establishing expressed consent. There is no evidence, as opposed to mere conjecture, that Ms. Bostock expressly gave her son permission to drive her car on the day in question. In my view, if she was aware of his driving the car on previous occasions, that knowledge does not constitute expressed consent to drive the car on the day of the accident. If consent is to be found, it must be on the basis of implied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Simon</w:t>
      </w:r>
      <w:r>
        <w:rPr>
          <w:rFonts w:ascii="arial" w:eastAsia="arial" w:hAnsi="arial" w:cs="arial"/>
          <w:color w:val="000000"/>
          <w:sz w:val="20"/>
          <w:lang w:val="en-US" w:eastAsia="en-US" w:bidi="ar-SA"/>
        </w:rPr>
        <w:t>, the plaintiff submitted that there was implied consent because Ms. Bostock was willfully blind in not securing the car keys when she knew that the defendant had a propensity to drive illegally, did not follow the rules of the road, drank excessively, had no respect for authority, and that she could not control him. At paragraph 80, the court found, however, that merely providing an opportunity for someone to take a vehicle does not constitute implied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legal framework relating to implied consent was summarized this way in </w:t>
      </w:r>
      <w:r>
        <w:rPr>
          <w:rFonts w:ascii="arial" w:eastAsia="arial" w:hAnsi="arial" w:cs="arial"/>
          <w:i/>
          <w:color w:val="000000"/>
          <w:sz w:val="20"/>
          <w:lang w:val="en-US" w:eastAsia="en-US" w:bidi="ar-SA"/>
        </w:rPr>
        <w:t>Simon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[81] The test for implied consent was set out in </w:t>
      </w:r>
      <w:r>
        <w:rPr>
          <w:rFonts w:ascii="arial" w:eastAsia="arial" w:hAnsi="arial" w:cs="arial"/>
          <w:i/>
          <w:color w:val="000000"/>
          <w:sz w:val="20"/>
          <w:lang w:val="en-US" w:eastAsia="en-US" w:bidi="ar-SA"/>
        </w:rPr>
        <w:t>Palsky (Next friend of) v. Humphrey</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[1964] S.C.R. 580</w:t>
        </w:r>
      </w:hyperlink>
      <w:r>
        <w:rPr>
          <w:rFonts w:ascii="arial" w:eastAsia="arial" w:hAnsi="arial" w:cs="arial"/>
          <w:color w:val="000000"/>
          <w:sz w:val="20"/>
          <w:lang w:val="en-US" w:eastAsia="en-US" w:bidi="ar-SA"/>
        </w:rPr>
        <w:t>, in which the Supreme Court of Canada affirmed the following test stated by Porter J.A. of the Alberta Court of Appeal: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It seems to me that consent can be implied because it is clear that had it been sought it would have been granted as a matter of course.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[82] In </w:t>
      </w:r>
      <w:r>
        <w:rPr>
          <w:rFonts w:ascii="arial" w:eastAsia="arial" w:hAnsi="arial" w:cs="arial"/>
          <w:i/>
          <w:color w:val="000000"/>
          <w:sz w:val="20"/>
          <w:lang w:val="en-US" w:eastAsia="en-US" w:bidi="ar-SA"/>
        </w:rPr>
        <w:t>Godsman v. Peck</w:t>
      </w:r>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[1997] B.C.J. No. 377</w:t>
        </w:r>
      </w:hyperlink>
      <w:r>
        <w:rPr>
          <w:rFonts w:ascii="arial" w:eastAsia="arial" w:hAnsi="arial" w:cs="arial"/>
          <w:color w:val="000000"/>
          <w:sz w:val="20"/>
          <w:lang w:val="en-US" w:eastAsia="en-US" w:bidi="ar-SA"/>
        </w:rPr>
        <w:t xml:space="preserve"> (C.A.) the Court of Appeal concluded that the foregoing remains the applicable test. </w:t>
      </w:r>
      <w:r>
        <w:rPr>
          <w:rFonts w:ascii="arial" w:eastAsia="arial" w:hAnsi="arial" w:cs="arial"/>
          <w:i/>
          <w:color w:val="000000"/>
          <w:sz w:val="20"/>
          <w:lang w:val="en-US" w:eastAsia="en-US" w:bidi="ar-SA"/>
        </w:rPr>
        <w:t>Godsman</w:t>
      </w:r>
      <w:r>
        <w:rPr>
          <w:rFonts w:ascii="arial" w:eastAsia="arial" w:hAnsi="arial" w:cs="arial"/>
          <w:color w:val="000000"/>
          <w:sz w:val="20"/>
          <w:lang w:val="en-US" w:eastAsia="en-US" w:bidi="ar-SA"/>
        </w:rPr>
        <w:t xml:space="preserve"> approved the following analysis of Boyd J. in </w:t>
      </w:r>
      <w:r>
        <w:rPr>
          <w:rFonts w:ascii="arial" w:eastAsia="arial" w:hAnsi="arial" w:cs="arial"/>
          <w:i/>
          <w:color w:val="000000"/>
          <w:sz w:val="20"/>
          <w:lang w:val="en-US" w:eastAsia="en-US" w:bidi="ar-SA"/>
        </w:rPr>
        <w:t>Morrison (Committee of) v. Cormier Vegetation Control Ltd. et al.</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[1996] B.C.J. No. 612</w:t>
        </w:r>
      </w:hyperlink>
      <w:r>
        <w:rPr>
          <w:rFonts w:ascii="arial" w:eastAsia="arial" w:hAnsi="arial" w:cs="arial"/>
          <w:color w:val="000000"/>
          <w:sz w:val="20"/>
          <w:lang w:val="en-US" w:eastAsia="en-US" w:bidi="ar-SA"/>
        </w:rPr>
        <w:t>, at para. 61: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61 The case authorities establish that implied consent will not arise unless it can be said that if permission had been sought, it would have been granted by the owner as a matter of course. The mere possibility that consent would have been granted is not sufficient. In an effort to determine this issue of fact, the court regularly examines all of the circumstances which existed at the time the driver acquired possession of the vehicle including the relationship between the owner and the driver (</w:t>
      </w:r>
      <w:r>
        <w:rPr>
          <w:rFonts w:ascii="arial" w:eastAsia="arial" w:hAnsi="arial" w:cs="arial"/>
          <w:i/>
          <w:color w:val="000000"/>
          <w:sz w:val="20"/>
          <w:lang w:val="en-US" w:eastAsia="en-US" w:bidi="ar-SA"/>
        </w:rPr>
        <w:t>Godsman, Palsky, Usher);</w:t>
      </w:r>
      <w:r>
        <w:rPr>
          <w:rFonts w:ascii="arial" w:eastAsia="arial" w:hAnsi="arial" w:cs="arial"/>
          <w:color w:val="000000"/>
          <w:sz w:val="20"/>
          <w:lang w:val="en-US" w:eastAsia="en-US" w:bidi="ar-SA"/>
        </w:rPr>
        <w:t xml:space="preserve"> the circumstances in which the owner had given or refused consent in the past (</w:t>
      </w:r>
      <w:r>
        <w:rPr>
          <w:rFonts w:ascii="arial" w:eastAsia="arial" w:hAnsi="arial" w:cs="arial"/>
          <w:i/>
          <w:color w:val="000000"/>
          <w:sz w:val="20"/>
          <w:lang w:val="en-US" w:eastAsia="en-US" w:bidi="ar-SA"/>
        </w:rPr>
        <w:t>Godsman, Palsky, Besse</w:t>
      </w:r>
      <w:r>
        <w:rPr>
          <w:rFonts w:ascii="arial" w:eastAsia="arial" w:hAnsi="arial" w:cs="arial"/>
          <w:color w:val="000000"/>
          <w:sz w:val="20"/>
          <w:lang w:val="en-US" w:eastAsia="en-US" w:bidi="ar-SA"/>
        </w:rPr>
        <w:t>); any particular circumstances of the driver or the owner (</w:t>
      </w:r>
      <w:r>
        <w:rPr>
          <w:rFonts w:ascii="arial" w:eastAsia="arial" w:hAnsi="arial" w:cs="arial"/>
          <w:i/>
          <w:color w:val="000000"/>
          <w:sz w:val="20"/>
          <w:lang w:val="en-US" w:eastAsia="en-US" w:bidi="ar-SA"/>
        </w:rPr>
        <w:t>Usher</w:t>
      </w:r>
      <w:r>
        <w:rPr>
          <w:rFonts w:ascii="arial" w:eastAsia="arial" w:hAnsi="arial" w:cs="arial"/>
          <w:color w:val="000000"/>
          <w:sz w:val="20"/>
          <w:lang w:val="en-US" w:eastAsia="en-US" w:bidi="ar-SA"/>
        </w:rPr>
        <w:t>); any relevant and particular characteristics of the vehicle (</w:t>
      </w:r>
      <w:r>
        <w:rPr>
          <w:rFonts w:ascii="arial" w:eastAsia="arial" w:hAnsi="arial" w:cs="arial"/>
          <w:i/>
          <w:color w:val="000000"/>
          <w:sz w:val="20"/>
          <w:lang w:val="en-US" w:eastAsia="en-US" w:bidi="ar-SA"/>
        </w:rPr>
        <w:t>Palsky, Jaroszuk v. Quewezance</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(1992) 66 B.C.L.R. (2d) 171</w:t>
        </w:r>
      </w:hyperlink>
      <w:r>
        <w:rPr>
          <w:rFonts w:ascii="arial" w:eastAsia="arial" w:hAnsi="arial" w:cs="arial"/>
          <w:color w:val="000000"/>
          <w:sz w:val="20"/>
          <w:lang w:val="en-US" w:eastAsia="en-US" w:bidi="ar-SA"/>
        </w:rPr>
        <w:t xml:space="preserve"> (B.C.C.A.)); and the use to which the driver proposed to put the vehicle (</w:t>
      </w:r>
      <w:r>
        <w:rPr>
          <w:rFonts w:ascii="arial" w:eastAsia="arial" w:hAnsi="arial" w:cs="arial"/>
          <w:i/>
          <w:color w:val="000000"/>
          <w:sz w:val="20"/>
          <w:lang w:val="en-US" w:eastAsia="en-US" w:bidi="ar-SA"/>
        </w:rPr>
        <w:t>Palsky, Usher</w:t>
      </w:r>
      <w:r>
        <w:rPr>
          <w:rFonts w:ascii="arial" w:eastAsia="arial" w:hAnsi="arial" w:cs="arial"/>
          <w:color w:val="000000"/>
          <w:sz w:val="20"/>
          <w:lang w:val="en-US" w:eastAsia="en-US" w:bidi="ar-SA"/>
        </w:rPr>
        <w:t>). All of these matters are examined by the court, the relevant time being the time possession of the vehicle was acquired.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While the implied consent test is sometimes described by the courts as an objective test, it necessarily imports a subjective element into that determination. Put another way, would this particular owner, in all of the circumstances, have consented to the driver acquiring possession of the vehicle as a matter of course? If the answer to that question is "yes", then the driver has proven that he or she drove the vehicle with the owner's implied consent.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[83] </w:t>
      </w:r>
      <w:r>
        <w:rPr>
          <w:rFonts w:ascii="arial" w:eastAsia="arial" w:hAnsi="arial" w:cs="arial"/>
          <w:i/>
          <w:color w:val="000000"/>
          <w:sz w:val="20"/>
          <w:lang w:val="en-US" w:eastAsia="en-US" w:bidi="ar-SA"/>
        </w:rPr>
        <w:t>Morrison</w:t>
      </w:r>
      <w:r>
        <w:rPr>
          <w:rFonts w:ascii="arial" w:eastAsia="arial" w:hAnsi="arial" w:cs="arial"/>
          <w:color w:val="000000"/>
          <w:sz w:val="20"/>
          <w:lang w:val="en-US" w:eastAsia="en-US" w:bidi="ar-SA"/>
        </w:rPr>
        <w:t xml:space="preserve"> was reversed on appeal on the basis of express consent (</w:t>
      </w:r>
      <w:r>
        <w:rPr>
          <w:rFonts w:ascii="arial" w:eastAsia="arial" w:hAnsi="arial" w:cs="arial"/>
          <w:i/>
          <w:color w:val="000000"/>
          <w:sz w:val="20"/>
          <w:lang w:val="en-US" w:eastAsia="en-US" w:bidi="ar-SA"/>
        </w:rPr>
        <w:t>Morrison v. Cormier Vegetation Control Ltd.</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[1996] B.C.J. No. 2601</w:t>
        </w:r>
      </w:hyperlink>
      <w:r>
        <w:rPr>
          <w:rFonts w:ascii="arial" w:eastAsia="arial" w:hAnsi="arial" w:cs="arial"/>
          <w:color w:val="000000"/>
          <w:sz w:val="20"/>
          <w:lang w:val="en-US" w:eastAsia="en-US" w:bidi="ar-SA"/>
        </w:rPr>
        <w:t>) but the court did not discuss the issue of implied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When I apply these principles to the circumstances of this case I conclude that the plaintiff has not established that Joshua gave his implied consent to James to drive the Explorer.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There is some evidence which could lead to the conclusion that Joshua gave implied consent to James, such as: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times James was observed to drive the vehicle;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Basil having a set of keys at her residence;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James telling his brother "he flipped his truck in Yahk";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Joshua having not directly confronted his brother regarding the issue of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There is also evidence which supports the conclusion that Joshua did not provide implied consent to James. This includes: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Joshua's evidence regarding his knowledge of his brother's driving record and that he did not have a driver's license;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the brothers did not appear to have a good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am also not satisfied that James' statement to Joshua regarding "flipping his truck" and that the presence of large subwoofers, which was indicated by Mr. Louie in his evidence, necessarily means, as is suggested by the plaintiff, that the Explorer was de facto James' vehicle and not Joshua's.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Accordingly, on consideration of all the evidence on this issue, I am not persuaded that the plaintiff has established that, had James asked Joshua if he could drive the Explorer, that the latter "as a matter of course" would have said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Joshua is thus neither vicariously liable for James' actions either in relation to Accident #1 or to the extent he is found liable in whole or in part in relation to Accident #2, being the next issue which I shall consider.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Liability for Accident #2 and Determination of Whether Apportionment is Necessary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scene immediately following Accident #1 is described above at paragraphs 43-47. To summarize, for the purposes of considering the circumstances immediately prior to Accident #2, this scene was as follows:</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Johnathan and Chris all woke up after the Explorer came to a stop in the ditch;</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the last passenger to "come to" after Accident #1, at which point he joined in the Explorer Passengers' efforts to push the Explorer back onto the Highway;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Explorer Passengers eventually concluded that they would need to flag down a passing vehicle for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 testified that he went to the Highway alone to flag down help. Jonathan's evidence was that both the plaintiff and Chris went to the Highway to flag down help, while he and James continued to attempt to push the Explorer out of the ditch. They continued to drink beer while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Chris' evidence was that both the plaintiff and James went to the Highway to flag down help, while he and Jonathan continued to drink beer near the Explorer in the ditch.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Ken Smith testified at the trial. He was driving a semi-trailer truck westbound on the Highway when he passed the location of Accident #1. He stated that he was flagged down by two men, one of whom was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Smith stopped his semi-truck in the westbound lane of the Highway, near where the Explorer had left the Highway and activated his four-way flasher hazard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Smith was hauling a 53-foot trailer. He estimated his semi-truck to be 8.6 feet wide, and estimated an average lane width to be 10 feet wide.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Smith stated that he spoke to two men standing on the Highway out of his driver-side window. He spoke to one man, while the "man who got hit" was standing behind and to the right of the man he spoke with. Mr. Smith's evidence was that the plaintiff was standing on or near the centre line of the Highway, not in the eastbound lane of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He recalled that they wanted a ride back to Creston.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Smith said that he smelled alcohol on the breath of the man he spoke with through his driver-side window. He formed the impression that both men were 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Smith then saw a truck, which turned out to be the Klock Vehicle, approaching in the eastbound lane. He warned both men and told them to step closer to his semi-truck.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He then observed the plaintiff and the other man step closer to the semi-truck.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Smith, who is a professional driver, estimated that the Klock Vehicle was approximately one kilometre away when he first saw it after it exited an "S"-curve. He estimated that the Klock Vehicle was traveling at or about 50 kilometres per hour, which was 10 kilometres per hour below the speed limit at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plaintiff testified that he heard a voice tell him to get off the road, and without looking he ran to cross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Questions and answers which were read in from Joshua's examination for discovery were that James told Joshua: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that ... When James told me. He told me that Ricky wandered onto the road and he said get the fuck off the road and he turned around and looked at him. And he got hit by a car right when he turned around and I said okay. And then he said that guy took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Smith stated that, as the Klock Vehicle approached, he observed the plaintiff turn or stumble into the eastbound lane of the Highway; "one moment he was there, then he was gone".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As it passed Mr. Smith's semi-truck, the Klock Vehicle struck the plaintiff in the eastbound lane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According to Mr. Smith, the other person who had been speaking to him remained standing close to the semi-truck and was not struck by the Klock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 read in certain portions of Klock's examination for discovery. Klock acknowledged that he was a professional driver and realized he was approaching a potentially hazardous situation that required him to be in an alerted state and to be vigilant for people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Klock did not stay at the scene of Accident #2 even though it must have been obvious to him that an accident had occurred. Mr. Smith observed the Klock Vehicle stop a distance away from the accident scene before continuing eastbound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At the conclusion of the plaintiff's case, Klock's counsel sought to have the claim against him dismissed on the basis of insufficient evidence. I dismissed that application. Klock did not testify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Dennis Chimich, a biomechanical engineer, was called by the plaintiff to provide opinion evidence on the biomechanics behind the plaintiff's injuries. His conclusions included:</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the plaintiff's injury pattern and severity, the impact speed of the Klock Vehicle was likely around 40 km/hour or greater; and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considering a 50% fatality risk as a peak exposure for the plaintiff, an upper bound impact speed for the Klock Vehicle may be in the range of about 50 km/ hour or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On cross examination Mr. Chimich agreed that the plaintiff's position at the time of impact would change his analysis. Specifically had the plaintiff been running or jumped up at the time of impact, the severity of the impact forces required to cause the orthopedic injuries to the leg would have been greater, that is, the Klock Vehicle would have to have been traveling at a higher speed at impact.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The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plaintiff's position can be summarized as follows:</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chain of causation between Accident #1 and Accident #2 was not broken by an intervening event. The plaintiff was on the Highway to flag down help. His position was akin to being a "rescuer" and James is liable for Accident #2, in that his actions in relation to Accident #1 placed the plaintiff in a hazardous situation;</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Klock is also liable. He was driving too quickly for the road conditions. He was approaching a clear hazard and ought to have seen the two people on the Highway; and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not contributorily negligent with regards to Accident #2. He was suffering from the effects of Accident #1, in particular a concussion, and followed James' instructions to get off the road. In the alternative, his conduct was less blameworthy than the actions of James and Klock, with the latter being primarily responsible on the relative blameworthiness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James' position includes:</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significant time gap between the Accidents and there is no evidence that the plaintiff was injured or concussed in Accident #1;</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plaintiff was on the Highway, one or two vehicles passed by before Mr. Smith stopped and the plaintiff was not hit by them; and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clearly in a position of safety immediately prior to Accident #2. He is entirely responsible for placing himself in a hazardous situation by taking an independent and voluntary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Klock's position includes:</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wholly at fault for his injuries arising from Accident #2. He did not cross Klock's path in a reasonable manner; rather he ran into his lane of travel without looking for what was a clearly visible hazard;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alternative, James is also wholly or partially liable since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exposed the plaintiff to a risk of harm that materialized;</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Klock is not negligent in whole or in part. The plaintiff has failed to establish that Klock saw or ought to have seen the plaintiff prior to Accident #2. Even if he ought to have seen the plaintiff, he would have seen the plaintiff in a position of safety next to the Smith's semi-trailer; and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event, even if Klock ought to have been travelling at a slower speed, the plaintiff has not established that Klock could have avoided the accident or lessened its impact.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so far as James' potential liability is concerned, the chain of causation between two successive events and whether it is broken by an intervening act should be considered within the parameters of reasonable foreseeability.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Chan v. Insurance Corporation of British Columbia</w:t>
      </w:r>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2000 BCSC 1229</w:t>
        </w:r>
      </w:hyperlink>
      <w:r>
        <w:rPr>
          <w:rFonts w:ascii="arial" w:eastAsia="arial" w:hAnsi="arial" w:cs="arial"/>
          <w:color w:val="000000"/>
          <w:sz w:val="20"/>
          <w:lang w:val="en-US" w:eastAsia="en-US" w:bidi="ar-SA"/>
        </w:rPr>
        <w:t>, the plaintiff was involved in a hit and run accident as she drove home in the early morning hours. Immediately following the accident, she exited her vehicle and, against the "don't walk" sign ran across the road toward a witness who was standing on the corner. The witness pointed the plaintiff to the location of the unidentified vehicle which had stopped a short distance away. Again against the "don't walk" signal and without looking out for traffic, the plaintiff was struck by another vehicle in the roadway when she, in an attempt to identify the vehicle that had hit her, ran in the direction of the unidentified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In considering whether or not the chain of causation between the first and second accidents was broken, Justice Holmes referred at paragraph 50 to the following passage from the decision of the Court of Appeal in </w:t>
      </w:r>
      <w:r>
        <w:rPr>
          <w:rFonts w:ascii="arial" w:eastAsia="arial" w:hAnsi="arial" w:cs="arial"/>
          <w:i/>
          <w:color w:val="000000"/>
          <w:sz w:val="20"/>
          <w:lang w:val="en-US" w:eastAsia="en-US" w:bidi="ar-SA"/>
        </w:rPr>
        <w:t>Reid v. Chovanec</w:t>
      </w:r>
      <w:r>
        <w:rPr>
          <w:rFonts w:ascii="arial" w:eastAsia="arial" w:hAnsi="arial" w:cs="arial"/>
          <w:color w:val="000000"/>
          <w:sz w:val="20"/>
          <w:lang w:val="en-US" w:eastAsia="en-US" w:bidi="ar-SA"/>
        </w:rPr>
        <w:t xml:space="preserve">, </w:t>
      </w:r>
      <w:hyperlink r:id="rId23" w:history="1">
        <w:r>
          <w:rPr>
            <w:rFonts w:ascii="arial" w:eastAsia="arial" w:hAnsi="arial" w:cs="arial"/>
            <w:i/>
            <w:color w:val="0077CC"/>
            <w:sz w:val="20"/>
            <w:u w:val="single"/>
            <w:shd w:val="clear" w:color="auto" w:fill="FFFFFF"/>
            <w:lang w:val="en-US" w:eastAsia="en-US" w:bidi="ar-SA"/>
          </w:rPr>
          <w:t>[1983] B.C.J. No. 1538</w:t>
        </w:r>
      </w:hyperlink>
      <w:r>
        <w:rPr>
          <w:rFonts w:ascii="arial" w:eastAsia="arial" w:hAnsi="arial" w:cs="arial"/>
          <w:color w:val="000000"/>
          <w:sz w:val="20"/>
          <w:lang w:val="en-US" w:eastAsia="en-US" w:bidi="ar-SA"/>
        </w:rPr>
        <w:t xml:space="preserve"> (BCCA):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Nowadays it is no longer open to serious question that the operation of an intervening force will not ordinarily clear a defendant from further responsibility, if it can fairly be considered a not abnormal incident of the risk created by him - if, as sometimes expressed, it is part of the ordinary course of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Justice Holmes went on to conclude at paragraph 62, that in the circumstances of the case at hand, it was foreseeable or "...within the ordinary course of things that the negligent conduct of the unknown motorist could create alarm, panic, and urgency in a traumatized victim..."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 law concerning rescuers is also of assistance in considering the issue of the chain of causation. In </w:t>
      </w:r>
      <w:r>
        <w:rPr>
          <w:rFonts w:ascii="arial" w:eastAsia="arial" w:hAnsi="arial" w:cs="arial"/>
          <w:i/>
          <w:color w:val="000000"/>
          <w:sz w:val="20"/>
          <w:lang w:val="en-US" w:eastAsia="en-US" w:bidi="ar-SA"/>
        </w:rPr>
        <w:t>Smith v. Tucker</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2007 BCSC 489</w:t>
        </w:r>
      </w:hyperlink>
      <w:r>
        <w:rPr>
          <w:rFonts w:ascii="arial" w:eastAsia="arial" w:hAnsi="arial" w:cs="arial"/>
          <w:color w:val="000000"/>
          <w:sz w:val="20"/>
          <w:lang w:val="en-US" w:eastAsia="en-US" w:bidi="ar-SA"/>
        </w:rPr>
        <w:t>, Justice Russell at paragraph 24, relied on a previous judgment of this court for a summary of the law relating to rescuers: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w:t>
      </w:r>
      <w:r>
        <w:rPr>
          <w:rFonts w:ascii="arial" w:eastAsia="arial" w:hAnsi="arial" w:cs="arial"/>
          <w:i/>
          <w:color w:val="000000"/>
          <w:sz w:val="20"/>
          <w:lang w:val="en-US" w:eastAsia="en-US" w:bidi="ar-SA"/>
        </w:rPr>
        <w:t>Toy v. Argenti</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(1979), 17 B.C.L.R. 365</w:t>
        </w:r>
      </w:hyperlink>
      <w:r>
        <w:rPr>
          <w:rFonts w:ascii="arial" w:eastAsia="arial" w:hAnsi="arial" w:cs="arial"/>
          <w:color w:val="000000"/>
          <w:sz w:val="20"/>
          <w:lang w:val="en-US" w:eastAsia="en-US" w:bidi="ar-SA"/>
        </w:rPr>
        <w:t xml:space="preserve"> (S.C.)] Esson J. (as he then was), adopted as the law in B.C. the test in </w:t>
      </w:r>
      <w:r>
        <w:rPr>
          <w:rFonts w:ascii="arial" w:eastAsia="arial" w:hAnsi="arial" w:cs="arial"/>
          <w:i/>
          <w:color w:val="000000"/>
          <w:sz w:val="20"/>
          <w:lang w:val="en-US" w:eastAsia="en-US" w:bidi="ar-SA"/>
        </w:rPr>
        <w:t>Steel v. Glasgow Iron &amp; Steel Co. Ltd.</w:t>
      </w:r>
      <w:r>
        <w:rPr>
          <w:rFonts w:ascii="arial" w:eastAsia="arial" w:hAnsi="arial" w:cs="arial"/>
          <w:color w:val="000000"/>
          <w:sz w:val="20"/>
          <w:lang w:val="en-US" w:eastAsia="en-US" w:bidi="ar-SA"/>
        </w:rPr>
        <w:t>, [1944] S.C. 237:</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intervention of human action does not necessarily per se break the chain of causation between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injury sustained.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entitle the sufferer to damages, such intervention must have been reasonable and such as might have been in the contemplation of the wrongdoer.</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what is reasonable in the circumstances the interests sought to be protected must be measured in comparison with the risks involved in the action taken.</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action taken is reasonable, the injured person will not be debarred from recovering damages by his not having adopted the best possible course in the circumstances, or by his having made a mere error of judgment: but he will be debarred if his action is unreasonable and unwarrantable and outside the exigencies of the emergency; and</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essential that the action should have been taken on the impulse of the moment.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that list of points he added a sixth: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the instinct to save human life is greater than the instinct to save property, a hazardous intervention for the former purpose is more likely to be a natural and probable consequence of a negligent act than one for the latter, and in the reasonable contemplation of the wrongdoer.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Justice Russell concluded at paragraph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it is clear that a rescuer is entitled to claim damages from a negligent actor who creates a risky situation that invites rescue.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law governing the issue of liability as between pedestrians and motorists is found both in the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in the authorities dealing generally with the duty of care owed by motorists in relation to pedestrians. The content of the duty of care is to be determined both by any relevant statutory provisions and by the common law: </w:t>
      </w:r>
      <w:r>
        <w:rPr>
          <w:rFonts w:ascii="arial" w:eastAsia="arial" w:hAnsi="arial" w:cs="arial"/>
          <w:i/>
          <w:color w:val="000000"/>
          <w:sz w:val="20"/>
          <w:lang w:val="en-US" w:eastAsia="en-US" w:bidi="ar-SA"/>
        </w:rPr>
        <w:t>Hmaied (Litigation Guardian of) v. Wilkinson</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2010 BCSC 1074</w:t>
        </w:r>
      </w:hyperlink>
      <w:r>
        <w:rPr>
          <w:rFonts w:ascii="arial" w:eastAsia="arial" w:hAnsi="arial" w:cs="arial"/>
          <w:color w:val="000000"/>
          <w:sz w:val="20"/>
          <w:lang w:val="en-US" w:eastAsia="en-US" w:bidi="ar-SA"/>
        </w:rPr>
        <w:t xml:space="preserve">, at para. 21; </w:t>
      </w:r>
      <w:r>
        <w:rPr>
          <w:rFonts w:ascii="arial" w:eastAsia="arial" w:hAnsi="arial" w:cs="arial"/>
          <w:i/>
          <w:color w:val="000000"/>
          <w:sz w:val="20"/>
          <w:lang w:val="en-US" w:eastAsia="en-US" w:bidi="ar-SA"/>
        </w:rPr>
        <w:t>Russell v. Parks</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2014 BCCA 104</w:t>
        </w:r>
      </w:hyperlink>
      <w:r>
        <w:rPr>
          <w:rFonts w:ascii="arial" w:eastAsia="arial" w:hAnsi="arial" w:cs="arial"/>
          <w:color w:val="000000"/>
          <w:sz w:val="20"/>
          <w:lang w:val="en-US" w:eastAsia="en-US" w:bidi="ar-SA"/>
        </w:rPr>
        <w:t>,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Pedestrians and drivers owe a common law duty to take reasonable care for the safety of others and themselves when using a roadway: </w:t>
      </w:r>
      <w:r>
        <w:rPr>
          <w:rFonts w:ascii="arial" w:eastAsia="arial" w:hAnsi="arial" w:cs="arial"/>
          <w:i/>
          <w:color w:val="000000"/>
          <w:sz w:val="20"/>
          <w:lang w:val="en-US" w:eastAsia="en-US" w:bidi="ar-SA"/>
        </w:rPr>
        <w:t>Wotherspoon v. Hameluck</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2014 BCSC 2137</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Wotherspoon</w:t>
      </w:r>
      <w:r>
        <w:rPr>
          <w:rFonts w:ascii="arial" w:eastAsia="arial" w:hAnsi="arial" w:cs="arial"/>
          <w:color w:val="000000"/>
          <w:sz w:val="20"/>
          <w:lang w:val="en-US" w:eastAsia="en-US" w:bidi="ar-SA"/>
        </w:rPr>
        <w:t>],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The standard of care to be applied to drivers is that of a reasonably prudent motorist in light of all the circumstances. Motorists are not required to anticipate all foreseeable road hazards, but only those that are reasonably foreseeable. The standard of care of a driver is not one of perfection, but whether the driver acted in a manner in which an ordinarily prudent person would act: </w:t>
      </w:r>
      <w:r>
        <w:rPr>
          <w:rFonts w:ascii="arial" w:eastAsia="arial" w:hAnsi="arial" w:cs="arial"/>
          <w:i/>
          <w:color w:val="000000"/>
          <w:sz w:val="20"/>
          <w:lang w:val="en-US" w:eastAsia="en-US" w:bidi="ar-SA"/>
        </w:rPr>
        <w:t>Hadden v. Lynch</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2008 BCSC 295</w:t>
        </w:r>
      </w:hyperlink>
      <w:r>
        <w:rPr>
          <w:rFonts w:ascii="arial" w:eastAsia="arial" w:hAnsi="arial" w:cs="arial"/>
          <w:color w:val="000000"/>
          <w:sz w:val="20"/>
          <w:lang w:val="en-US" w:eastAsia="en-US" w:bidi="ar-SA"/>
        </w:rPr>
        <w:t>, at para. 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A driver's obligation to take evasive action to avoid hitting a pedestrian only arises when he or she becomes aware, or ought to have become aware, that the pedestrian was not going to obey the law: </w:t>
      </w:r>
      <w:r>
        <w:rPr>
          <w:rFonts w:ascii="arial" w:eastAsia="arial" w:hAnsi="arial" w:cs="arial"/>
          <w:i/>
          <w:color w:val="000000"/>
          <w:sz w:val="20"/>
          <w:lang w:val="en-US" w:eastAsia="en-US" w:bidi="ar-SA"/>
        </w:rPr>
        <w:t>Beauchamp v. Shand</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2004 BCSC 272</w:t>
        </w:r>
      </w:hyperlink>
      <w:r>
        <w:rPr>
          <w:rFonts w:ascii="arial" w:eastAsia="arial" w:hAnsi="arial" w:cs="arial"/>
          <w:color w:val="000000"/>
          <w:sz w:val="20"/>
          <w:lang w:val="en-US" w:eastAsia="en-US" w:bidi="ar-SA"/>
        </w:rPr>
        <w:t>,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Wotherspoon</w:t>
      </w:r>
      <w:r>
        <w:rPr>
          <w:rFonts w:ascii="arial" w:eastAsia="arial" w:hAnsi="arial" w:cs="arial"/>
          <w:color w:val="000000"/>
          <w:sz w:val="20"/>
          <w:lang w:val="en-US" w:eastAsia="en-US" w:bidi="ar-SA"/>
        </w:rPr>
        <w:t xml:space="preserve"> at paragraph 20, Chief Justice Hinkson stated that the party with the right of way is entitled to assume that other highway users will obey the rules of the road and that drivers are ordinarily entitled to expect that adult pedestrians "will not jump out directly in front of them as they are proceeding lawfully along their way". I note that </w:t>
      </w:r>
      <w:r>
        <w:rPr>
          <w:rFonts w:ascii="arial" w:eastAsia="arial" w:hAnsi="arial" w:cs="arial"/>
          <w:i/>
          <w:color w:val="000000"/>
          <w:sz w:val="20"/>
          <w:lang w:val="en-US" w:eastAsia="en-US" w:bidi="ar-SA"/>
        </w:rPr>
        <w:t>Wotherspoon</w:t>
      </w:r>
      <w:r>
        <w:rPr>
          <w:rFonts w:ascii="arial" w:eastAsia="arial" w:hAnsi="arial" w:cs="arial"/>
          <w:color w:val="000000"/>
          <w:sz w:val="20"/>
          <w:lang w:val="en-US" w:eastAsia="en-US" w:bidi="ar-SA"/>
        </w:rPr>
        <w:t xml:space="preserve"> was a case to which section 179(2)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applied, which is not the situation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The mere fact that a motorist does not see a pedestrian before striking him is not in itself sufficient to establish that the driver failed to keep an adequate lookout. The motorist is required to operate his vehicle so that he will be able to avoid striking a pedestrian who is crossing his path in a reasonable manner: </w:t>
      </w:r>
      <w:r>
        <w:rPr>
          <w:rFonts w:ascii="arial" w:eastAsia="arial" w:hAnsi="arial" w:cs="arial"/>
          <w:i/>
          <w:color w:val="000000"/>
          <w:sz w:val="20"/>
          <w:lang w:val="en-US" w:eastAsia="en-US" w:bidi="ar-SA"/>
        </w:rPr>
        <w:t>Pinsent (Guardian ad litem of) v. Brown</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2013 BCSC 794</w:t>
        </w:r>
      </w:hyperlink>
      <w:r>
        <w:rPr>
          <w:rFonts w:ascii="arial" w:eastAsia="arial" w:hAnsi="arial" w:cs="arial"/>
          <w:color w:val="000000"/>
          <w:sz w:val="20"/>
          <w:lang w:val="en-US" w:eastAsia="en-US" w:bidi="ar-SA"/>
        </w:rPr>
        <w:t>,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 applicable sections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Careless driving prohibited</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must not drive a motor vehicle on a</w:t>
      </w:r>
    </w:p>
    <w:p>
      <w:pPr>
        <w:numPr>
          <w:numId w:val="39"/>
        </w:numPr>
        <w:spacing w:before="120" w:line="260" w:lineRule="atLeast"/>
        <w:jc w:val="both"/>
        <w:rPr>
          <w:rFonts w:ascii="arial" w:eastAsia="arial" w:hAnsi="arial" w:cs="arial"/>
          <w:sz w:val="20"/>
          <w:lang w:val="en-US" w:eastAsia="en-US" w:bidi="ar-SA"/>
        </w:rPr>
      </w:pP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Rights of way between vehicle and pedestrian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179 (1) Subject to section 180, the driver of a vehicle must yield the right of way to a pedestrian where traffic control signals are not in place or not in operation when the pedestrian is crossing the highway in a crosswalk and the pedestrian is on the half of the highway on which the vehicle is travelling, or is approaching so closely from the other half of the highway that he or she is in danger.</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must not leave a curb or other place of safety and walk or run into the path of a vehicle that is so close it is impracticable for the driver to yield the right of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Crossing at other than crosswalk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180 When a pedestrian is crossing a highway at a point not in a crosswalk, the pedestrian must yield the right of way to a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Duty of driver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181 Despite sections 178, 179 and 180, a driver of a vehicle must</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due care to avoid colliding with a pedestrian who is on the highway,</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 warning by sounding the horn of the vehicle when necessary, and</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observe proper precaution on observing a child or apparently confused or incapacitated person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I have referred to section 179(2)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above only for the reason that both James and Klock refer in their submissions to the plaintiff leaving a "place of safety". This subsection does not apply in the circumstances of this case since the plaintiff was not at a "curb or other place of safety" as that phrase has been interpreted by the Court of Appeal in </w:t>
      </w:r>
      <w:r>
        <w:rPr>
          <w:rFonts w:ascii="arial" w:eastAsia="arial" w:hAnsi="arial" w:cs="arial"/>
          <w:i/>
          <w:color w:val="000000"/>
          <w:sz w:val="20"/>
          <w:lang w:val="en-US" w:eastAsia="en-US" w:bidi="ar-SA"/>
        </w:rPr>
        <w:t>Russell v. Parks</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2014 BCCA 104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issue of "place of safety", however, still needs to be considered based on the application of common law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In any event, as Justice Lowry recently stated in </w:t>
      </w:r>
      <w:r>
        <w:rPr>
          <w:rFonts w:ascii="arial" w:eastAsia="arial" w:hAnsi="arial" w:cs="arial"/>
          <w:i/>
          <w:color w:val="000000"/>
          <w:sz w:val="20"/>
          <w:lang w:val="en-US" w:eastAsia="en-US" w:bidi="ar-SA"/>
        </w:rPr>
        <w:t>Ilett v. Buckley</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2017 BCCA 257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In citing the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as she did, the judge recognized the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as embodied in the statute, that Ms. Buckley owed to other users of the highway to drive her vehicle with due care and attention and that Mr. Ilett was duty bound to ride his bicycle in the same way. Specifically, as stated, she was to drive and he was to ride with reasonable consideration for others and at a speed that was not excessive relative to the road, traffic, visibility, or weather conditions. Accepting that to have been the duty that was owed (being a question of law), the judge had then to determine whether each had discharged their duty by meeting what she determined to be the standard of care (a question of mixed fact and law). As discussed in </w:t>
      </w:r>
      <w:r>
        <w:rPr>
          <w:rFonts w:ascii="arial" w:eastAsia="arial" w:hAnsi="arial" w:cs="arial"/>
          <w:i/>
          <w:color w:val="000000"/>
          <w:sz w:val="20"/>
          <w:lang w:val="en-US" w:eastAsia="en-US" w:bidi="ar-SA"/>
        </w:rPr>
        <w:t>Galaske v. O'Donnell</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[1994] 1 S.C.R. 670</w:t>
        </w:r>
      </w:hyperlink>
      <w:r>
        <w:rPr>
          <w:rFonts w:ascii="arial" w:eastAsia="arial" w:hAnsi="arial" w:cs="arial"/>
          <w:color w:val="000000"/>
          <w:sz w:val="20"/>
          <w:lang w:val="en-US" w:eastAsia="en-US" w:bidi="ar-SA"/>
        </w:rPr>
        <w:t xml:space="preserve">, breach of the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that prescribe how the duty of care is to be discharged does not necessarily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sense of being a breach of the standard of care in the given circumstances, rather such may be a factor to be taken into account in determining the requisite standard (see pp. 675-676 and 687-688). As this Court said in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[18] While the statutory provisions provide guidelines for assessing fault in motor vehicle accident cases, they do not, alone, provide a complete legal framework.</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[22] In the end, a court must determine whether, and to what extent, each of the players in an accident met their common law duties of care to other users of the road. In making that determination, a court will be informed by the rules of the road, but those rules do not eliminate the need to consider the reasonableness of the actions of the parties. This is both because the rules of the road cannot comprehensively cover all possible scenarios, and because users of the road are expected to exercise reasonable care, even when others have failed to respect their right of way.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relative blameworthiness of the parties is also very much an issue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Cempel v. Harrison Hot Springs Hotel Ltd</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(1997), 43 B.C.L.R. (3d) 219</w:t>
        </w:r>
      </w:hyperlink>
      <w:r>
        <w:rPr>
          <w:rFonts w:ascii="arial" w:eastAsia="arial" w:hAnsi="arial" w:cs="arial"/>
          <w:color w:val="000000"/>
          <w:sz w:val="20"/>
          <w:lang w:val="en-US" w:eastAsia="en-US" w:bidi="ar-SA"/>
        </w:rPr>
        <w:t xml:space="preserve"> (C.A.), the Court of Appeal made it clear that apportionment involves an examination of the degree of fault of the negligent party. It is not an exercise based on causation or the degree to which it might be determined that a particular negligent act or negligent party caused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Aberdeen v. Langley (Township)</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2007 BCSC 993</w:t>
        </w:r>
      </w:hyperlink>
      <w:r>
        <w:rPr>
          <w:rFonts w:ascii="arial" w:eastAsia="arial" w:hAnsi="arial" w:cs="arial"/>
          <w:color w:val="000000"/>
          <w:sz w:val="20"/>
          <w:lang w:val="en-US" w:eastAsia="en-US" w:bidi="ar-SA"/>
        </w:rPr>
        <w:t xml:space="preserve">, varied on other grounds </w:t>
      </w:r>
      <w:hyperlink r:id="rId37"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Justice Groves identified at paragraphs 62-63 a non-exhaustive list of factors that may be of assistance in assessing the nature and degree of departure from the standard of care in order to determine the appropriate apportionment of liability between the parties:</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duty owed by the tortfeasor to the injured person...;</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number of acts of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committed by a person at fault...;</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timing of the various negligent acts. For example, the party who first commits a negligent act will usually be more at fault than the party whose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comes as result of the initial fault...;</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conduct held to amount to fault. For example, indifference to the results of the conduct may be more blameworthy... Similarly, a deliberate departure from safety rules may be more blameworthy than an imperfect reaction to a crisis...;</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conduct breaches statutory requirements. For example, in a motor vehicle collision, the driver of the vehicle with the right of way may be less blameworthy...;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gravity of the risk created;</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opportunity to avoid or prevent the accident or the damage;</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conduct in question was deliberate, or unusual or unexpected; and</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knowledge one person had or should have had of the conduct of another person at fault.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 Analysis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 was referred by counsel to many authorities in support of their various positions and arguments. It is clear that the analysis I must undertake is highly fact specific. Without listing all the authorities to which I was referred, I was assisted, in addition to those I have already mentioned, by the reasoning in, amongst others: * </w:t>
      </w:r>
      <w:r>
        <w:rPr>
          <w:rFonts w:ascii="arial" w:eastAsia="arial" w:hAnsi="arial" w:cs="arial"/>
          <w:i/>
          <w:color w:val="000000"/>
          <w:sz w:val="20"/>
          <w:lang w:val="en-US" w:eastAsia="en-US" w:bidi="ar-SA"/>
        </w:rPr>
        <w:t>Kaiser v. Williams</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2015 BCSC 646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Kaiser</w:t>
      </w:r>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Simpson v. Baechler</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2009 BCCA 13</w:t>
        </w:r>
      </w:hyperlink>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Chambers v. Goertz</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2009 BCCA 358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Goertz</w:t>
      </w:r>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Scurfield v. Cariboo Helicopter Skiing Ltd.</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74 B.C.L.R.(2d) 224</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Scurfield</w:t>
      </w:r>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Kaila v. Sekhon</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2006 BCSC 1654</w:t>
        </w:r>
      </w:hyperlink>
      <w:r>
        <w:rPr>
          <w:rFonts w:ascii="arial" w:eastAsia="arial" w:hAnsi="arial" w:cs="arial"/>
          <w:color w:val="000000"/>
          <w:sz w:val="20"/>
          <w:lang w:val="en-US" w:eastAsia="en-US" w:bidi="ar-SA"/>
        </w:rPr>
        <w:t xml:space="preserve">; and * </w:t>
      </w:r>
      <w:r>
        <w:rPr>
          <w:rFonts w:ascii="arial" w:eastAsia="arial" w:hAnsi="arial" w:cs="arial"/>
          <w:i/>
          <w:color w:val="000000"/>
          <w:sz w:val="20"/>
          <w:lang w:val="en-US" w:eastAsia="en-US" w:bidi="ar-SA"/>
        </w:rPr>
        <w:t>Baptiste v. Cahoose et al</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2002 BCSC 175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Kaiser</w:t>
      </w:r>
      <w:r>
        <w:rPr>
          <w:rFonts w:ascii="arial" w:eastAsia="arial" w:hAnsi="arial" w:cs="arial"/>
          <w:color w:val="000000"/>
          <w:sz w:val="20"/>
          <w:lang w:val="en-US" w:eastAsia="en-US" w:bidi="ar-SA"/>
        </w:rPr>
        <w:t xml:space="preserve">, like </w:t>
      </w:r>
      <w:r>
        <w:rPr>
          <w:rFonts w:ascii="arial" w:eastAsia="arial" w:hAnsi="arial" w:cs="arial"/>
          <w:i/>
          <w:color w:val="000000"/>
          <w:sz w:val="20"/>
          <w:lang w:val="en-US" w:eastAsia="en-US" w:bidi="ar-SA"/>
        </w:rPr>
        <w:t>Wotherspoon</w:t>
      </w:r>
      <w:r>
        <w:rPr>
          <w:rFonts w:ascii="arial" w:eastAsia="arial" w:hAnsi="arial" w:cs="arial"/>
          <w:color w:val="000000"/>
          <w:sz w:val="20"/>
          <w:lang w:val="en-US" w:eastAsia="en-US" w:bidi="ar-SA"/>
        </w:rPr>
        <w:t xml:space="preserve"> considered section 179(2)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but both of these cases, in my view, are of assistance in analysing the common law standard of care, which applies to both pedestrians and motorists.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Scurfield</w:t>
      </w:r>
      <w:r>
        <w:rPr>
          <w:rFonts w:ascii="arial" w:eastAsia="arial" w:hAnsi="arial" w:cs="arial"/>
          <w:color w:val="000000"/>
          <w:sz w:val="20"/>
          <w:lang w:val="en-US" w:eastAsia="en-US" w:bidi="ar-SA"/>
        </w:rPr>
        <w:t>, the plaintiff's husband was killed in an avalanche on a helicopter skiing trip organized and guided by the defendants. Contrary to the guide's instructions, the deceased went across a dangerous slope without waiting for instructions that it was safe to do so. An avalanche occurred. Others in the group saw the avalanche starting and called out for the deceased to stop, but he did not listen and proceeded, which resulted in his death. The Court of Appeal held that the husband's death was the result of his ignoring the obvious and avoidable danger for which he had been forewarned and dismissed the claim with Justice Taylor stating at paragraphs 14 and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At that point Mr. Scurfield faced no unknown or unavoidable hazard. He was in a position of safety. He had only to stop and wait until the avalanche was over and he could have traversed the slope with no risk at all. All this would have been apparent to any alert skier of his ability and knowledge.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 This is not a case of Mr. Scurfield having had a "last clear chance" to avoid a peril created by the defendants. Insofar as the defendants had a duty to protect Mr. Scurfield from an unreasonable risk of unavoidable avalanche, that risk was over once the hazard had become obvious and avoidable.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When I apply the legal framework to which I have referred to the circumstances of this case, I find both James and Klock negligent with respect to Accident #2. I also find the plaintiff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My reasons and findings of fact for this conclusion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James Basil</w:t>
      </w:r>
      <w:r>
        <w:rPr>
          <w:rFonts w:ascii="arial" w:eastAsia="arial" w:hAnsi="arial" w:cs="arial"/>
          <w:sz w:val="20"/>
          <w:lang w:val="en-US" w:eastAsia="en-US" w:bidi="ar-SA"/>
        </w:rPr>
        <w:cr/>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causing Accident #1 placed the plaintiff in a position where it was foreseeable or "...within the ordinary course of things" that the plaintiff would go on the Highway in an attempt to obtain assistance from passing vehicles. This is particularly the case when one considers that, at the time of the Accidents, there was no cellular phone reception in Yahk;</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that James was the other pedestrian on the Highway with the plaintiff; and</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both James and the plaintiff were in a "place of safety" next to Mr. Smith's semi-trailer, James told the plaintiff to get off the road. While, for the reasons I shall outline below, I find that the plaintiff did not sustain any serious injuries in Accident #1, I find that James' "instruction", for lack of a better expression, delivered by a man who was bigger, physically, than the plaintiff, likely added to an uncertain and confusing situation, which followed an accident caused by James'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Klock</w:t>
      </w:r>
      <w:r>
        <w:rPr>
          <w:rFonts w:ascii="arial" w:eastAsia="arial" w:hAnsi="arial" w:cs="arial"/>
          <w:sz w:val="20"/>
          <w:lang w:val="en-US" w:eastAsia="en-US" w:bidi="ar-SA"/>
        </w:rPr>
        <w:cr/>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Klock, who is a professional driver, had the better part of one kilometre to observe and evaluate an upcoming potentially hazardous situation;</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his speed at the time of impact was likely below or even well below the speed limit, the early morning time of the accident and the presence of the Smith vehicle occupying most of the westbound lane with its hazard lights flashing ought to have reasonably put him on a high state of alertness which would, or should have, included the possible presence of pedestrians on the Highway, who were clearly there to be seen had he been paying proper attention;</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Klock was not driving with due care and attention and was in breach of section 181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his duties at common law in that regard;</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also the fact that the point of impact between the Klock Vehicle and the plaintiff establishes that the plaintiff had crossed a significant portion of the eastbound lane when he was hit; and</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also draw an adverse inference from the fact Klock left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Goertz</w:t>
      </w:r>
      <w:r>
        <w:rPr>
          <w:rFonts w:ascii="arial" w:eastAsia="arial" w:hAnsi="arial" w:cs="arial"/>
          <w:color w:val="000000"/>
          <w:sz w:val="20"/>
          <w:lang w:val="en-US" w:eastAsia="en-US" w:bidi="ar-SA"/>
        </w:rPr>
        <w:t xml:space="preserve">, the Court of Appeal upheld the trial decision where it was implicit that the common law rule, which is set out in the seminal case of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is to the effect that a driver must be proceeding </w:t>
      </w:r>
      <w:r>
        <w:rPr>
          <w:rFonts w:ascii="arial" w:eastAsia="arial" w:hAnsi="arial" w:cs="arial"/>
          <w:color w:val="000000"/>
          <w:sz w:val="20"/>
          <w:u w:val="single"/>
          <w:lang w:val="en-US" w:eastAsia="en-US" w:bidi="ar-SA"/>
        </w:rPr>
        <w:t>lawfully</w:t>
      </w:r>
      <w:r>
        <w:rPr>
          <w:rFonts w:ascii="arial" w:eastAsia="arial" w:hAnsi="arial" w:cs="arial"/>
          <w:color w:val="000000"/>
          <w:sz w:val="20"/>
          <w:lang w:val="en-US" w:eastAsia="en-US" w:bidi="ar-SA"/>
        </w:rPr>
        <w:t xml:space="preserve"> at the time of the accident in order to be entitled to exercise his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In the </w:t>
      </w:r>
      <w:r>
        <w:rPr>
          <w:rFonts w:ascii="arial" w:eastAsia="arial" w:hAnsi="arial" w:cs="arial"/>
          <w:i/>
          <w:color w:val="000000"/>
          <w:sz w:val="20"/>
          <w:lang w:val="en-US" w:eastAsia="en-US" w:bidi="ar-SA"/>
        </w:rPr>
        <w:t>Goertz</w:t>
      </w:r>
      <w:r>
        <w:rPr>
          <w:rFonts w:ascii="arial" w:eastAsia="arial" w:hAnsi="arial" w:cs="arial"/>
          <w:color w:val="000000"/>
          <w:sz w:val="20"/>
          <w:lang w:val="en-US" w:eastAsia="en-US" w:bidi="ar-SA"/>
        </w:rPr>
        <w:t xml:space="preserve"> trial decision, which is indexed at </w:t>
      </w:r>
      <w:hyperlink r:id="rId45" w:history="1">
        <w:r>
          <w:rPr>
            <w:rFonts w:ascii="arial" w:eastAsia="arial" w:hAnsi="arial" w:cs="arial"/>
            <w:i/>
            <w:color w:val="0077CC"/>
            <w:sz w:val="20"/>
            <w:u w:val="single"/>
            <w:shd w:val="clear" w:color="auto" w:fill="FFFFFF"/>
            <w:lang w:val="en-US" w:eastAsia="en-US" w:bidi="ar-SA"/>
          </w:rPr>
          <w:t>2008 BCSC 394</w:t>
        </w:r>
      </w:hyperlink>
      <w:r>
        <w:rPr>
          <w:rFonts w:ascii="arial" w:eastAsia="arial" w:hAnsi="arial" w:cs="arial"/>
          <w:color w:val="000000"/>
          <w:sz w:val="20"/>
          <w:lang w:val="en-US" w:eastAsia="en-US" w:bidi="ar-SA"/>
        </w:rPr>
        <w:t>, Justice Humphries in assessing liability 30% against the Goertz through vehicle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[69] Ms. Goertz had an obligation, once she knew a pedestrian was on the highway, even if she had the right of way, to exercise due care to avoid the pedestrian (s. 178(a)). While counsel for Ms. Goertz argues correctly that no duty arose under this section until she could see the pedestrians, and by that time it was too late to do anything, </w:t>
      </w:r>
      <w:r>
        <w:rPr>
          <w:rFonts w:ascii="arial" w:eastAsia="arial" w:hAnsi="arial" w:cs="arial"/>
          <w:color w:val="000000"/>
          <w:sz w:val="20"/>
          <w:u w:val="single"/>
          <w:lang w:val="en-US" w:eastAsia="en-US" w:bidi="ar-SA"/>
        </w:rPr>
        <w:t>her fault is more general</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[70] She approached the area at or near the speed limit, taking her foot off the accelerator and letting the car decelerate on its own. She continued to drive when she could not see ahead into her lane beyond the high beams of the taxi. </w:t>
      </w:r>
      <w:r>
        <w:rPr>
          <w:rFonts w:ascii="arial" w:eastAsia="arial" w:hAnsi="arial" w:cs="arial"/>
          <w:color w:val="000000"/>
          <w:sz w:val="20"/>
          <w:u w:val="single"/>
          <w:lang w:val="en-US" w:eastAsia="en-US" w:bidi="ar-SA"/>
        </w:rPr>
        <w:t>She was alerted by the taxi being stopped to the irregularity of the situation;</w:t>
      </w:r>
      <w:r>
        <w:rPr>
          <w:rFonts w:ascii="arial" w:eastAsia="arial" w:hAnsi="arial" w:cs="arial"/>
          <w:color w:val="000000"/>
          <w:sz w:val="20"/>
          <w:lang w:val="en-US" w:eastAsia="en-US" w:bidi="ar-SA"/>
        </w:rPr>
        <w:t xml:space="preserve"> she knew taxis pick up and drop off passengers. She did not expect people to be in the area but admitted that the presence of a taxi could signal the presence of people. Despite not being able to see the area into which she was driving in this irregular situation, she continued on without braking or sounding her horn. She took some precautions, taking her foot off the accelerator and covering the brake, but they were insufficient to prevent her from driving blindly beyond the high beams at a speed somewhere around the speed limit of 60 kph. </w:t>
      </w:r>
      <w:r>
        <w:rPr>
          <w:rFonts w:ascii="arial" w:eastAsia="arial" w:hAnsi="arial" w:cs="arial"/>
          <w:color w:val="000000"/>
          <w:sz w:val="20"/>
          <w:u w:val="single"/>
          <w:lang w:val="en-US" w:eastAsia="en-US" w:bidi="ar-SA"/>
        </w:rPr>
        <w:t>She had a common law duty to drive with due care for the safety of others that she could reasonably have in her contemplation, and she breached that duty by driving forward at that speed when she could not see into the lane ahead, an action that makes a clear risk of harm foreseeable. She should have slowed to a speed that would have allowed her to approach the blind area with appropriate caution for whatever lay ahead, including the safety of persons who could foreseeably be at or near a taxi. By failing to do so, she breached her duty to drive with due care for the safety of others. That breach was a contributing cause of the accident. I find that Ms. Goertz was negligent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color w:val="000000"/>
          <w:sz w:val="20"/>
          <w:u w:val="single"/>
          <w:lang w:val="en-US" w:eastAsia="en-US" w:bidi="ar-SA"/>
        </w:rPr>
        <w:t>Emphasis added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In this case, I do not have the benefit of Klock's evidence as to his perspective on what occurred in the time frame leading up to Accident #2, apart from what was read in from his examination for discovery. But in my view, the comments of Justice Humphries are applicable to Klock. He was not proceeding lawfully prior to Accident #2 in that he was driving without due care and attention in the presence of reasonably foreseeable danger. He was not entitled to assert a right of way either pursuant to section 180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or at common law. And even if he did have the statutory right of way, this did not absolve him from his common law duty to drive with due care and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w:t>
      </w:r>
      <w:r>
        <w:rPr>
          <w:rFonts w:ascii="arial" w:eastAsia="arial" w:hAnsi="arial" w:cs="arial"/>
          <w:sz w:val="20"/>
          <w:lang w:val="en-US" w:eastAsia="en-US" w:bidi="ar-SA"/>
        </w:rPr>
        <w:cr/>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that he was impaired when he returned to the Highway after Accident #1;</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attempted to cross the Highway after receiving and acting on a warning from Mr. Smith that the Klock Vehicle was approaching;</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attempted to cross the Highway in front of the approaching Klock Vehicle, which was clearly there to be seen;</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left a place of safety, being next to the Smith vehicle in the westbound lane of the Highway, and ran into the path of the Klock Vehicle, which had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right of way if Klock was proceeding lawfully (which he was not); and</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all the circumstances, he failed to take reasonable steps for his own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I do not accept the defendants' arguments that the reasoning in </w:t>
      </w:r>
      <w:r>
        <w:rPr>
          <w:rFonts w:ascii="arial" w:eastAsia="arial" w:hAnsi="arial" w:cs="arial"/>
          <w:i/>
          <w:color w:val="000000"/>
          <w:sz w:val="20"/>
          <w:lang w:val="en-US" w:eastAsia="en-US" w:bidi="ar-SA"/>
        </w:rPr>
        <w:t>Scurfield</w:t>
      </w:r>
      <w:r>
        <w:rPr>
          <w:rFonts w:ascii="arial" w:eastAsia="arial" w:hAnsi="arial" w:cs="arial"/>
          <w:color w:val="000000"/>
          <w:sz w:val="20"/>
          <w:lang w:val="en-US" w:eastAsia="en-US" w:bidi="ar-SA"/>
        </w:rPr>
        <w:t xml:space="preserve"> should result in the plaintiff's action being dismissed. In that case the initial act which set the chain of events in motion was the plaintiff's failure to adhere to the instructions of the guide.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am of the view that the plaintiff's actions in following James' direction to get off the road and subsequently running in to the path of the Klock Vehicle, after previously following Mr. Smith's warning to move closer to his semi-trailer, is significantly blameworthy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The issue then becomes how liability should be apportioned in light of the </w:t>
      </w:r>
      <w:r>
        <w:rPr>
          <w:rFonts w:ascii="arial" w:eastAsia="arial" w:hAnsi="arial" w:cs="arial"/>
          <w:i/>
          <w:color w:val="000000"/>
          <w:sz w:val="20"/>
          <w:lang w:val="en-US" w:eastAsia="en-US" w:bidi="ar-SA"/>
        </w:rPr>
        <w:t>Aberdeen</w:t>
      </w:r>
      <w:r>
        <w:rPr>
          <w:rFonts w:ascii="arial" w:eastAsia="arial" w:hAnsi="arial" w:cs="arial"/>
          <w:color w:val="000000"/>
          <w:sz w:val="20"/>
          <w:lang w:val="en-US" w:eastAsia="en-US" w:bidi="ar-SA"/>
        </w:rPr>
        <w:t xml:space="preserve">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 have concluded that each of James, Klock and the plaintiff bear significant responsibility for what occurred in Accident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James' responsibility for Accident #2 arises from his operation of the Explorer, likely while impaired, which created a serious risk to his passengers. This risk culminated in Accident #1, which was the first act in time in the chain of events that lead to the plaintiff being on the Highway since, as there was no cellular phone reception in the area at that time, flagging down passing motorists was the only way to get assistance. This conduct was compounded by telling the plaintiff to "get the f-- off the road". I can only assume that, as a result of the language used, this was communicated in an aggressive as opposed to a calm manner, which contributed to the plaintiff acting as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Klock's responsibility for Accident #2 arises from not paying proper attention to an approaching hazardous situation and driving without due care and attention under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plaintiff's responsibility is due to his decision to run across the Highway without looking and, as a result, running into the path of an approaching vehicle. While he may have been influenced by James' "instruction", he clearly had the opportunity to avoid placing himself in a position of serious danger by simply staying where he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The situation here is somewhat, but not completely, akin to </w:t>
      </w:r>
      <w:r>
        <w:rPr>
          <w:rFonts w:ascii="arial" w:eastAsia="arial" w:hAnsi="arial" w:cs="arial"/>
          <w:i/>
          <w:color w:val="000000"/>
          <w:sz w:val="20"/>
          <w:lang w:val="en-US" w:eastAsia="en-US" w:bidi="ar-SA"/>
        </w:rPr>
        <w:t>Goertz</w:t>
      </w:r>
      <w:r>
        <w:rPr>
          <w:rFonts w:ascii="arial" w:eastAsia="arial" w:hAnsi="arial" w:cs="arial"/>
          <w:color w:val="000000"/>
          <w:sz w:val="20"/>
          <w:lang w:val="en-US" w:eastAsia="en-US" w:bidi="ar-SA"/>
        </w:rPr>
        <w:t xml:space="preserve">. In that case the plaintiff was found 60% responsible, the Goertz through vehicle was found 30% liable, with the remaining 10% responsibility against the stopped taxi cab. Under all the circumstances, applying the </w:t>
      </w:r>
      <w:r>
        <w:rPr>
          <w:rFonts w:ascii="arial" w:eastAsia="arial" w:hAnsi="arial" w:cs="arial"/>
          <w:i/>
          <w:color w:val="000000"/>
          <w:sz w:val="20"/>
          <w:lang w:val="en-US" w:eastAsia="en-US" w:bidi="ar-SA"/>
        </w:rPr>
        <w:t>Aberdeen</w:t>
      </w:r>
      <w:r>
        <w:rPr>
          <w:rFonts w:ascii="arial" w:eastAsia="arial" w:hAnsi="arial" w:cs="arial"/>
          <w:color w:val="000000"/>
          <w:sz w:val="20"/>
          <w:lang w:val="en-US" w:eastAsia="en-US" w:bidi="ar-SA"/>
        </w:rPr>
        <w:t xml:space="preserve"> factors as best I can, I find Klock and James each 25% responsible and the plaintiff 50% responsible for Accident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ASSESSMENT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Post-Accident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It was the plaintiff's evidence that he experienced some pain and discomfort to his chest and collarbone area after exiting the Explorer following Accident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He was hospitalized for 11 days at Foothills Hospital in Calgary before returning to Vernon where he has resided for the most part since that time. He has lived primarily with his mother but has spent periods of time homeless.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He and members of his family, including his mother and brother, testified that he has chronic pain in his right leg, right hip and back. He frequently refrains from engaging in activities due to pain and will sometimes fall because his knee gives out. The plaintiff testified that at times his pain is so severe he cannot stand or walk for more than a couple of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Jacobs has not worked nor made attempts to pursue his education since the Accidents. He and certain of the lay witnesses testified that he no longer leads the active lifestyle which was the case prior to the Accidents. Mr. Jacobs stated that he was very active in taking care of his infant son until shortly before the Accidents and now has difficulty going up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plaintiff and witnesses who testified on his behalf also spoke to the changes in his emotional state. Prior to the Accidents he was more interested in spending time with his family and friends. Since then he has become quiet and withdrawn, less interested in spending time with others and apathetic toward activities that he used to be interested in, like playing basketball. He is isolated from his immediate family with whom he lives.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plaintiff says that the Accidents have significantly affected his career goals. The Accidents also had a severe negative impact on his family relationships as he was unable to go and see his young son who unfortunately passed away a few months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plaintiff says that at 25 years of age, he has aged well before his time. The current state of his knee impinges upon his ability to engage in any of the activities that an average 25-year-old man would enjoy, including working, playing sports and spending time with friends. In addition, even if he gets his right knee fixed (after at least two more surgeries), he will still be limited, may still experience pain in the knee and faces the likelihood of osteoarthritis in the knee to go along with the problem in his right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According to the plaintiff, before the Accidents, he was a young man who was on the path to getting his life back on track. He had had a child and had been a responsible and involved parent to his son and had been actively involved in his care. His physical capability and skills with hands-on things were present to help him get settled into employment and to have a role in his young son's life, which he was unable to realize in part due to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medical evidence included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Brian Day (orthopaedic surgeon called by the plaintiff)</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assessed the plaintiff on June 22, 2016, that is, more than five years after Accident #2;</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stated the plaintiff's femur fracture was treated appropriately by internal fixation with an intramedullary ("IM") rod and distal and proximal locking screws;</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will require arthroscopic repair and reconstruction of his knee ligaments;</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plaintiff's right knee function will not be restored to normality, there will be functional improvement to a significant degree by further surgical treatment;</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knee instability and the probable articular cartilage damage he sustained, means that he is at high risk of developing osteoarthritis in later years; although a definitive prognosis about the plaintiff's right knee function is not possible until surgery and rehabilitation occurs; and</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articular cartilage damage could have been caused post-accident by the plaintiff walking for several years on an unstable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Giantomaso (physical medicine and rehabilitation called by the plaintiff)</w:t>
      </w:r>
      <w:r>
        <w:rPr>
          <w:rFonts w:ascii="arial" w:eastAsia="arial" w:hAnsi="arial" w:cs="arial"/>
          <w:sz w:val="20"/>
          <w:lang w:val="en-US" w:eastAsia="en-US" w:bidi="ar-SA"/>
        </w:rPr>
        <w:cr/>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assessed the plaintiff on December 19, 2015. He prepared two reports, the second being authored after Mr. Jacobs was diagnosed with the knee ligament injury, which Dr. Giantomaso did not diagnose in his assessment;</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made a number of observations with respect to the plaintiff's physical state at the time of the first assessment, including some muscle spasm in his mid-to upper-back;</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almost five years post-accident, the plaintiff suffered from chronic pain in the thoracic spine, hip and knee in addition to instability of the right knee;</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of the opinion that the plaintiff was likely to have ongoing pain into the future;</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could expect improved function and reduced pain symptoms post knee surgery; specifically, with a stable knee, he would "definitely" be more employable;</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plaintiff's recovery would depend on his adherence to a pre- and post-surgical plan of therapy; and</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mild traumatic brain injury was sustained in Accident #2, which was "basically resolved" by December 2015 when he assessed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Piseky (orthopaedic surgeon called by the defence)</w:t>
      </w:r>
      <w:r>
        <w:rPr>
          <w:rFonts w:ascii="arial" w:eastAsia="arial" w:hAnsi="arial" w:cs="arial"/>
          <w:sz w:val="20"/>
          <w:lang w:val="en-US" w:eastAsia="en-US" w:bidi="ar-SA"/>
        </w:rPr>
        <w:cr/>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assessed the plaintiff on October 17, 2016, and was advised by him that his main ongoing focus of concern from the injuries he sustained in the Accidents was his right knee and the tendency to experience knee dislocations;</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of the opinion that the plaintiff had sustained a tear of the anterior cruciate ligament (the "ACL"), the medial collateral ligament (the "MCL"), and the medial meniscus;</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see any "definite signs of osteoarthritis at this time but was of the opinion that the plaintiff had a 30-50% risk of developing osteoarthritis in the future with the risk being better quantified once a surgeon was able to visualize the interior of the knee joint";</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arthroscopic surgery to reconstruct the right knee ligaments was required; and</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of the view that the plaintiff did not have adequate rehabilitation after the Accidents, having only seen a physiotherapist on a single occasion. He opined that ongoing physical activity may be doing further damage to the joint itself.</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Causation and Findings of Fact re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Karim v. Li</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2015 BCSC 498</w:t>
        </w:r>
      </w:hyperlink>
      <w:r>
        <w:rPr>
          <w:rFonts w:ascii="arial" w:eastAsia="arial" w:hAnsi="arial" w:cs="arial"/>
          <w:color w:val="000000"/>
          <w:sz w:val="20"/>
          <w:lang w:val="en-US" w:eastAsia="en-US" w:bidi="ar-SA"/>
        </w:rPr>
        <w:t>, at paragraphs 90-101, I summarized certain of the applicable principles which I shall not repeat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Based on the agreed statement of facts and the medical evidence, which was to the effect that the plaintiff's internal and orthopaedic injuries were likely caused by Accident #2, I find that the plaintiff sustained serious injuries in Accident #2, which included:</w:t>
      </w:r>
      <w:r>
        <w:rPr>
          <w:rFonts w:ascii="arial" w:eastAsia="arial" w:hAnsi="arial" w:cs="arial"/>
          <w:sz w:val="20"/>
          <w:lang w:val="en-US" w:eastAsia="en-US" w:bidi="ar-SA"/>
        </w:rPr>
        <w:cr/>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transverse process fractures of C7, T1 and L5;</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bilateral pneumothoraxes and right pulmonary contusion;</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fractures of the right 1st, 5th, and 6th ribs;</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contusion and laceration of the liver;</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adrenal hematoma;</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anterior column acetabular fracture;</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sacral fracture;</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femur fractures;</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injuries to the ligaments of his right knee involving the ACL, the MCL, and the medial meniscus; and</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mild traumatic brain injury or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Furthermore, I do not find that any causal link, from an injury perspective, has been established between the effects of Accident #1 and Accident #2 such that the losses suffered could be found to be indivisible. The principles regarding divisible and indivisible injury are summarized by Justice Kelleher in </w:t>
      </w:r>
      <w:r>
        <w:rPr>
          <w:rFonts w:ascii="arial" w:eastAsia="arial" w:hAnsi="arial" w:cs="arial"/>
          <w:i/>
          <w:color w:val="000000"/>
          <w:sz w:val="20"/>
          <w:lang w:val="en-US" w:eastAsia="en-US" w:bidi="ar-SA"/>
        </w:rPr>
        <w:t>Danicek v. Alexander Holburn Beaudin and Lang</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2010 BCSC 1111</w:t>
        </w:r>
      </w:hyperlink>
      <w:r>
        <w:rPr>
          <w:rFonts w:ascii="arial" w:eastAsia="arial" w:hAnsi="arial" w:cs="arial"/>
          <w:color w:val="000000"/>
          <w:sz w:val="20"/>
          <w:lang w:val="en-US" w:eastAsia="en-US" w:bidi="ar-SA"/>
        </w:rPr>
        <w:t>, at paragraphs 210-212 [</w:t>
      </w:r>
      <w:r>
        <w:rPr>
          <w:rFonts w:ascii="arial" w:eastAsia="arial" w:hAnsi="arial" w:cs="arial"/>
          <w:i/>
          <w:color w:val="000000"/>
          <w:sz w:val="20"/>
          <w:lang w:val="en-US" w:eastAsia="en-US" w:bidi="ar-SA"/>
        </w:rPr>
        <w:t>Danicek</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Accidents #1 and #2 "did not produce overall or global symptoms that are difficult if not impossible to separate": </w:t>
      </w:r>
      <w:r>
        <w:rPr>
          <w:rFonts w:ascii="arial" w:eastAsia="arial" w:hAnsi="arial" w:cs="arial"/>
          <w:i/>
          <w:color w:val="000000"/>
          <w:sz w:val="20"/>
          <w:lang w:val="en-US" w:eastAsia="en-US" w:bidi="ar-SA"/>
        </w:rPr>
        <w:t>Danicek</w:t>
      </w:r>
      <w:r>
        <w:rPr>
          <w:rFonts w:ascii="arial" w:eastAsia="arial" w:hAnsi="arial" w:cs="arial"/>
          <w:color w:val="000000"/>
          <w:sz w:val="20"/>
          <w:lang w:val="en-US" w:eastAsia="en-US" w:bidi="ar-SA"/>
        </w:rPr>
        <w:t xml:space="preserve"> at para. 222.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Rather, I find that in Accident #1 the plaintiff suffered relatively minor soft tissue physical injuries, which resolved within at most a few weeks. These injuries were divisible and of a different nature from those suffered in Accident #2: </w:t>
      </w:r>
      <w:r>
        <w:rPr>
          <w:rFonts w:ascii="arial" w:eastAsia="arial" w:hAnsi="arial" w:cs="arial"/>
          <w:i/>
          <w:color w:val="000000"/>
          <w:sz w:val="20"/>
          <w:lang w:val="en-US" w:eastAsia="en-US" w:bidi="ar-SA"/>
        </w:rPr>
        <w:t>Danicek</w:t>
      </w:r>
      <w:r>
        <w:rPr>
          <w:rFonts w:ascii="arial" w:eastAsia="arial" w:hAnsi="arial" w:cs="arial"/>
          <w:color w:val="000000"/>
          <w:sz w:val="20"/>
          <w:lang w:val="en-US" w:eastAsia="en-US" w:bidi="ar-SA"/>
        </w:rPr>
        <w:t xml:space="preserve"> at para. 223.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In so far as the allegations of a mild traumatic brain injury ("MTBI") are concerned, I reach the following conclusions:</w:t>
      </w:r>
      <w:r>
        <w:rPr>
          <w:rFonts w:ascii="arial" w:eastAsia="arial" w:hAnsi="arial" w:cs="arial"/>
          <w:sz w:val="20"/>
          <w:lang w:val="en-US" w:eastAsia="en-US" w:bidi="ar-SA"/>
        </w:rPr>
        <w:cr/>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not established that he sustained a concussion or MTBI in Accident #1. His accounts of the Accidents indicate that he had been drinking and was sleeping when Accident #1 occurred. There is insufficient evidence in his reports to others and his evidence at trial from which it can be concluded that he likely sustained an MTBI in this accident;</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Dr. Giantamaso has opined that the plaintiff sustained an MTBI, this is said to be causally related to Accident #2;</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I consider the mechanics of the Accidents and, in particular, a collision between the pedestrian plaintiff and the Klock Vehicle and the forces of impact which were required to cause the plaintiff's serious orthopaedic and internal injuries, I conclude that it is more likely than not that the plaintiff did sustain an MTBI in that accident. The fact he had, for all intents and purposes, a normal Glasgow Coma Scale, at the time of arrival of the paramedics does not alter this conclusion;</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Dr. Giantamaso's evidence, I find that the effects of the MTBI sustained in Accident #2 were not of a significant nature since they were not dealt with to any noteworthy degree in his report or testimony.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Cultural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plaintiff made an extensive written submission that the court should consider "cultural bias" factors in its assessment of the damages. In particular it was submitted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cultural bias "needs to be considered in not only assessing this evidence, but also awarding compensation to the plaintiff for his injuries and the consequences of these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This portion of the plaintiff's written submission then considers in some detail authorities that have reviewed this issue in a criminal law context such as </w:t>
      </w:r>
      <w:r>
        <w:rPr>
          <w:rFonts w:ascii="arial" w:eastAsia="arial" w:hAnsi="arial" w:cs="arial"/>
          <w:i/>
          <w:color w:val="000000"/>
          <w:sz w:val="20"/>
          <w:lang w:val="en-US" w:eastAsia="en-US" w:bidi="ar-SA"/>
        </w:rPr>
        <w:t>R. v. Williams</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[1998] 1 S.C.R. 1128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 v. Gladue</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[1999] 1 S.C.R. 688</w:t>
        </w:r>
      </w:hyperlink>
      <w:r>
        <w:rPr>
          <w:rFonts w:ascii="arial" w:eastAsia="arial" w:hAnsi="arial" w:cs="arial"/>
          <w:color w:val="000000"/>
          <w:sz w:val="20"/>
          <w:lang w:val="en-US" w:eastAsia="en-US" w:bidi="ar-SA"/>
        </w:rPr>
        <w:t>, amongst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In oral submissions, Mr. Jacobs' counsel retreated significantly from the breadth of this submission. His argument appeared to finally rest with the proposition that if the plaintiff's cultural background could be causally related to a specific head of damage then the court should take that into account in assessing those particular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At no point did I understand the defendants' position to be what was implied in the plaintiff's submission, that because he was of indigenous heritage the Court should conclude that as part of his original position he was susceptible to a life of alcoholism or other forms of abuse which would likely affect his income earning capacity or things of the like.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Rather, the defendants properly conceded, in my view, that if the plaintiff's cultural background did impact upon a specific head of damages, as it related to him, then the Court could take that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As I will describe below, the plaintiff's indigenous background is specifically addressed by Ms. Chisolm in her cost of future care report in relation to one of the items she recommends for Mr. Jacobs being a case worker.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Apart from that I do not consider the "cultural bias" argument to be appropriate in the assessment of damages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plaintiff submits that his life has been permanently altered by the Accidents, in particular by Accident #2. He acknowledges the difficulties he had in his life prior to the Accidents but argues that his young age and the fact he had recently become a father would likely have resulted in his becoming more responsible over time. He says that to the extent he was "wounded" prior to the Accidents, these events have caused him to age before 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Mr. Jacobs says that his significant orthopaedic injuries have resulted in him going from an active and physically active young man to a person who is in a state of chronic pain in his right leg, hip and back. He can now barely walk up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In addition, it is the plaintiff's position that his pre-existing anxiety and depression have been exacerbated by the Accidents. The Accidents mark a tragic event in his life that he has been unable to overcome. His personal and family relationships have been significantly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Relying on, </w:t>
      </w:r>
      <w:r>
        <w:rPr>
          <w:rFonts w:ascii="arial" w:eastAsia="arial" w:hAnsi="arial" w:cs="arial"/>
          <w:i/>
          <w:color w:val="000000"/>
          <w:sz w:val="20"/>
          <w:lang w:val="en-US" w:eastAsia="en-US" w:bidi="ar-SA"/>
        </w:rPr>
        <w:t>inter alia, Schoenalz v. Reeves</w:t>
      </w:r>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2013 BCSC 1196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Ishii v. Wong</w:t>
      </w:r>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shd w:val="clear" w:color="auto" w:fill="FFFFFF"/>
            <w:lang w:val="en-US" w:eastAsia="en-US" w:bidi="ar-SA"/>
          </w:rPr>
          <w:t>2015 BCSC 922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Ishii</w:t>
      </w:r>
      <w:r>
        <w:rPr>
          <w:rFonts w:ascii="arial" w:eastAsia="arial" w:hAnsi="arial" w:cs="arial"/>
          <w:color w:val="000000"/>
          <w:sz w:val="20"/>
          <w:lang w:val="en-US" w:eastAsia="en-US" w:bidi="ar-SA"/>
        </w:rPr>
        <w:t>], the plaintiff submits that general damages should be assessed at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Basil and Klock defendants acknowledge the serious physical injuries sustained by the plaintiff in Accident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They submit that Mr. Jacobs has made a good recovery from his internal and orthopaedic injuries and his condition should improve significantly after the recommended knee surgery takes place. They also acknowledge that the plaintiff will require surgery at some time in the future to remove the IM rod in his right femur.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In so far as the plaintiff's emotional difficulties are concerned, they submit that his "original position" includes a history of alcohol and other substance abuse together with suicidal ideation.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Relying on </w:t>
      </w:r>
      <w:r>
        <w:rPr>
          <w:rFonts w:ascii="arial" w:eastAsia="arial" w:hAnsi="arial" w:cs="arial"/>
          <w:i/>
          <w:color w:val="000000"/>
          <w:sz w:val="20"/>
          <w:lang w:val="en-US" w:eastAsia="en-US" w:bidi="ar-SA"/>
        </w:rPr>
        <w:t>Harvey v. Swyer</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2007 NLTD 129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Isbister v. Delong</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2014 BCSC 1395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Gravelle v. Seargeant</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2013 BCSC 536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Gravelle</w:t>
      </w:r>
      <w:r>
        <w:rPr>
          <w:rFonts w:ascii="arial" w:eastAsia="arial" w:hAnsi="arial" w:cs="arial"/>
          <w:color w:val="000000"/>
          <w:sz w:val="20"/>
          <w:lang w:val="en-US" w:eastAsia="en-US" w:bidi="ar-SA"/>
        </w:rPr>
        <w:t>], they submit general damages should be assessed at $90,000.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Ishii</w:t>
      </w:r>
      <w:r>
        <w:rPr>
          <w:rFonts w:ascii="arial" w:eastAsia="arial" w:hAnsi="arial" w:cs="arial"/>
          <w:color w:val="000000"/>
          <w:sz w:val="20"/>
          <w:lang w:val="en-US" w:eastAsia="en-US" w:bidi="ar-SA"/>
        </w:rPr>
        <w:t>, Justice Gerow summarized the legal framework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[127] A plaintiff is entitled to reasonable damages for his or her pain and suffering. The plaintiff should be placed in the same position he or she would have been if the accident had not occurred, but not in a better position: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at para. 29.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[128]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the Court noted that a non-pecuniary award will vary to meet the specific circumstances of each case, and set out the factors to be considered in making such an award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[2004] B.C.J. No. 472</w:t>
        </w:r>
      </w:hyperlink>
      <w:r>
        <w:rPr>
          <w:rFonts w:ascii="arial" w:eastAsia="arial" w:hAnsi="arial" w:cs="arial"/>
          <w:color w:val="000000"/>
          <w:sz w:val="20"/>
          <w:lang w:val="en-US" w:eastAsia="en-US" w:bidi="ar-SA"/>
        </w:rPr>
        <w:t>, that influence an award of non-pecuniary damages includes:</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When I apply these factors to this case I conclude that the plaintiff's damages arising from Accident #1 should be assessed at $5,000, which is in general accordance with the $3,500 awarded for the second accident in </w:t>
      </w:r>
      <w:r>
        <w:rPr>
          <w:rFonts w:ascii="arial" w:eastAsia="arial" w:hAnsi="arial" w:cs="arial"/>
          <w:i/>
          <w:color w:val="000000"/>
          <w:sz w:val="20"/>
          <w:lang w:val="en-US" w:eastAsia="en-US" w:bidi="ar-SA"/>
        </w:rPr>
        <w:t>Gravelle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In so far as Accident #2 is concerned, I am of the view that the damages should be higher than those in the authorities upon which the defendants rely but less than those referred to by the plaintiff. I award $115,000 under this head of damages in relation to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 will now consider the other heads of damages sought by the plaintiff. In light of my conclusions regarding the effects of Accident #1, any award under these headings relates only to Accident #2, to which I may refer as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The legal framework which applies to a claim for past loss of earning capacity based on hypothetical events is the same as that concerning a loss of future earning capacity. Any ambiguity on this issue was recently resolved by the Court of Appeal in </w:t>
      </w:r>
      <w:r>
        <w:rPr>
          <w:rFonts w:ascii="arial" w:eastAsia="arial" w:hAnsi="arial" w:cs="arial"/>
          <w:i/>
          <w:color w:val="000000"/>
          <w:sz w:val="20"/>
          <w:lang w:val="en-US" w:eastAsia="en-US" w:bidi="ar-SA"/>
        </w:rPr>
        <w:t>Grewal v. Naumann</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2017 BCCA 158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Grewal</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Grewal</w:t>
      </w:r>
      <w:r>
        <w:rPr>
          <w:rFonts w:ascii="arial" w:eastAsia="arial" w:hAnsi="arial" w:cs="arial"/>
          <w:color w:val="000000"/>
          <w:sz w:val="20"/>
          <w:lang w:val="en-US" w:eastAsia="en-US" w:bidi="ar-SA"/>
        </w:rPr>
        <w:t xml:space="preserve"> the Court of Appeal reviewed, </w:t>
      </w:r>
      <w:r>
        <w:rPr>
          <w:rFonts w:ascii="arial" w:eastAsia="arial" w:hAnsi="arial" w:cs="arial"/>
          <w:i/>
          <w:color w:val="000000"/>
          <w:sz w:val="20"/>
          <w:lang w:val="en-US" w:eastAsia="en-US" w:bidi="ar-SA"/>
        </w:rPr>
        <w:t>inter alia, Reynolds v. M. Sanghera &amp; Sons Trucking Ltd.</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2015 BCCA 232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Ostrikoff v. Oliveria</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2015 BCCA 351</w:t>
        </w:r>
      </w:hyperlink>
      <w:r>
        <w:rPr>
          <w:rFonts w:ascii="arial" w:eastAsia="arial" w:hAnsi="arial" w:cs="arial"/>
          <w:color w:val="000000"/>
          <w:sz w:val="20"/>
          <w:lang w:val="en-US" w:eastAsia="en-US" w:bidi="ar-SA"/>
        </w:rPr>
        <w:t>, which suggested that claims for past loss of earning capacity based on hypothetical events should be decided on a balance of probabilities standard. The Court of Appeal rejected this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Justice Goepel reaffirmed the position taken by the court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stating at paras. 45-49: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The governing authority in this Court is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this Court, after an extensive review of the authorities, rejected the proposition that a claim for past loss of opportunity had to be established on a balance of probabilities. Rowles J.A. wrote for the court. She explained that the plaintiff in the first instance was required to establish both liability and causation on a balance of probabilities. This required the plaintiff to establish that the respondent's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whole or in part, caused the accident, and that the injuries the appellant sustained in the accident caused or contributed to the loss for which damages were sought (para. 26).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Rowles J.A. then went on to discuss the assessment of damages. She noted that the same test applies regardless of whether you are assessing past or future loss of earning capacity. In both situations the judge is considering hypothetical events. She reasoned: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[29] ...What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I note that neither </w:t>
      </w:r>
      <w:r>
        <w:rPr>
          <w:rFonts w:ascii="arial" w:eastAsia="arial" w:hAnsi="arial" w:cs="arial"/>
          <w:i/>
          <w:color w:val="000000"/>
          <w:sz w:val="20"/>
          <w:lang w:val="en-US" w:eastAsia="en-US" w:bidi="ar-SA"/>
        </w:rPr>
        <w:t>Reynolds</w:t>
      </w:r>
      <w:r>
        <w:rPr>
          <w:rFonts w:ascii="arial" w:eastAsia="arial" w:hAnsi="arial" w:cs="arial"/>
          <w:color w:val="000000"/>
          <w:sz w:val="20"/>
          <w:lang w:val="en-US" w:eastAsia="en-US" w:bidi="ar-SA"/>
        </w:rPr>
        <w:t xml:space="preserve"> nor </w:t>
      </w:r>
      <w:r>
        <w:rPr>
          <w:rFonts w:ascii="arial" w:eastAsia="arial" w:hAnsi="arial" w:cs="arial"/>
          <w:i/>
          <w:color w:val="000000"/>
          <w:sz w:val="20"/>
          <w:lang w:val="en-US" w:eastAsia="en-US" w:bidi="ar-SA"/>
        </w:rPr>
        <w:t>Ostrikoff</w:t>
      </w:r>
      <w:r>
        <w:rPr>
          <w:rFonts w:ascii="arial" w:eastAsia="arial" w:hAnsi="arial" w:cs="arial"/>
          <w:color w:val="000000"/>
          <w:sz w:val="20"/>
          <w:lang w:val="en-US" w:eastAsia="en-US" w:bidi="ar-SA"/>
        </w:rPr>
        <w:t xml:space="preserve"> referenced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To the extent that those decisions could be read to hold that a past hypothetical event must be proven on the balance of probabilities, they must be regarded as </w:t>
      </w:r>
      <w:r>
        <w:rPr>
          <w:rFonts w:ascii="arial" w:eastAsia="arial" w:hAnsi="arial" w:cs="arial"/>
          <w:i/>
          <w:color w:val="000000"/>
          <w:sz w:val="20"/>
          <w:lang w:val="en-US" w:eastAsia="en-US" w:bidi="ar-SA"/>
        </w:rPr>
        <w:t>per incuriam</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In summary, an assessment of loss of both past and future earning capacity involves a consideration of hypothetical events. The plaintiff is not required to prove these hypothetical events on a balance of probabilities. A future or hypothetical possibility will be taken into consideration as long as it is a real and substantial possibility and not mere speculation. If the plaintiff establishes a real and substantial possibility, the Court must then determine the measure of damages by assessing the likelihood of the event. Depending on the facts of the case, a loss may be quantified either on an earnings approach or on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at para.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The assessment of past or future loss requires the court to estimate a pecuniary loss by weighing possibilities and probabilities of hypothetical events. The use of economic and statistical evidence does not turn the assessment into a calculation but can be a helpful tool in determining what is fair and reasonable in the circumstances: </w:t>
      </w:r>
      <w:r>
        <w:rPr>
          <w:rFonts w:ascii="arial" w:eastAsia="arial" w:hAnsi="arial" w:cs="arial"/>
          <w:i/>
          <w:color w:val="000000"/>
          <w:sz w:val="20"/>
          <w:lang w:val="en-US" w:eastAsia="en-US" w:bidi="ar-SA"/>
        </w:rPr>
        <w:t>Dunbar v. Mendez</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2016 BCCA 211</w:t>
        </w:r>
      </w:hyperlink>
      <w:r>
        <w:rPr>
          <w:rFonts w:ascii="arial" w:eastAsia="arial" w:hAnsi="arial" w:cs="arial"/>
          <w:color w:val="000000"/>
          <w:sz w:val="20"/>
          <w:lang w:val="en-US" w:eastAsia="en-US" w:bidi="ar-SA"/>
        </w:rPr>
        <w:t>,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While Justice Goepel dissented in the result in </w:t>
      </w:r>
      <w:r>
        <w:rPr>
          <w:rFonts w:ascii="arial" w:eastAsia="arial" w:hAnsi="arial" w:cs="arial"/>
          <w:i/>
          <w:color w:val="000000"/>
          <w:sz w:val="20"/>
          <w:lang w:val="en-US" w:eastAsia="en-US" w:bidi="ar-SA"/>
        </w:rPr>
        <w:t>Grewal</w:t>
      </w:r>
      <w:r>
        <w:rPr>
          <w:rFonts w:ascii="arial" w:eastAsia="arial" w:hAnsi="arial" w:cs="arial"/>
          <w:color w:val="000000"/>
          <w:sz w:val="20"/>
          <w:lang w:val="en-US" w:eastAsia="en-US" w:bidi="ar-SA"/>
        </w:rPr>
        <w:t xml:space="preserve">, he was speaking for the Court of Appeal on this issue: </w:t>
      </w:r>
      <w:r>
        <w:rPr>
          <w:rFonts w:ascii="arial" w:eastAsia="arial" w:hAnsi="arial" w:cs="arial"/>
          <w:i/>
          <w:color w:val="000000"/>
          <w:sz w:val="20"/>
          <w:lang w:val="en-US" w:eastAsia="en-US" w:bidi="ar-SA"/>
        </w:rPr>
        <w:t>Dhaliwal v. Greyhound Canada Transportation Corp.</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2017 BCCA 260</w:t>
        </w:r>
      </w:hyperlink>
      <w:r>
        <w:rPr>
          <w:rFonts w:ascii="arial" w:eastAsia="arial" w:hAnsi="arial" w:cs="arial"/>
          <w:color w:val="000000"/>
          <w:sz w:val="20"/>
          <w:lang w:val="en-US" w:eastAsia="en-US" w:bidi="ar-SA"/>
        </w:rPr>
        <w:t>,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plaintiff submits that based on the totality of the evidence on this point including:</w:t>
      </w:r>
      <w:r>
        <w:rPr>
          <w:rFonts w:ascii="arial" w:eastAsia="arial" w:hAnsi="arial" w:cs="arial"/>
          <w:sz w:val="20"/>
          <w:lang w:val="en-US" w:eastAsia="en-US" w:bidi="ar-SA"/>
        </w:rPr>
        <w:cr/>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of his brother Frankie, who has been employed full time since 2011 and who earned approximately $25,000, $27,000 and $28,000 in 2014, 2015 and 2016 respectively; and</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friend, Chris Krisher, who earns $17/hour performing physical labour for a winery;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but for the Accidents, he would have earned some income to the time of the trial, likely from a physical type job, at a wage level likely not better than the minimum wage.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He points to the fact there is a six year span from when the Accidents occurred to the commencement of this trial and there is a real and substantial possibility that on balance he would have found some sort of employment during that time frame. He submits that having a child was a significant motivating factor for him to seek employment so that he could see his son, whose mother had moved him to Ontario without Mr. Jacobs'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plaintiff points to his physical abilities pre-accident and submits that the assessment of his loss should be based on his inability to access entry level physical occupations and relies on the evidence of the vocational expert Jodi Webster to this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He acknowledges that there was no income earning "track record" to speak of prior to the accidents but submits that his brother's and Mr. Krisher's income during those years can assist the court in assessing the parameters for this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He submits that a modest sum of $5,000 (net of tax) per year, for a total of $30,000 (net) for the six years since the Accidents represents a conservative assessment of what he could have earned to the time of trial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defendants' position is that there should be no award under this head of damage. Simply put, Mr. Jacobs has not established that but for the accident there was a real and substantial possibility of earning an income prior to the trial. The alleged basis for this award is entirely speculative. In this regard they point to:</w:t>
      </w:r>
      <w:r>
        <w:rPr>
          <w:rFonts w:ascii="arial" w:eastAsia="arial" w:hAnsi="arial" w:cs="arial"/>
          <w:sz w:val="20"/>
          <w:lang w:val="en-US" w:eastAsia="en-US" w:bidi="ar-SA"/>
        </w:rPr>
        <w:cr/>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Webster's opinion that Mr. Jacobs was competitively unemployable prior to the accident;</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taken no steps to find employment for some considerable time prior to the accident with the exception of applying at Tim Hortons;</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birth of his son did not change his motivation to be employed;</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longstanding history of depression, alcoholism and mental health issues; and</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not made any attempts to find work since the accident. In fact during a period of time when he was homeless in 2012 he was incarcerated as a result of an incident involving a break and enter, assault and uttering threats.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 have concluded that the plaintiff has established the basis for a very modest award for past loss of earning capacity. The fact he was competitively unemployable at the time of the accident does not mean that, in the intervening six year time frame to trial, a real and substantial possibility to earn an income was lost due to the injuries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This loss, however, must take into account the plaintiff's pre-accident lifestyle and lack of any real motivation to earn an income. The fact his brother, who had essentially the same upbringing as the plaintiff, was able to earn an income commencing in 2011, initially at minimum wage and then at a higher level, is some evidence of the opportunities available to Mr. Jacobs. Conversely, the fact the plaintiff had not made the efforts of his sibling either prior to or subsequent to the accident militates against an award in the range suggested by his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Under all the circumstances I award the plaintiff a nominal amount of approximately $2,500 per year for a total of $15,000 under this head of damage. This amount is net of taxes in that any tax payable would have been minimal at best.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principles to which I have referred apply to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plaintiff's position is similar to that with respect to the past loss of capacity claim but emphasizes that the plaintiff did have the potential to earn an income prior to the accident and that the injuries sustained will impair his ability to do so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In his written submission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any standard, a boy in his teenage years who loses his de-facto parents (his grandfather and grandmother), who had his difficulties with racism in the transition from a reservation elementary school to a provincial based high school, and learning to drink alcohol starting early on at the age of 12, and then suffering a loss of a close friend due to suicide, can all explain the plaintiff's less than stellar pre-accident work history.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question the plaintiff has the potential, with a lot of assistance and care, to overcome or be able to get into the work force given his aptitude with computers. The problem of course... is the formal academic and certification requirements for that type of work. The plaintiff concedes that some employment in the future in computers likely represents his residual employability and that at some point with some assistance he will attain some form of employment in that regard. However, there are significant negative contingencies that attach to that because of his poor track record academically and the barriers that Ms. Webster talked about in terms of getting the certifications that are likely needed to earn a significant wage.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Peter Sheldon, an economist who the plaintiff tendered as an expert witness, provided an income loss multiplier for an annual sum of $1,000 from the date of trial to age 65, being $28,857.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Relying on </w:t>
      </w:r>
      <w:r>
        <w:rPr>
          <w:rFonts w:ascii="arial" w:eastAsia="arial" w:hAnsi="arial" w:cs="arial"/>
          <w:i/>
          <w:color w:val="000000"/>
          <w:sz w:val="20"/>
          <w:lang w:val="en-US" w:eastAsia="en-US" w:bidi="ar-SA"/>
        </w:rPr>
        <w:t xml:space="preserve">Schoenhalz, </w:t>
      </w:r>
      <w:hyperlink r:id="rId50" w:history="1">
        <w:r>
          <w:rPr>
            <w:rFonts w:ascii="arial" w:eastAsia="arial" w:hAnsi="arial" w:cs="arial"/>
            <w:i/>
            <w:color w:val="0077CC"/>
            <w:sz w:val="20"/>
            <w:u w:val="single"/>
            <w:shd w:val="clear" w:color="auto" w:fill="FFFFFF"/>
            <w:lang w:val="en-US" w:eastAsia="en-US" w:bidi="ar-SA"/>
          </w:rPr>
          <w:t>[2013] B.C.J. No. 1456</w:t>
        </w:r>
      </w:hyperlink>
      <w:r>
        <w:rPr>
          <w:rFonts w:ascii="arial" w:eastAsia="arial" w:hAnsi="arial" w:cs="arial"/>
          <w:i/>
          <w:color w:val="000000"/>
          <w:sz w:val="20"/>
          <w:lang w:val="en-US" w:eastAsia="en-US" w:bidi="ar-SA"/>
        </w:rPr>
        <w:t>, Gilbert v. Bottle</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Terraciano (Guardian ad litem of) v. Etheridge</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[1997] B.C.J. No. 1051</w:t>
        </w:r>
      </w:hyperlink>
      <w:r>
        <w:rPr>
          <w:rFonts w:ascii="arial" w:eastAsia="arial" w:hAnsi="arial" w:cs="arial"/>
          <w:color w:val="000000"/>
          <w:sz w:val="20"/>
          <w:lang w:val="en-US" w:eastAsia="en-US" w:bidi="ar-SA"/>
        </w:rPr>
        <w:t>, the plaintiff seeks an award of $450,000 under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defendants' position is akin to that with respect to the past loss of earning capacity claim, being there should be no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In the alternative, they submit that any loss is minimal and at best a modest award of at most $50,000 would be appropriate. They point to Ms. Webster's evidence, which referred to the many barriers to employment that Mr. Jacobs faced before the accident including:</w:t>
      </w:r>
      <w:r>
        <w:rPr>
          <w:rFonts w:ascii="arial" w:eastAsia="arial" w:hAnsi="arial" w:cs="arial"/>
          <w:sz w:val="20"/>
          <w:lang w:val="en-US" w:eastAsia="en-US" w:bidi="ar-SA"/>
        </w:rPr>
        <w:cr/>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grade 9 education;</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extremely limited work experience;</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poor math skills;</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learning and/or behavioural issues in school;</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large gaps in work history;</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drug and alcohol addiction problems;</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mental health problems;</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neck tattoo;</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never had a drivers' license; and</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criminal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Ms. Webster also recommended significant interventions including that the plaintiff:</w:t>
      </w:r>
      <w:r>
        <w:rPr>
          <w:rFonts w:ascii="arial" w:eastAsia="arial" w:hAnsi="arial" w:cs="arial"/>
          <w:sz w:val="20"/>
          <w:lang w:val="en-US" w:eastAsia="en-US" w:bidi="ar-SA"/>
        </w:rPr>
        <w:cr/>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engage in a short course or practicum (volunteer or work-based) to determine "how he does" with assistance and support with respect to work habits, including in the form of monitoring communications with employers and reviewing work schedules to help him demonstrate "longer term employment habits"; and</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 Aboriginal Training Programs; however, many of these "programs target occupations and industries that are more labour based" and currently not suitable.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She was also of the view these interventions were also required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fact remains that the plaintiff's ability to work but for the accident was largely limited to physical activities unless he upgraded his education. There is also no question that he sustained serious orthopaedic injuries in the accident. While there is medical evidence, which I accept, that the contemplated knee surgery will significantly improve Mr. Jacobs' ability to function, there is still a real and substantial possibility, in my view, that his ability to earn an income has been impaired. This also takes into account the risk of arthritis and the possibility of a total knee replacement at some distant time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The issue then becomes how best to quantify this loss. In my view, the appropriate approach is that of the loss of a capital asset: see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12 and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When I consider:</w:t>
      </w:r>
      <w:r>
        <w:rPr>
          <w:rFonts w:ascii="arial" w:eastAsia="arial" w:hAnsi="arial" w:cs="arial"/>
          <w:sz w:val="20"/>
          <w:lang w:val="en-US" w:eastAsia="en-US" w:bidi="ar-SA"/>
        </w:rPr>
        <w:cr/>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still young age and a realistic working life of 35-40 years in what likely would have been, prior to the accident, physical work;</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physical injuries sustained in the accident;</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prospects for a significant improvement in his condition after the knee surgery;</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risk of arthritis interfering with his ability to earn an income as he ages;</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period of time off work after the removal of the rod in his femur;</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sporadic work history and the considerable obstacles to employment prior to the accident, which rendered him competitively unemployable, which remain thereafter and will continue to be the case unless he upgrades his education and/or becomes motivated to look for work;</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presence of some, albeit modest, non-physical residual employability in the field of computers;</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range of potential income as seen by his brother and friend; and</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generally positive and negative economic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assess the plaintiff's loss under this head of damages at $115,000.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While this is substantially less than the awards in </w:t>
      </w:r>
      <w:r>
        <w:rPr>
          <w:rFonts w:ascii="arial" w:eastAsia="arial" w:hAnsi="arial" w:cs="arial"/>
          <w:i/>
          <w:color w:val="000000"/>
          <w:sz w:val="20"/>
          <w:lang w:val="en-US" w:eastAsia="en-US" w:bidi="ar-SA"/>
        </w:rPr>
        <w:t>Schoenhalz</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I view the circumstances in those cases as being significantly different from those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Justice Gerow recently summarized the applicable framework in </w:t>
      </w:r>
      <w:r>
        <w:rPr>
          <w:rFonts w:ascii="arial" w:eastAsia="arial" w:hAnsi="arial" w:cs="arial"/>
          <w:i/>
          <w:color w:val="000000"/>
          <w:sz w:val="20"/>
          <w:lang w:val="en-US" w:eastAsia="en-US" w:bidi="ar-SA"/>
        </w:rPr>
        <w:t>Paterson v. Hindle</w:t>
      </w: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2017 BCSC 1104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Paterson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[86] Cost of future care is established if there is a medical justification for the claim, and the claim is reasonable: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at para. 42.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[87] In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the Court of Appeal discussed cost of future care: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The law is settled as to the appropriate approach to be taken in assessing future care costs. In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paras. 21-22, </w:t>
      </w:r>
      <w:hyperlink r:id="rId71" w:history="1">
        <w:r>
          <w:rPr>
            <w:rFonts w:ascii="arial" w:eastAsia="arial" w:hAnsi="arial" w:cs="arial"/>
            <w:i/>
            <w:color w:val="0077CC"/>
            <w:sz w:val="20"/>
            <w:u w:val="single"/>
            <w:shd w:val="clear" w:color="auto" w:fill="FFFFFF"/>
            <w:lang w:val="en-US" w:eastAsia="en-US" w:bidi="ar-SA"/>
          </w:rPr>
          <w:t>[2002] 1 S.C.R. 205</w:t>
        </w:r>
      </w:hyperlink>
      <w:r>
        <w:rPr>
          <w:rFonts w:ascii="arial" w:eastAsia="arial" w:hAnsi="arial" w:cs="arial"/>
          <w:color w:val="000000"/>
          <w:sz w:val="20"/>
          <w:lang w:val="en-US" w:eastAsia="en-US" w:bidi="ar-SA"/>
        </w:rPr>
        <w:t>, referred to by the trial judge, the Court articulated the test: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Damages for cost of future care are a matter of prediction. No one knows the future. Yet the rule that damages must be assessed once and for all at the time of trial (subject to modification on appeal) requires courts to peer into the future and fix the damages for future care as best they can. </w:t>
      </w:r>
      <w:r>
        <w:rPr>
          <w:rFonts w:ascii="arial" w:eastAsia="arial" w:hAnsi="arial" w:cs="arial"/>
          <w:color w:val="000000"/>
          <w:sz w:val="20"/>
          <w:u w:val="single"/>
          <w:lang w:val="en-US" w:eastAsia="en-US" w:bidi="ar-SA"/>
        </w:rPr>
        <w:t>In doing so, courts rely on the evidence as to what care is likely to be in the injured person's best interest</w:t>
      </w:r>
      <w:r>
        <w:rPr>
          <w:rFonts w:ascii="arial" w:eastAsia="arial" w:hAnsi="arial" w:cs="arial"/>
          <w:color w:val="000000"/>
          <w:sz w:val="20"/>
          <w:lang w:val="en-US" w:eastAsia="en-US" w:bidi="ar-SA"/>
        </w:rPr>
        <w:t>. Then they calculate the present cost of providing that care and may make an adjustment for the contingency that the future may differ from what the evidence at trial indicates.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w:t>
      </w:r>
      <w:r>
        <w:rPr>
          <w:rFonts w:ascii="arial" w:eastAsia="arial" w:hAnsi="arial" w:cs="arial"/>
          <w:color w:val="000000"/>
          <w:sz w:val="20"/>
          <w:u w:val="single"/>
          <w:lang w:val="en-US" w:eastAsia="en-US" w:bidi="ar-SA"/>
        </w:rPr>
        <w:t>The resulting award may be said to reflect the reasonable or normal expectations of what the injured person will require</w:t>
      </w:r>
      <w:r>
        <w:rPr>
          <w:rFonts w:ascii="arial" w:eastAsia="arial" w:hAnsi="arial" w:cs="arial"/>
          <w:color w:val="000000"/>
          <w:sz w:val="20"/>
          <w:lang w:val="en-US" w:eastAsia="en-US" w:bidi="ar-SA"/>
        </w:rPr>
        <w:t xml:space="preserve">. Jane Stapleton, "The Normal Expectancies Measure in Tort Damages" (1997), 113 L.Q.R. 257, thus suggests, at pp. 257-58, that the tort measure of compensatory damages may be described as the "'normal expectancies' measure", a term which "more clearly describes the aim of awards of compensatory damages in tort: namely, to re-position the plaintiff to the destination he would normally have reached ... had it not been for the tort". </w:t>
      </w:r>
      <w:r>
        <w:rPr>
          <w:rFonts w:ascii="arial" w:eastAsia="arial" w:hAnsi="arial" w:cs="arial"/>
          <w:color w:val="000000"/>
          <w:sz w:val="20"/>
          <w:u w:val="single"/>
          <w:lang w:val="en-US" w:eastAsia="en-US" w:bidi="ar-SA"/>
        </w:rPr>
        <w:t>The measure is objective, based on the evidence</w:t>
      </w:r>
      <w:r>
        <w:rPr>
          <w:rFonts w:ascii="arial" w:eastAsia="arial" w:hAnsi="arial" w:cs="arial"/>
          <w:color w:val="000000"/>
          <w:sz w:val="20"/>
          <w:lang w:val="en-US" w:eastAsia="en-US" w:bidi="ar-SA"/>
        </w:rPr>
        <w:t xml:space="preserve">. This method produces a result fair to both the claimant and the defendant. The claimant receives damages for future losses, as best they can be ascertained. The defendant is required to compensate for those losses. To award less than what may </w:t>
      </w:r>
      <w:r>
        <w:rPr>
          <w:rFonts w:ascii="arial" w:eastAsia="arial" w:hAnsi="arial" w:cs="arial"/>
          <w:color w:val="000000"/>
          <w:sz w:val="20"/>
          <w:u w:val="single"/>
          <w:lang w:val="en-US" w:eastAsia="en-US" w:bidi="ar-SA"/>
        </w:rPr>
        <w:t>reasonably be expected to be required</w:t>
      </w:r>
      <w:r>
        <w:rPr>
          <w:rFonts w:ascii="arial" w:eastAsia="arial" w:hAnsi="arial" w:cs="arial"/>
          <w:color w:val="000000"/>
          <w:sz w:val="20"/>
          <w:lang w:val="en-US" w:eastAsia="en-US" w:bidi="ar-SA"/>
        </w:rPr>
        <w:t xml:space="preserve"> is to give the plaintiff too little and unfairly advantage the defendant. To award more is to give the plaintiff a windfall and require the defendant to pay more than is fair.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[88] Services that a plaintiff is unlikely to avail themselves of should not be awarded. The assessment of future losses entails a consideration of what will reasonably be required: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 at para. 68.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[89] As noted in </w:t>
      </w:r>
      <w:r>
        <w:rPr>
          <w:rFonts w:ascii="arial" w:eastAsia="arial" w:hAnsi="arial" w:cs="arial"/>
          <w:i/>
          <w:color w:val="000000"/>
          <w:sz w:val="20"/>
          <w:lang w:val="en-US" w:eastAsia="en-US" w:bidi="ar-SA"/>
        </w:rPr>
        <w:t>Harrington v. Sangha</w:t>
      </w:r>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2011 BCSC 1035</w:t>
        </w:r>
      </w:hyperlink>
      <w:r>
        <w:rPr>
          <w:rFonts w:ascii="arial" w:eastAsia="arial" w:hAnsi="arial" w:cs="arial"/>
          <w:color w:val="000000"/>
          <w:sz w:val="20"/>
          <w:lang w:val="en-US" w:eastAsia="en-US" w:bidi="ar-SA"/>
        </w:rPr>
        <w:t>, at para. 153: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Measures that provide some solace but are not likely to result in medical improvement ought to be compensated for under the head of general damages rather than an expense that is compensable as a cost of future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[90] In </w:t>
      </w:r>
      <w:r>
        <w:rPr>
          <w:rFonts w:ascii="arial" w:eastAsia="arial" w:hAnsi="arial" w:cs="arial"/>
          <w:i/>
          <w:color w:val="000000"/>
          <w:sz w:val="20"/>
          <w:lang w:val="en-US" w:eastAsia="en-US" w:bidi="ar-SA"/>
        </w:rPr>
        <w:t>Penner v. Insurance Corporation of British Columbia</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2011 BCCA 135</w:t>
        </w:r>
      </w:hyperlink>
      <w:r>
        <w:rPr>
          <w:rFonts w:ascii="arial" w:eastAsia="arial" w:hAnsi="arial" w:cs="arial"/>
          <w:color w:val="000000"/>
          <w:sz w:val="20"/>
          <w:lang w:val="en-US" w:eastAsia="en-US" w:bidi="ar-SA"/>
        </w:rPr>
        <w:t>, at para. 13, the court noted that common sense should inform awards of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plaintiff lead evidence on this issue from Ms. Dawn Chisolm, an occupational therapist. In her reports, she outlined a series of recommendations based on different scenarios, including whether the plaintiff would undergo knee replacement surgery. Mr. Sheldon "costed" those recommendations at $137,000 for the low range of services and support recommended by Ms. Chisolm and $154,000 for the high end of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plaintiff seeks an additional $20,000 in relation to items "that are not yet known either for timing or for actual cost". He emphasizes that Ms. Chisolm's evidence is that her recommendations were "conservative".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defendants' position is that Ms. Chisolm's plan is, for the most part, excessive, duplicative and the required evidentiary medical link to what is recommended is largely not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I commence my analysis on this issue by noting that in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Justice Bennett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ICBC says that the trial judge did not examine each request and determine if there was an evidentiary link between the medical assessment and the care recommended by the occupational therapist and rehabilitation consultant. As Garson J.A. said in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at para. 39: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do not consider it necessary, in order for a plaintiff to successfully advance a future cost of care claim, that a physician testify to the medical necessity of each and every item of care that is claimed. But there must be some evidentiary link drawn between the physician's assessment of pain, disability, and recommended treatment and the care recommended by a qualified health care professional: </w:t>
      </w:r>
      <w:r>
        <w:rPr>
          <w:rFonts w:ascii="arial" w:eastAsia="arial" w:hAnsi="arial" w:cs="arial"/>
          <w:i/>
          <w:color w:val="000000"/>
          <w:sz w:val="20"/>
          <w:lang w:val="en-US" w:eastAsia="en-US" w:bidi="ar-SA"/>
        </w:rPr>
        <w:t>Aberdeen</w:t>
      </w:r>
      <w:r>
        <w:rPr>
          <w:rFonts w:ascii="arial" w:eastAsia="arial" w:hAnsi="arial" w:cs="arial"/>
          <w:color w:val="000000"/>
          <w:sz w:val="20"/>
          <w:lang w:val="en-US" w:eastAsia="en-US" w:bidi="ar-SA"/>
        </w:rPr>
        <w:t xml:space="preserve"> at paras. 43, 63.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The failure of the trial judge to perform an analysis of each item sought by the plaintiff with respect to whether there was "some evidentiary link between the physician's assessment of pain, disability and recommended treatment and the care recommended by a qualified health professional" was a legal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When I review Ms. Chisolm's recommendations from this perspective, I agree with the defendants that very few of them are linked to the evidence of the medical specialists, being Drs. Day, Giantomaso and Pisesky.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There are other significant deficiencies in Ms. Chisolm's opinions and recommendations which include:</w:t>
      </w:r>
      <w:r>
        <w:rPr>
          <w:rFonts w:ascii="arial" w:eastAsia="arial" w:hAnsi="arial" w:cs="arial"/>
          <w:sz w:val="20"/>
          <w:lang w:val="en-US" w:eastAsia="en-US" w:bidi="ar-SA"/>
        </w:rPr>
        <w:cr/>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chosen high priced services, like a private gym rather than the Vernon Aquatic Centre;</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recommended support and services without determining the plaintiff's original starting point. For example, she did not determine what housework he was typically responsible for before endeavouring to replace it. She also referred to Mr. Jacobs as an adolescent when shortly prior to the accident he had been living with his partner and child;</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recommended separate kinesiology for different areas of bodily improvement as well as extensive physiotherapy. I agree with the defendants that this does not comport with a common sense approach to rehabilitation and health maintenance;</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total, Ms. Chisholm recommended 37 to 51 sessions of kinesiology and physiotherapy prior to surgery, when Dr. Pisesky's recommendation was for 8 sessions pre-surgery with a physiotherapist;</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also agree with the defendants that Ms. Chisholm has costed replacement services and supports that the plaintiff is unlikely to require and which are not linked to the medical evidence. An example is the recommended 41 hours per year of household maintenance and yard work, when the plaintiff leaves the parental home. In fact, even with his unstable knee, the plaintiff has picked up odd jobs doing yard maintenance now, with an unstable knee; and</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 services, such as vocational or educational assistance, have already been provided by Ms. Webster or would have been required in any event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 also take into account:</w:t>
      </w:r>
      <w:r>
        <w:rPr>
          <w:rFonts w:ascii="arial" w:eastAsia="arial" w:hAnsi="arial" w:cs="arial"/>
          <w:sz w:val="20"/>
          <w:lang w:val="en-US" w:eastAsia="en-US" w:bidi="ar-SA"/>
        </w:rPr>
        <w:cr/>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history of non-attendance at medical appointments and therapy;</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many of the services recommended, such as psychological counselling, a vocational assessment and/or support, academic upgrading and the like, were required prior to the accident although the accident may well have augmented the need for such services;</w:t>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significant improvement that will likely result to the plaintiff's physical capabilities if he undergoes knee surgery; and</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certainty that the plaintiff will require knee surgery by age 50 as postulated by Ms. Chisolm. Based on the medical evidence there is certainly a real risk of such surgery if osteoarthritis develops in the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In my view, the appropriate manner to arrive at an award that is fair to both the plaintiff and the defendants is to consider what I have referred to above in the context of:</w:t>
      </w:r>
      <w:r>
        <w:rPr>
          <w:rFonts w:ascii="arial" w:eastAsia="arial" w:hAnsi="arial" w:cs="arial"/>
          <w:sz w:val="20"/>
          <w:lang w:val="en-US" w:eastAsia="en-US" w:bidi="ar-SA"/>
        </w:rPr>
        <w:cr/>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services are required based on the medical opinions. This includes certain physiotherapy and kinesiology treatments both prior and subsequent to the knee surgery and the removal of the rod in the femur;</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knee brace(s);</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modest amount for a case worker. I accept Ms. Chisolm's evidence that Mr. Jacobs' indigenous heritage likely means that he will require assistance to access medical and other support services;</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recommendations for future moving costs, handyman services and the like should be subject to significant negative contingencies as, at best, in my view, they represent a remote possibility; and</w:t>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associated with a total knee replacement, which are between approximately $4,000 - $5,500 according to Mr. Sheldon, should also be subject to a significant negative contingency.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When I take all these factors into account, which include both positive and negative contingencies to which I have referred, I conclude that the plaintiff should be awarded $50,000 under this head of damage which will be available to him over his life time as a "bank" to access as and when the need arises for those items to which I have referred in paragraph 212 above.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 In Trust Claim for Francis Jacobs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Paterson</w:t>
      </w:r>
      <w:r>
        <w:rPr>
          <w:rFonts w:ascii="arial" w:eastAsia="arial" w:hAnsi="arial" w:cs="arial"/>
          <w:color w:val="000000"/>
          <w:sz w:val="20"/>
          <w:lang w:val="en-US" w:eastAsia="en-US" w:bidi="ar-SA"/>
        </w:rPr>
        <w:t>, Justice Gerow summarized the applicable principles at paras. 110-111 and I shall not repeat them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The plaintiff seeks $2,500 on behalf of his brother Francis Jacobs who testified that following the Accidents, he assisted his brother by providing him with money and a place to shower when he was homeless. The plaintiff's evidence was that he had been cut off of social assistance after the accident and that he required his brother's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When I apply the principles as summarized in </w:t>
      </w:r>
      <w:r>
        <w:rPr>
          <w:rFonts w:ascii="arial" w:eastAsia="arial" w:hAnsi="arial" w:cs="arial"/>
          <w:i/>
          <w:color w:val="000000"/>
          <w:sz w:val="20"/>
          <w:lang w:val="en-US" w:eastAsia="en-US" w:bidi="ar-SA"/>
        </w:rPr>
        <w:t>Paterson</w:t>
      </w:r>
      <w:r>
        <w:rPr>
          <w:rFonts w:ascii="arial" w:eastAsia="arial" w:hAnsi="arial" w:cs="arial"/>
          <w:color w:val="000000"/>
          <w:sz w:val="20"/>
          <w:lang w:val="en-US" w:eastAsia="en-US" w:bidi="ar-SA"/>
        </w:rPr>
        <w:t>, I do not accept the plaintiff's argument that his brother's assistance for the time he was homeless went "over and beyond what one would expect from a brother who is only a year and a half older than the plaintiff". In fact, based on the relationship between the brothers as they grew up with their grandparents, I have concluded that what Frankie did for his brother during this time frame is exactly what I would expect of an older sibling in that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Accordingly, there will be no award under this heading.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Although the second amended statement of claim advances a claim for special damages, there was no evidence lead with respect to this issue. Accordingly there will be no award under this heading.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The defendants submit that the plaintiff has failed to mitigate his damages. A defendant who alleges a failure to mitigate must prove on a balance of probabilities that the injured plaintiff failed to take reasonable steps to reduce her loss and that if she had taken such steps the loss would have been reduced: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at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Jones v. Davenport; Jones v. Kretschmer</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2008 BCSC 18</w:t>
        </w:r>
      </w:hyperlink>
      <w:r>
        <w:rPr>
          <w:rFonts w:ascii="arial" w:eastAsia="arial" w:hAnsi="arial" w:cs="arial"/>
          <w:color w:val="000000"/>
          <w:sz w:val="20"/>
          <w:lang w:val="en-US" w:eastAsia="en-US" w:bidi="ar-SA"/>
        </w:rPr>
        <w:t>, the test was framed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[102] The onus is on the defendants to prove the essential elements of this defence on the balance of probabilities. As I understand the law, the essential elements of the defence of failure to mitigate are:</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qualified medical expert recommended that the plaintiff undergo a particular form of treatment;</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failed or refused to take the recommended treatment although it was available to him or her; and</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plaintiff's refusal or failure was unreasonable, in that if the plaintiff had taken the recommended trea tment, there is some likelihood that he or she would have received substantial benefit from it; and the treatment would not expose the plaintiff to significant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 defendants argue that it was recommended to the plaintiff in 2013 that he see a specialist for his knee and that he did not keep the appointment. They also point to Dr. Giantomaso's evidence that the longer the time between injury and repair, the more "worn out" the knee can become and the greater the risk of osteoarthritis.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It was the plaintiff's evidence that he did not remember being referred to a specialist for his knee although I accept that a letter was sent to him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As the Klock defendants note in their written submissions:</w:t>
      </w:r>
      <w:r>
        <w:rPr>
          <w:rFonts w:ascii="arial" w:eastAsia="arial" w:hAnsi="arial" w:cs="arial"/>
          <w:sz w:val="20"/>
          <w:lang w:val="en-US" w:eastAsia="en-US" w:bidi="ar-SA"/>
        </w:rPr>
        <w:cr/>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the law requires is that the plaintiff makes contextually reasonable and sincere efforts to limit his or her damages and loss. </w:t>
      </w:r>
      <w:r>
        <w:rPr>
          <w:rFonts w:ascii="arial" w:eastAsia="arial" w:hAnsi="arial" w:cs="arial"/>
          <w:i/>
          <w:color w:val="000000"/>
          <w:sz w:val="20"/>
          <w:lang w:val="en-US" w:eastAsia="en-US" w:bidi="ar-SA"/>
        </w:rPr>
        <w:t>Qiao v. Buckley</w:t>
      </w:r>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2008 BCSC 1782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Antoniali v. Massey</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2008 BCSC 1085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Chiu</w:t>
      </w:r>
      <w:r>
        <w:rPr>
          <w:rFonts w:ascii="arial" w:eastAsia="arial" w:hAnsi="arial" w:cs="arial"/>
          <w:color w:val="000000"/>
          <w:sz w:val="20"/>
          <w:lang w:val="en-US" w:eastAsia="en-US" w:bidi="ar-SA"/>
        </w:rPr>
        <w:t>, Justice Low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 A complicating factor in some cases is the ability of the plaintiff, due to cognitive impairment or age, to understand the course of treatment he should reasonably pursue. In the present case, the respondent did not turn 19 until 22 December 1996, almost three years post accident. In addition, there was evidence that he did not have a good grasp of what was wrong with him and why he needed medical attention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The defendants must take the plaintiff as they find him. In so far as this particular plaintiff is concerned, this included a young man who had a history of emotional problems, a lack of consistency in his living arrangements and clear difficulties with self-motivation.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In my view, the defendants have not established that it was "contextually reasonable" for the plaintiff to have failed to limit his damage or loss. There is insufficient evidence from which I can conclude that Mr. Jacobs, notwithstanding his age and mental state, "had a good grasp" of the need to follow up with specialists and avail himself of the services available through the public medical health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In fact, it is ironic the defendants would take the position they do on this issue. That is because they conceded in regard to the claim for cost of future care that there should be a modest award for a case worker to assist Mr. Jacobs in accessing various health and other services that may be available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In summary:</w:t>
      </w:r>
      <w:r>
        <w:rPr>
          <w:rFonts w:ascii="arial" w:eastAsia="arial" w:hAnsi="arial" w:cs="arial"/>
          <w:sz w:val="20"/>
          <w:lang w:val="en-US" w:eastAsia="en-US" w:bidi="ar-SA"/>
        </w:rPr>
        <w:cr/>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James Basil is 100% liable for Accident #1 and the plaintiff is awarded $5,000 in relation to that accident against this defendant;</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for Accident #2 is apportioned 25% against James Basil, 25% against the Klock defendants and 50% against the plaintiff;</w:t>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in Accident #2 are assessed as follows:</w:t>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 $115,000;</w:t>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earning capacity: $15,000;</w:t>
      </w:r>
    </w:p>
    <w:p>
      <w:pPr>
        <w:numPr>
          <w:numId w:val="1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of earning capacity: $115,000;</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$50,000;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Total: $295,000</w:t>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having been found contributorily negligent in Accident #2, will have several judgments against each of James Basil for 25% of $295,000 being $73,750 and the Klock defendants for $73,750 on the same basis; </w:t>
      </w:r>
      <w:r>
        <w:rPr>
          <w:rFonts w:ascii="arial" w:eastAsia="arial" w:hAnsi="arial" w:cs="arial"/>
          <w:i/>
          <w:color w:val="000000"/>
          <w:sz w:val="20"/>
          <w:lang w:val="en-US" w:eastAsia="en-US" w:bidi="ar-SA"/>
        </w:rPr>
        <w:t>Leischner v. West Kootenay Power and Light</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(1986), 70 B.C.L.R. 145</w:t>
        </w:r>
      </w:hyperlink>
      <w:r>
        <w:rPr>
          <w:rFonts w:ascii="arial" w:eastAsia="arial" w:hAnsi="arial" w:cs="arial"/>
          <w:color w:val="000000"/>
          <w:sz w:val="20"/>
          <w:lang w:val="en-US" w:eastAsia="en-US" w:bidi="ar-SA"/>
        </w:rPr>
        <w:t>, at para. 92.</w:t>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parties have leave to make submissions regarding the application of section 83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In light of my findings regarding liability for both accidents, the parties have leave to speak to costs should that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 ABRIOUX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9" style="position:absolute;z-index:2518620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7" w:history="1">
        <w:r>
          <w:rPr>
            <w:rFonts w:ascii="arial" w:eastAsia="arial" w:hAnsi="arial" w:cs="arial"/>
            <w:b/>
            <w:bCs/>
            <w:i/>
            <w:color w:val="0077CC"/>
            <w:kern w:val="32"/>
            <w:sz w:val="28"/>
            <w:szCs w:val="32"/>
            <w:u w:val="single"/>
            <w:shd w:val="clear" w:color="auto" w:fill="FFFFFF"/>
            <w:lang w:val="en-US" w:eastAsia="en-US" w:bidi="ar-SA"/>
          </w:rPr>
          <w:t>Johal v. Conron, [2013] B.C.J. No. 2318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 Donegan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17-20,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23,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45271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2318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2013 BCSC 1924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Surinder Kaur Johal, Plaintiff, and Bryan Joseph Conron,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0"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 w:name="Keywords_0"/>
      <w:bookmarkEnd w:id="7"/>
      <w:r>
        <w:rPr>
          <w:rFonts w:ascii="arial" w:eastAsia="arial" w:hAnsi="arial" w:cs="arial"/>
          <w:b/>
          <w:color w:val="000000"/>
          <w:sz w:val="20"/>
          <w:lang w:val="en-US" w:eastAsia="en-US" w:bidi="ar-SA"/>
        </w:rPr>
        <w:t xml:space="preserve">Damages — Physical and psychological injuries — Physical injuries — Body injuries — Back and spine — Neck — Soft tissue — Considerations impacting on award — Pre-existing injury — Action by 57-year-old plaintiff for damages for personal injuries suffered in motor vehicle accident in 2009 — Liability not in issue — Plaintiff had symptomatic shoulder, neck and upper back pain at time of accident — IME found plaintiff had mechanical back pain, frozen shoulder and complex regional pain syndrome worsened by accident — Plaintiff proved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caused mild to moderate soft tissue injuries to cervical and lumbar spine — Injuries aggravated pre-existing conditions, caused new conditions and had significant impact on her life — Non-pecuniary damages of $35,000 awarded — Special damages of $4,607 awarded.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Types of damages — General damages — For personal injuries — Considerations — Aggravation of pre-existing injury — Pre-existing medical conditions — Special damages — Expenses and expenditures — Medical — Medications — Therapy or rehabilitation — Action by 57-year-old plaintiff for damages for personal injuries suffered in motor vehicle accident in 2009 — Liability not in issue — Plaintiff had symptomatic shoulder, neck and upper back pain at time of accident — IME found plaintiff had mechanical back pain, frozen shoulder and complex regional pain syndrome worsened by accident — Plaintiff proved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caused mild to moderate soft tissue injuries to cervical and lumbar spine — Injuries aggravated pre-existing conditions, caused new conditions and had significant impact on her life — Non-pecuniary damages of $35,000 awarded — Special damages of $4,607 awarded.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 w:name="Case Summary_0"/>
            <w:bookmarkEnd w:id="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57-year-old plaintiff for damages for personal injuries suffered in a motor vehicle accident in 2009. The defendant's vehicle struck the front driver's side of the vehicle in which the plaintiff was a passenger in a parking lot. Liability was not in issue. The plaintiff's vehicle suffered $2,315 in damage. The plaintiff's head struck the rear-view mirror. The plaintiff was removed from the vehicle by stretcher and taken to the hospital. In 2006, the plaintiff was diagnosed with bilateral rotator cuff tendonitis. She received cortisone injections as needed. By 2009, prior to the accident, the plaintiff's shoulder pain was so debilitating that she could no longer work as a labourer and needed assistance with activities at home. She had symptomatic shoulder, neck and upper back pain at the time of the accident and had applied for CPP disability benefits. The plaintiff and her family testified that after the accident, her limitations and pain worsened. She experienced pain in her shoulders, neck, lower back, knees, legs, and hips. She received 88 physiotherapy treatments, cortisone injections and engaged a trainer. An IME in 2010, updated in 2011, found the plaintiff had mechanical back pain, a frozen shoulder and complex regional pain syndrome worsened by the accident. It concluded it was a blend of pre-accident and accident type problems that resulted in the plaintiff's current pain and disability.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 w:name="Holdings of Court_0"/>
            <w:bookmarkEnd w:id="9"/>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Despite some memory frailties and inconsistencies, the plaintiff was a credible witness. Based on the IME, the plaintiff had proven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mild to moderate soft tissue injuries to her cervical and lumbar spine. The injuries caused aggravation to her pre-existing conditions and caused new conditions in her lumbar spine and lower body. The injuries from the accident made the plaintiff's symptoms worse, slower to recover, and had a more significant impact on her life. Non-pecuniary damages of $35,000 were awarded. The plaintiff was entitled to recover her physiotherapy and training expenses and half of her prescription costs for a total special damages award of $4,607.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 w:name="Legislation Cited_0"/>
      <w:bookmarkEnd w:id="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1"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15-1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 w:name="Counsel_0"/>
      <w:bookmarkEnd w:id="1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2"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F.R. Scordo.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G. Ginter.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 w:name="Judgment_0"/>
      <w:bookmarkEnd w:id="12"/>
      <w:r>
        <w:pict>
          <v:line id="_x0000_s1033" style="position:absolute;z-index:2518128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 w:name="S.A. DONEGAN J."/>
            <w:bookmarkEnd w:id="13"/>
            <w:r>
              <w:rPr>
                <w:rFonts w:ascii="arial" w:eastAsia="arial" w:hAnsi="arial" w:cs="arial"/>
                <w:b/>
                <w:color w:val="000000"/>
                <w:sz w:val="30"/>
                <w:lang w:val="en-US" w:eastAsia="en-US" w:bidi="ar-SA"/>
              </w:rPr>
              <w:t>S.A. DONEGAN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Surinder Kaur Johal, claims damages for personal injuries sustained in a motor vehicle accident on June 10, 2009. Liability is not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It is Mrs. Johal's position that, as a result of the motor vehicle accident, she suffered mild/moderate soft tissue injuries of the cervical and lumbar spine that aggravated pre-existing medical conditions and/or created new ones. She seeks non-pecuniary damages in the range of $50,000.00 to $75,000.00 and special damages in the amount of $5,041.06.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It is the defendant's position that the injuries sustained by Mrs. Johal were minor in nature. The defendant contends that Mrs. Johal has understated her pre-accident health problems and limitations and overstated her post-accident ones. The defendant submits that an award of non-pecuniary damages in the range of $6,000.00 to $15,000.00 and special damages in the amount of $2,106.52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PRELIMINARY COMMENTS ON MRS. JOHAL'S EVIDENCE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submits that the plaintiff was not a credible witness and urges the court to be cautious in accepting her evidence. It is argued that her evidence lacks a "firmness of memory" and contains inconsistencies.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Counsel for the plaintiff submits that Mrs. Johal was a witness who genuinely tried to provide accurate testimony. Her evidence is, he argues, consistent with the evidence of other witnesses - witnesses the court should find to be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Factors to be considered in the assessment of credibility are set out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92"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(Ont.H.C.);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 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assessing Mrs. Johal's credibility, I am mindful that she possesses only basic English language skills. She testified through the use of an interpreter. In her day-to-day life, she is able to communicate in English, but only at a basic level. I appreciate that her verbal communication skills may lack the precision one might expect from a fluent speaker.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Mrs. Johal's memory about the physical symptoms she exhibited over the years was not particularly precise. I do not find this to be an attempt to deliberately mislead the court, but rather an understandable frailty of human memory. Fortunately, detailed medical records exist which record Mrs. Johal's reported symptoms in the years, months and days leading up to and following the accident. Mrs. Johal testified she told the truth to doctors. I accept this. She had no reason to mislead medical professionals who were trying to help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Mrs. Johal's evidence was generally consistent with the evidence of the other civilian witnesses. I recognize those witnesses all have a close bond with the plaintiff, but I did not find their evidence to be exaggerated, biased or in other ways faulty.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the evidence as a whole, despite some memory frailties and some inconsistencies, I conclude that Mrs. Johal was a credible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THE PLAINTIFF'S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Mrs. Johal was born on February 1, 1956. She emigrated to Canada in 1976 and married in 1977. She and her husband, Mohinder Johal, had four children who are now all independent adults. They currently have three grandchildren.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Mrs. Johal began working outside of the home in 1990, at the age of 34. Until she was disabled from employment in April of 2009, she held the following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091"/>
        <w:gridCol w:w="1150"/>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1990 - 1998</w:t>
            </w:r>
          </w:p>
        </w:tc>
        <w:tc>
          <w:tcPr>
            <w:tcW w:w="112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Kitchen worker/cook at a motel in Clearwater, British Columbia;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091"/>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1998</w:t>
            </w:r>
          </w:p>
        </w:tc>
        <w:tc>
          <w:tcPr>
            <w:tcW w:w="2048"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family moved to Kamloops.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091"/>
        <w:gridCol w:w="1150"/>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1998 - 2001</w:t>
            </w:r>
          </w:p>
        </w:tc>
        <w:tc>
          <w:tcPr>
            <w:tcW w:w="112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Chambermaid and/or kitchen helper at Kamloops motels and labourer at farms;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2001 - 2006</w:t>
            </w:r>
          </w:p>
        </w:tc>
        <w:tc>
          <w:tcPr>
            <w:tcW w:w="112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Labourer at a Kamloops mill and a ginseng farm;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091"/>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2006</w:t>
            </w:r>
          </w:p>
        </w:tc>
        <w:tc>
          <w:tcPr>
            <w:tcW w:w="2048"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mill shut down;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2007 - April 2009</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Seasonal work at a bakery near Cache Creek and a tree farm.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Mrs. Johal's employment, particularly her work at the mill, involved heavy, physical work. Over the years, she often worked full-time or greater than full-time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2006, Mrs. Johal began experiencing pain in her shoulders. She was referred to a rheumatologist, Dr. Navratil. Dr. Navratil diagnosed bilateral rotator cuff tendonitis in both shoulders. For treatment, he recommended and administered cortisone injections in the shoulders. She continued to see Dr. Navratil periodically for further injections as needed. In 2008, her family doctor, Dr. Zsigmond, diagnosed her with osteoarthritis of the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By April of 2009, Mrs. Johal's shoulder pain was so debilitating that she could no longer work. Dr. Zsigmond referred her to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Mrs. Johal saw Dr. Navratil on April 7, 2009. He injected her right shoulder, noting improvement in her left shoulder, but only minimal improvement in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April 10, 2009, Mrs. Johal attended to hospital with complaints of chest and abdominal pain, headaches and dizziness.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She attended her first physiotherapy appointment on April 15, 2009. At that time, she reported right shoulder and neck pain, as well as numbness and tingling in her hand. The physiotherapist's impression was that Mrs. Johal suffered from "severe myofascial pain" and "overuse syndrome neck and upper extremity".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Her next physiotherapy appointment was on April 24, 2009. She reported decreased neck and shoulder pain following her last treatment, but increased pain in her hand upon movement. The physiotherapist, Ms. Baerg, testified that by the end of treatment, Mrs. Johal could use the treadmill and bicycle for more than ten minutes. Further therapy would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a result of her shoulder problems, Mrs. Johal filed an application for Canada Pension Plan ("CPP") disability benefits on April 30,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May 15, 2009, Mrs. Johal saw Dr. Navratil again. She reported pain in her whole right upper extremity, down her hand, as well as "a lot of pain in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June 4, 2009, Mrs. Johal had an x-ray of her cervical spine. This x-ray showed "small anterior osteophytes at the C4-C5 and C5-C6 levels, with preservation of disc height of spondylosis seen." This can be a sign of degeneration.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June 8, 2009, Mrs. Johal saw Dr. Navratil again. He noted that she continued to have a lot of pain in her neck, upper back, right shoulder and arm. He prescribed Prednisone.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June 10, 2009, the accident occurred. On that day, Mrs. Johal was seen by Dr. Zsigmond and by medical personnel at Royal Inland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Controversy arose in the evidence as to when Mrs. Johal saw her family physician, Dr. Zsigmond, that day - before or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Although Dr. Zsigmond was emphatic that he saw Mrs. Johal in his office after the accident, I am satisfied that the evidence establishes that the visit occurred before the accident. Both Mr. and Mrs. Johal testified the visit was prior to the accident. Mrs. Johal recalled that she was looking down at a document that she had received from Dr. Zsigmond at the time the accident occurred. As well, Jaswinder Basran, a family friend, testified that she picked up the Johals from the hospital following the accident. Her recollection of that day is detailed. She took the Johals home from the hospital, with no mention of a stop at Dr. Zsigmond's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purpose of Mrs. Johal's visit to Dr. Zsigmond that day, prior to the accident, was largely with respect to her application for CPP disability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Zsigmond authored a report dated June 10, 2009, supporting Mrs. Johal's claim for CPP disability benefits. In the report, he diagnosed her as suffering from: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Bilateral cystic and calcific tendinitis of rotator cuff tendons and secondary osteoarthritis both shoulders. Bilateral impingement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With respect to physical findings and functional limitations,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her shoulders started to bother her (2005 - 2006) while working at Vavenby Mill her shoulder joints started to have progressive limited function becoming progressively disabled and incapable to hold jobs for longer periods of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had to quit her housemaid job in Cache Creek. At present beside impingement and calcific tendonopathy, she has bilateral proven osteoarthritis with ESR of 43 (May 15 2009) in spite of multiple cortisone injections in her joints.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With respect to her prognosis,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Very poor.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lady is losing her shoulders' functions progressively at present. Moderate to severe limitation and becoming "frozen shoulder" and most likely will become totally incapacitated.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Wade, a rheumatologist, conducted two independent medical examinations ("IME") of Mrs. Johal - one in September 2010 and the other in July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Wade's reports were filed and he was cross-examined on them. I found his evidence to be fair and balanced. Where his evidence may differ from that of Dr. Zsigmond, I prefer the evidence of Dr. Wade. He thoroughly reviewed all of Mrs. Johal's medical records and is a specialist in this field. He concluded that, prior to the motor vehicle accident, Mrs. Johal had "significant musculoskeletal problems." Specifically, he indicated that she suffered from:</w:t>
      </w:r>
      <w:r>
        <w:rPr>
          <w:rFonts w:ascii="arial" w:eastAsia="arial" w:hAnsi="arial" w:cs="arial"/>
          <w:sz w:val="20"/>
          <w:lang w:val="en-US" w:eastAsia="en-US" w:bidi="ar-SA"/>
        </w:rPr>
        <w:cr/>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Bilateral shoulder rotator cuff tendinitis in both shoulders;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Problems in the right upper extremity with the suggestion of complex regional pain syndrome;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Underlying degenerative arthritis of the cervical, thoracic and lumbar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Whether and how significantly these pre-existing medical conditions impacted Mrs. Johal's daily life prior to the accident was the source of some controversy in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Mrs. Johal, her husband, her daughter and a family friend, all testified about her functioning in daily life. They were generally consistent that Mrs. Johal had limitations and pain prior to the accident that worsened after the accident. They generally identified her pre-motor vehicle accident complaints of pain as being in the shoulders and arm (right more than left), with some sleeping difficulties. Occasional neck pain was identified in conjunction with the shoulder pain. Her daughter recalled Mrs. Johal suffering from occasional headaches and dizziness.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witnesses reported that Mrs. Johal could no longer work at her employment, that she needed some assistance with activities at home, and began to be less social and less independent in the months prior to the accident. They all felt these limitations increased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found the evidence of Mrs. Johal's family members and friend to be, on the whole, credible. While some inconsistencies exist in their evidence and the information provided by Mrs. Johal on her CPP application, I find they appeared to be doing their best to recall Mrs. Johal's complaints and level of functioning at certain points in time - a) before the CPP disability application, b) after the application, but before the motor vehicle, and then c) after the accident. I recognize that slicing the timeframes so thin in trying to recall exact limitations and complaints would be no easy task. Precision cannot be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Mrs. Johal's CPP application of April 30, 2009 portrays a more negative picture of her pre-accident health and functionality. The following extracts are noteworthy: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State the illness or impairments that prevent you from working. If you do not know the medical names, describe in your own words.</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Severe pain in right shoulder, arm, wrist &amp; hand. Numbness in right hand. Lesser pain, but also left side - use this less as am right handed.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Describe how these illnesses or impairments prevent you from working.</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Any use of right hand, wrist, shoulder creates excessive pain and limited movement.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have other health-related conditions or impairments, please describe them.</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None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had to stop other activities (such as hobbies, sports or volunteer work), please explain and give dates activities ceased.</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No longer able to bake/cook</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Explain any difficulties/functional limitations you have with the following: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Sitting/Standing (How long?)</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Pain in right arm when sitting, leaning excessively forward helps.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Walking (How long and how far?)</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Pain when walking causes dizziness. Can only walk as far as room to room</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Lifting/Carrying (How much and how far?)</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Cannot lift anything with right hand, not even a coffee cup</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Reaching</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Limited reach - half of a full extension.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Concentrating</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Pain makes thinking difficult at times.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Bending (How much?)</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None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Sleeping</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Pain makes sleeping inconsistent, often need mediation</w:t>
      </w: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Personal needs (Eating, washing hair, dressing etc.)</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Difficulty with most personal care - husband has to help.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Breathing</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When excessive swelling in shoulder &amp; chest, difficulty breathing - had to go to hospital twice.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Driving a car (How long?)</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Can no longer drive too much pain to move steering wheel/should. check etc.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Household maintenance (Cooking, cleaning, shopping and similar activities)</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Husband must now do all of this - I cannot.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Using public transportation</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Frequent stop, variable speeds makes taking bus difficult - meds. sometimes make me sleepy - have missed stops due to falling asleep while on the bus.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Provide the following information about the physician who will be completing your medical report.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were the reasons for your visits?</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Asking for more pain medication (stronger). Difficulty sleeping</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information provided by Mrs. Johal in this application portrays her pre-accident limitations as more debilitating than her evidence and that of the civilian witnesses. I am mindful that Mrs. Johal did not fill out this form herself. She provided information to a family friend, who documented her answers. The questions were specific and, in Mrs. Johal's mind, reflected how she felt at the time. She testified that her symptoms would fluctuate, but she did not report those fluctuations to CPP.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the whole of the evidence, I am satisfied that Mrs. Johal exaggerated some of her limitations in the CPP application and to Dr. Zsigmond in support of her application. This is not, I find, deliberate deceit, but a perhaps natural human tendency to present her case for benefits in the strongest possible light. What is clear from her application, however, is that she was experiencing severe pain in her right shoulder, arm, wrist and hand. She experienced numbness in the right hand. These afflictions impacted her sleep and caused dizziness.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find that Mrs. Johal, in the months leading up to the accident, was experiencing a decline in her functioning at home, recreationally and socially. Some days would be worse than others. Medication and injections would sometimes help, but she was generally disabled from regular activities from her shoulder, right upper extremity and arm pain on a consistent basis. By April of 2009, her pain was such that she could not maintain employment and needed help with activities at home. She was seeking more pain medication. Occasionally, she would suffer headaches, dizziness and neck pain. She was receiving treatment from Dr. Navratil and had begun a physiotherapy program that would hopefully see some benefit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Johal was driving his vehicle through a parking lot when it was struck by the defendant's vehicle. Mrs. Johal was the front seat passenger. She wore a seatbelt, but had the shoulder belt tucked under her right shoulder and arm, due to her shoulder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defendant's vehicle struck the front driver's side of the Johal vehicle. Neither vehicle was travelling over the posted speed limit of 10 kilometres per hour. Mrs. Johal did not see the defendant's vehicle before the collision. Paramedics later removed Mrs. Johal from the vehicle by stretcher and took both of the Johals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Johal vehicle was towed from the scene. Photographs depict damage to the body of the vehicle above the front driver's side wheel well. The cost to repair the vehicle was $2,315.36.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and Mrs. Johal both testified that upon impact, Mrs. Johal's body moved forward inside the vehicle to the point that her mid-forehead made contact with the rear-view mirror, causing swelling and bruising to her left eye, and swelling and a small cut to her forehead.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Counsel for the defendant urges me to use caution in accepting this evidence due to:</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low impact and nature of the collision from the left hand side of the vehicle;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common sense inference that Mrs. Johal's body could not have moved in the manner she describes;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nursing notes from the hospital where Mrs. Johal is recorded to say that her face struck the "window" and a notation indicating lack of visible bruising/lacerations.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There is no evidence before me regarding collision and/or likely body mechanics with respect to a collision of this nature, so I am unable to accede to the first two submissions. In considering the third, I note Mrs. Johal's first language is not English. I put no weight upon her use of the word "window" instead of the word "mirror". She told the nurse her face struck something inside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accept that Mrs. Johal did strike her head on the rear-view mirror. She and her husband both testified this occurred. Injuries consistent with such an impact were observed by all of the civilian witnesses. Kamel Johal, her daughter, made a note that day of those injuries. Dr. Zsigmond also observed those same injuries. He says that he observed them on June 10, 2009, but as I indicated earlier, I am satisfied that he is mistaken about the day. It is likely that he observed the injuries at her next appointment, some five days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have specifically not relied upon a doctor's note on the day of the accident that both counsel urge me to accept as supportive of their respective positions. The doctor's note can be interpreted as either he/she observed an injury to Mrs. Johal's face or he/she noted no injury to her face. Neither party called the doctor as a witness to clarify, so I am unable to put any weight on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E.</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u w:val="single"/>
                <w:lang w:val="en-US" w:eastAsia="en-US" w:bidi="ar-SA"/>
              </w:rPr>
              <w:t>THE PLAINTIFF'S POST-ACCIDENT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u w:val="single"/>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u w:val="single"/>
                <w:lang w:val="en-US" w:eastAsia="en-US" w:bidi="ar-SA"/>
              </w:rPr>
              <w:t>CONDITION</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At the hospital, Mrs. Johal complained of dizziness, headaches and nausea. An x-ray of her cervical spine showed findings similar to the x-ray conducted on June 4,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Mrs. Johal was released from the hospital later that same day with a diagnosis of "mild whiplash - C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Basran drove the Johals home from the hospital. In addition to observing the discolouration of her left eye and a bump on her forehead, Ms. Basran recalled Mrs. Johal complaining of back and neck pain and a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Johals' daughter saw them once they arrived home. She also noted the discolouration and swelling of her left eye and a bruise on her forehead. She noted her mother was very upset and complaining of dizziness and nausea.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Mrs. Johal's pain, dizziness, nausea and headache continued, resulting in another attendance at the hospital on June 12, 2009. A CT scan that day showed benign bilateral basal ganglial calcifications in her brain. These calcifications pre-dated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She next attended the hospital on June 18, 2009. While undergoing a previously ordered ultrasound of her right shoulder, Mrs. Johal began to experience dizziness. She was taken to the emergency department. The doctor's diagnosis there indicates "MVA - soft tissue injuries" and "tenderness diffusely bilateral chest, shoulders &amp; neck, decrease range of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Mrs. Johal continued to see her family physician in June. Dr. Zsigmond noted complaints with respect to her head, neck, shoulders, upper extremities, upper back and chest.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Commencing in July 2009, Mrs. Johal's pain became more widespread. Dr. Zsigmond noted pain complaints in multiple areas, including not only her shoulders, upper extremities and her neck, lower back, knees, but also now her legs and 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Mrs. Johal continued with physiotherapy, ultimately receiving 88 treatments between July 14, 2009 and November 15,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Mrs. Johal saw Dr. Navratil on August 25, 2009. At that time, she complained of pain in her left hip and left lower extremity. Dr. Navratil ordered, among other things, a total body bone 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When Mrs. Johal saw Dr. Navratil again on November 12, 2009, he noted that she was complaining of "pain all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December 3, 2009, Mrs. Johal saw Dr. Navratil following the bone scan. The bone scan results led him to rule out a diagnosis of rheumatoid arthritis. At that visit, Mrs. Johal complained of pain in multiple areas of her body, with particular emphasis on her right shoulder. Dr. Navratil felt that her right shoulder tendinitis was developing into frozen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Mrs. Johal saw Dr. Navratil again on February 19 and May 6,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September 1, 2010, Mrs. Johal travelled to Vancouver for the IME. Dr. Wade interviewed and examined Mrs. Johal for approximately two hours in total. Dr. Wade noted that Mrs. Johal's number one complaint that day was "pain in the right neck, right head and right shoulder" with lesser complaints on the left side. She identified her second complaint as "pain in the left lateral thigh", and her third as "numbness in the right hand," also indicating that she had some numbness in the left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Mrs. Johal continued with physiotherapy and commenced personal training as suggested by Dr. Wade. She continued to see Dr. Navratil periodically. As time went on, her symptoms worsened and became more widespread.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An MRI on June 3, 2011 showed an incomplete tear of a tendon in her right rotator cuff. Dr. Navratil recommended that she see an orthopaedic surgeon. In March of 2012, the surgeon recommended only conservative treatment. Cortisone injections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Mrs. Johal saw Dr. Wade again on July 26, 2011 for an updated IME. Mrs. Johal reported that she was considerably worse all over. Her number one complaint was pain in the right side of her neck, her right shoulder and into the right side of her head. She had lesser complaints about the left shoulder. Her second complaint was that of right, more than left, knee pain. Her third chief complaint was pain in the left lumbar area, radiating to the left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Navratil reassessed Mrs. Johal on November 14, 2012. At that time, her chief complaint was pain in her right shoulder, upper arm, right upper and posterior neck. Dr. Navratil noted that the cortisone injection he administered in March of 2012 moderately helped Mrs. Johal until a couple of months ago. Following his examination, his impression was that she was suffering from right shoulder rotator cuff tendinitis and chronic regional myofascial pain of right upper back and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Mrs. Johal testified that her physical condition and limitations were made worse by the motor vehicle accident. To date, she continues to have neck, shoulder and upper back pain. She has headaches of a more severe and frequent nature than she experienced before the accident. She suffers from lumbar back and lower body pains that she did not have prior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plaintiff must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her injuries.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injuries so long as it is part of the cause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Causation need not be determined by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primary test for causation is the well-known "but for" test. The question is: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This test recognizes that compensation for negligent conduct should only be made where a substantial connection between the injury and the defendant's conduct is present: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special circumstances, the "but for" test proves unworkable. A "material contribution" test can be used to resolve this question: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Causation must be established on a balance of probabilities before damages are assessed: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[78] It is important to distinguish between causation as the source of the loss and the rules of damage assessment in tort. The rules of causation consider generally whether "but for" the defendant's acts, the plaintiff's damages would have been incurred on a balance of probabilities.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Tortfeasors must take their victims as they find them, even if the plaintiff's injuries are more severe than they would be for a normal person (the thin skull rule). However, the defendant need not compensate the plaintiff for any debilitating effects of a pre-existing condition which the plaintiff would have experienced in any event (the crumbling skull rule):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32-35.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plaintiff submits that her present condition is as a result of non-tortious contributing causes (her prior bilateral shoulder tendinitis) and the soft tissue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She was susceptible to injury because of her pre-existing conditions. The accident aggravated those pre-existing conditions and caused new 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defendant agrees that Mrs. Johal did suffer some soft tissue injuries in the accident, but submits that that they were superimposed on a disabling and progressive symptomatic condition. She is, the defence argues, seeking to be put in a better position than she would have been in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Applying the principles outlined above to this case, I find that Mrs. Johal had the following pre-existing conditions at the time of the accident:</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bilateral shoulder rotator cuff tendinitis in both shoulders, causing particular pain and decreased mobility in her right shoulder;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complex regional pain syndrome in her right upper extremity causing pain in her right neck and shoulder, occasional headaches, dizziness and numbness in her right arm and hand;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underlying degenerative arthritis of the cervical, thoracic and lumbar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degenerative processes affecting her right shoulder and the complex regional pain syndrome were underway prior to the accident to the extent she could no longer work outside the home, and her home life was affected in material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accept the opinions of Dr. Wade. There is no expert evidence to the contrary. The few inconsistencies pointed to by the defence are, in my view, minor and do not impact the reliability of his evidence. He was a thorough, balanced and fair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his October 1, 2010 report, Dr. Wade itemized Mrs. Johal's injuries and complaints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the direct result of a motor vehicle accident of June 10, 2009 Mrs. Johal sustained a probable moderate musculoligamentous injury of the cervical spine and lumbar spine. ... She has had complaints including neck pain, headaches, increasing right shoulder and upper extremity pain and low back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of my assessment of September 1, 2010 Mrs. Johal had symptoms of mechanical neck pain. ... Radiographs of the cervical spine which had been done a few days prior to the motor vehicle accident of June 10, 2009 as well as on the day of the accident showed that there were radiographic changes of underlying degenerative arthritis of the cervical spine. In my opinion, the symptoms of mechanical neck pain are directly related in part to the motor vehicle accident of June 10, 2009 although part of the problem may be pre-existing.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of my assessment of September 1, 2010 Mrs. Johal had problems with pain and decreased range of the right shoulder in keeping with a frozen shoulder. It is clear that she had some problems prior to the accident of June 10, 2009 although it is likely that as a result of the pain and disability from the accident of June 10, 2009 that these symptoms are somewhat worse and have been slower to recover.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of my assessment of September 1, 2010 Mrs. Johal had findings of pain localized to the right wrist and hand. These symptoms and findings are in keeping with a complex regional pain syndrome. ... It appears that she may have had some of these symptoms prior to the accident of June 10, 2009 but her problems with right upper extremity pain distally into the hands have been more severe and persistent. Typically complex regional pain syndrome can be associated with a frozen shoulder. As she has had neck and right shoulder complaints that have been aggravated by the accident of June 10, 2009 it is likely that the complex regional pain syndrome in the right upper extremity is more significant than if she had not had the accident of June 10,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of my assessment of June 10, 2009 [sic] Mrs. Johal had symptoms in keeping with mechanical back pain. ... It is likely that the mechanical back pain in part is related to the accident of June 10, 2009 and that her progressive disability has resulted in a deconditioned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his July 26, 2011 report, Dr. Wade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global clinical picture of Mrs. Surinder Johal is complex. It would be my opinion that she had significant musculoskeletal complaints prior to a motor vehicle accident of June 10, 2009. As a result of the accident of June 10, 2009 she had an aggravation of neck and back complaints likely because of a mild soft tissue injury of the cervical and lumbar spine. Over time she has had persistent and increasing problems in a number of areas.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unclear to me whether her right shoulder pathology [tear] is any way directly related to the motor vehicle accident of June 10, 2009; however her global pre-existing musculoskeletal complaints have been aggravated by the soft tissue injury of the cervical and lumbar spine as a result of the accident of June 10,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Wade fairly conceded that it is difficult to sort out the symptoms that pre-dated the accident and those that could be directly attributed to the accident. In this regard,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it would be a blend of both pre-accident and accident type problems that have resulted in her current state of pain and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He further opined that if she would not have had the accident of June 10, 2009, and had been treated with appropriate aggressive physiotherapy to her right shoulder and upper extremity, that Mrs. Johal would have likely improved over time. I accept this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Accepting Dr. Wade's evidence as I do, I am satisfied that Mrs. Johal has proven,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mild to moderate soft tissue injuries to her cervical and lumbar spine. These injuries caused aggravation of her pre-existing conditions and caused new conditions in her lumbar spine and lower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Non-pecuniary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plaintiff seeks non-pecuniary damages between $50,000 to $75,000.00. In support, she has provided the following cases: </w:t>
      </w:r>
      <w:r>
        <w:rPr>
          <w:rFonts w:ascii="arial" w:eastAsia="arial" w:hAnsi="arial" w:cs="arial"/>
          <w:i/>
          <w:color w:val="000000"/>
          <w:sz w:val="20"/>
          <w:lang w:val="en-US" w:eastAsia="en-US" w:bidi="ar-SA"/>
        </w:rPr>
        <w:t>Midgley v. Nguyen</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2013 BCSC 693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McArthur v. Hudson</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2013 BCCA 375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Vagramov v. Zipursky</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2010 BCSC 414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Dial v. Grewal</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2010 BCSC 759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Kuskis v. Tin</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Ho v. Dosanjh</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2010 BCSC 845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defendant seeks an award between $6,000.00 and $15,000.00 and has provided the following cases in support: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[1982] B.C.J. No. 1518</w:t>
        </w:r>
      </w:hyperlink>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70 B.C.L.R. 397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Anderson v. Minhas</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2011 BCSC 203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Pardo v. Chen</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2012 BCSC 1525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Johannson v. National Car Rental (Canada) Inc.</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2008 BCSC 1873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Khodadoost v. Wittkamper</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2013 BCSC 1717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The compensation awarded should be fair to all parties, and fairness is measured against awards made in comparable cases. I am mindful that other authorities, though helpful, serve only as a rough guide.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188-189. I have read and considered all of the authorities provided by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the Court of Appeal outlined the factors to be considered when assessing non-pecuniary damages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Harris</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Mr. Justice Barrow explained how pre-existing conditions can be relevant to an assessment of damages in two different ways in </w:t>
      </w:r>
      <w:r>
        <w:rPr>
          <w:rFonts w:ascii="arial" w:eastAsia="arial" w:hAnsi="arial" w:cs="arial"/>
          <w:i/>
          <w:color w:val="000000"/>
          <w:sz w:val="20"/>
          <w:lang w:val="en-US" w:eastAsia="en-US" w:bidi="ar-SA"/>
        </w:rPr>
        <w:t>Johannson v. National Car Rental (Canada) Inc.</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2008 BCSC 1873</w:t>
        </w:r>
      </w:hyperlink>
      <w:r>
        <w:rPr>
          <w:rFonts w:ascii="arial" w:eastAsia="arial" w:hAnsi="arial" w:cs="arial"/>
          <w:color w:val="000000"/>
          <w:sz w:val="20"/>
          <w:lang w:val="en-US" w:eastAsia="en-US" w:bidi="ar-SA"/>
        </w:rPr>
        <w:t xml:space="preserve"> at paras. 36 and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All the plaintiff must show is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contributing cause to the injuries for which compensation is sought. I am satisfied that the plaintiff's difficulties with her upper back and neck following the accident were caused or contributed to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thus she is entitled to compensation for that. That is not to say that the pre-existing condition is irrelevant to the matter; it is relevant. Not because it renders the defendant not responsible for the injuries, but rather because it may affect the measure of damages. It may do that in one or two ways. As was pointed out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the plaintiff is entitled to be compensated to the degree necessary to put her in her pre-accident condition or position, not in a better position. If, in relation to the pre-existing condition, there was a measurable risk that it would have detrimentally affected the plaintiff in the future, then it may be that it is appropriate to reduce the award of damages to reflect that risk.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The second way in which a pre-existing condition can affect the quantum of damages is that it may cause an individual to experience greater pain as a consequence of injuries sustained or pain that lasts longer than would be the case with someone who does not have a pre-existing condition. To the extent that is so, however, it is not a basis upon which to reduce the amount of compensation, but rather to increase it to reflect the increased pain and/or duration of the consequences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soft tissue injuries to Mrs. Johal's neck and lumbar spine. Mrs. Johal's situation is complex in that those injuries both aggravated her pre-existing conditions relating to her right shoulder, upper extremity and neck and created new conditions in her lower body. As a result of her pre-existing conditions, she is entitled to be compensated to the degree necessary to put her in her pre-accident condition or position, not a better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There was a measurable risk that the pre-existing conditions to her right shoulder and right upper extremity would have detrimentally affected the plaintiff in the future, but not to the extent she is detrimentally affected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Clearly, Mrs. Johal's life was detrimentally affected by her shoulder and upper extremity conditions prior to the accident. She experienced daily pain that impacted her work, her ability to attend her Church as often as she would like, her ability to visit her family and her general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Just two months prior to the accident, she had begun a physiotherapy program and was continuing to see Dr. Navratil in the hope that her prognosis would improve. However, the accident occurred shortly after her physiotherapy efforts had begun. As a result of the injuries caused by the accident, Mrs. Johal has experienced a worsening of her symptoms. They have also become more widespread throughout her body. Her functionality at home, with her family and socially, has declined from her pre-accident state and continues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find she would have been disabled to some extent by her right shoulder and upper extremity problems if the accident had not occurred. However, the injuries from the accident have made her symptoms worse, slower to recover and have had a more significant impact on her life. In the unique circumstances of this case, I find that the appropriate award for non-pecuniary damages is $35,000.00.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Special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It is well established that a person injured by another's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entitled to recover the reasonable out-of-pocket expenses he or she incurred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 seeks special damages in the amount of $5,041.06 as set out in exhibit 6. The breakdown of that amount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915"/>
        <w:gridCol w:w="1464"/>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Physiotherapy expenses between</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July 14, 2009 and November 15, 2011:</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$1,841.00</w:t>
            </w:r>
          </w:p>
        </w:tc>
        <w:tc>
          <w:tcPr>
            <w:tcW w:w="266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915"/>
        <w:gridCol w:w="1464"/>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Mileage (to and from physiotherapy</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 to and from Dr. Wade's office</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 Vancouver):</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$641.92</w:t>
            </w:r>
          </w:p>
        </w:tc>
        <w:tc>
          <w:tcPr>
            <w:tcW w:w="266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732"/>
        <w:gridCol w:w="4287"/>
        <w:gridCol w:w="2091"/>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Prescription medication:</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$567.74</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869"/>
        <w:gridCol w:w="2510"/>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Deductible for car:</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$300.00</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732"/>
        <w:gridCol w:w="4496"/>
        <w:gridCol w:w="1882"/>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Personal trainer/rehabilitation</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services from December 31, 2010</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September 30, 2011:</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$1,690.40</w:t>
            </w:r>
          </w:p>
        </w:tc>
        <w:tc>
          <w:tcPr>
            <w:tcW w:w="266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defendant submits that only $2,106.52 in special damages ought to be awarded in this case. That amount is broken down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2823"/>
        <w:gridCol w:w="2195"/>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Physiotherapy:</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$1,436.00</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614"/>
        <w:gridCol w:w="2405"/>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Mileage:</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$355.52</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3450"/>
        <w:gridCol w:w="1568"/>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Deductible for car (75%</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the amount claimed):</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$225.00</w:t>
            </w:r>
          </w:p>
        </w:tc>
        <w:tc>
          <w:tcPr>
            <w:tcW w:w="399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With respect to physiotherapy expenses, the defendant submits that the amount claimed by the plaintiff ought to be reduced with respect to two items:</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Cloverdale physiotherapy expenses - $75.00;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 treatments beyond September 17,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this regard, the defendant submits that there was no evidence led with respect to the necessity of the Cloverdale physiotherapy appointments, and there was no medical need or recommendation for physiotherapy beyond September 17,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With respect to the claim for prescription medications, the defendant submits that no award should be made, pointing to evidence that the plaintiff was taking medications at the time of the accident for her pre-existing conditions. The defendant submits that Mrs. Johal failed to call any evidence establishing the medication claimed was prescribed or taken as a result of the injuries she suffered in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Finally, with respect to the plaintiff's claim for personal training and rehabilitation services, the defendant submits that no award ought to be made. The defendant asserts that Dr. Wade recommended such a program to treat Mrs. Johal's frozen shoulder. This condition pre-dated the accident and, therefore, should not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observe that in his October 1, 2010 report, Dr. Wade recommended that Mrs. Johal have "aggressive regular physiotherapy under the guidance of someone with expertise in right shoulder pathology". In addition, he recommended: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increasing global cardiopulmonary fitness exercise program that would include walking, stationary cycling, a water and gym program... If she can have an intensive rehab program of her right upper extremity in concert with an intense fitness exercise program ..., she would likely have the best optimal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Mrs. Johal followed those recommendations. She attended at regular physiotherapy sessions and engaged a trainer and rehabilitation specialist to assist with her general conditioning. In my view, she is entitled to recover physiotherapy and training expenses, except the physiotherapy expenses incurred in Cloverdale in the amount of $75.00. There is an absence of evidence with respect to those expenses. The training recommended by Dr. Wade was with respect to her overall condition, which was caused, in part,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With respect to the claim for prescription medications, Dr. Zsigmond explained that they were, generally speaking, pain and anti-inflammatory medications. No details were provided with respect to what medications or doses of medications were required before the accident, and what were required as a result of injuries suffered in the accident. However, Mrs. Johal testified that her pain and symptomology increased and became more widespread following the accident, and continues to this day. Dr. Wade opined that her ongoing symptoms are, "a blend of both pre-accident and accident-type problems." In these circumstances, I find that a fair and reasonable amount to award for prescription costs would be 50 percent of the amount claimed, or $283.87.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award the following amounts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451"/>
        <w:gridCol w:w="2928"/>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Physiotherapy:</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$1,766.00</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732"/>
        <w:gridCol w:w="4287"/>
        <w:gridCol w:w="2091"/>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Personal training and</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rehabilitation specialist:</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$1,690.40</w:t>
            </w:r>
          </w:p>
        </w:tc>
        <w:tc>
          <w:tcPr>
            <w:tcW w:w="266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732"/>
        <w:gridCol w:w="3241"/>
        <w:gridCol w:w="3137"/>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Mileage:</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$641.92</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346"/>
        <w:gridCol w:w="3033"/>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Deductible:</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$225.00</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732"/>
        <w:gridCol w:w="4287"/>
        <w:gridCol w:w="2091"/>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Prescription medication:</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$283.87</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TOTAL SPECIAL DAMAGES:</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$4,607.19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summary, the amounts awarded under the heads of damages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2301"/>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$35,000.00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405"/>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$4,607.19</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$39,607.19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plaintiff is entitled to her costs pursuant to Rule 15-1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 DONEGAN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4"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9" w:history="1">
        <w:r>
          <w:rPr>
            <w:rFonts w:ascii="arial" w:eastAsia="arial" w:hAnsi="arial" w:cs="arial"/>
            <w:b/>
            <w:bCs/>
            <w:i/>
            <w:color w:val="0077CC"/>
            <w:kern w:val="32"/>
            <w:sz w:val="28"/>
            <w:szCs w:val="32"/>
            <w:u w:val="single"/>
            <w:shd w:val="clear" w:color="auto" w:fill="FFFFFF"/>
            <w:lang w:val="en-US" w:eastAsia="en-US" w:bidi="ar-SA"/>
          </w:rPr>
          <w:t>R.A.R.B. v. British Columbia, [2001] B.C.J. No. 963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Stromberg-Stein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12 - 15, 19 - 23, 26 - 30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April 2 - 6,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C991308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963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667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104 A.C.W.S. (3d) 1054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B.C.T.C. 667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R.A.R.B., plaintiff, and Her Majesty the Queen in Right of the Province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5"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 w:name="Keywords_1"/>
      <w:bookmarkEnd w:id="14"/>
      <w:r>
        <w:rPr>
          <w:rFonts w:ascii="arial" w:eastAsia="arial" w:hAnsi="arial" w:cs="arial"/>
          <w:b/>
          <w:color w:val="000000"/>
          <w:sz w:val="20"/>
          <w:lang w:val="en-US" w:eastAsia="en-US" w:bidi="ar-SA"/>
        </w:rPr>
        <w:t xml:space="preserve">Crown — Torts by and against Crown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Crown — Failure to protect against dangerous conditions — Damages — Limits of compensatory damages — Pre-disposition to damage — Thin skull or crumbling skull — Limitations on recovery — 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Child, respecting — Duty of care — To children.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 w:name="Case Summary_1"/>
            <w:bookmarkEnd w:id="1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action by RB for damages for physical and sexual assaults by staff and residents of the Woodlands School, where he was a resident from 1975 to 1977. As a child, RB displayed behavioral difficulties, hyperactivity, anger problems and depression. He was emotionally, physically and sexually abused by his father. He displayed severe learning problems and was diagnosed as being mildly mentally retarded. He attended a number of schools but was frequently absent and unmanageable. He committed criminal acts such as stealing, breaking and entering, and damaging property. He was made a permanent ward at the age of 14. The Superintendent of Child Welfare placed him at Woodlands School until a more suitable resource could be found. RB was placed in the psychiatric unit of Woodlands where he was housed with adults and children who were known to be violent and who had serious medical and behavioral problems. RB claimed that he was physically assaulted by several residents and staff members at the school. His description of these assaults were inconsistent and was not recorded in any of the school's documentation at the time. There was one incident of sexual assault that was confirmed by the school's records. The assault involved a 23-year-old male with whom RB was housed. Although RB had no memory of the event, the records indicated the male admitted to touching RB's genitals and trying to fellate him while he slept. This male had a history of being sexually abusive towards young boys and this propensity was known to the school. RB claimed that the Crown was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placing him at Woodlands, failing to move him, and failing to supervise the other residents at the school.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 w:name="Holdings of Court_1"/>
            <w:bookmarkEnd w:id="16"/>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decision to place RB at Woodlands School was an operational decision. Therefore, a duty of care arose on the part of the Crown. The duty of the Superintendent, as the guardian of a child who was a permanent ward, was fiduciary in nature and included a duty to exercise special diligence. The Crown was not negligent in its initial decision to place RB at Woodlands. This was the only available resource that met his needs at the time. The Crown was also not liable for continuing RB's placement at Woodlands. There were no acceptable alternative placements available for RB until 1977 when he was moved. RB's evidence was inconsistent and filled with gaps and inaccuracies. He clearly had an impaired memory, and fabricated memories to fill in gaps in his recollections. As there was no confirmation of most of the assaults alleged to have been committed at Woodlands, RB failed to prove that such assaults had occurred. The ward where RB was placed was known to be a potentially dangerous place where a higher than normal complement of staff and supervision was necessary. Despite the known the risk, RB was housed with a male known to have been sexually aggressive. At the very minimum, the duty of special diligence required that either the male or RB be placed in a different living area. The Crown was negligent in its failure to take preventative its steps to protect RB from a known sexual predator. The award of damages was to take into account the extent to which the damages suffered by RB were attributable to the pre-existing condition rather than the defendants tortious conduct. It was clear from the evidence that RB was a crumbling skull. A number of events had a significant impact on RB including the physical and sexual abuse inflicted by his father, as well as the behavioral and learning problems he had experienced. The only assault for which the Crown was held liable was one which RB did not recall. It could not be said that the assault significantly aggravated or worsened his pre-existing condition. RB was awarded non-pecuniary damages in the amount of $20,000. As there was no evidence confirming any past wage loss or loss of earning capacity, no damages were awarded for these claims.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 w:name="Legislation Cited_1"/>
      <w:bookmarkEnd w:id="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6"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s.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Protection of Children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 w:name="Counsel_1"/>
      <w:bookmarkEnd w:id="1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7" style="position:absolute;z-index:2517626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Ellis and S. Aldinger, for the plaintiff. J.E. Vance and J.M. Young, for the defendant Crown.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 w:name="Judgment_1"/>
      <w:bookmarkEnd w:id="19"/>
      <w:r>
        <w:pict>
          <v:line id="_x0000_s1038" style="position:absolute;z-index:2518138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 w:name="STROMBERG-STEIN J."/>
            <w:bookmarkEnd w:id="20"/>
            <w:r>
              <w:rPr>
                <w:rFonts w:ascii="arial" w:eastAsia="arial" w:hAnsi="arial" w:cs="arial"/>
                <w:b/>
                <w:color w:val="000000"/>
                <w:sz w:val="30"/>
                <w:lang w:val="en-US" w:eastAsia="en-US" w:bidi="ar-SA"/>
              </w:rPr>
              <w:t>STROMBERG-STEIN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Over 26 years ago, 14 year old R.A.R.B. was made a permanent ward and his guardian, the Superintendent of Child Welfare, placed him at Woodlands School until a more suitable resource could be found. He remained at Woodlands School for two years before he was moved to another resource. On March 11, 1999 he sued the government, claiming damages for wrongful placement and treatment, for physical assaults by staff and residents, and for sexual assaults by another resident.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the Crown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placing Mr. R.A.R.B. at Woodlands School in April 1975?</w:t>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the Crown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failing to move Mr. R.A.R.B. from Woodlands School before May 1977?</w:t>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the Crown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failing to supervise other residents at Woodlands School?</w:t>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the Crown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its treatment of Mr. R.A.R.B. while he was resident at Woodlands School?</w:t>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Crown vicariously liable for the alleged assaults by Woodlands' staff?</w:t>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Are Mr. R.A.R.B.'s claims defeated by operation of the Limitation Act, </w:t>
      </w:r>
      <w:hyperlink r:id="rId120"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quantum of damages, if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Pre-Woodlands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R.A.R.B. was born on August 2, 1960 in Vancouver. His physical needs were met, although his family was not well off, but his home life was stressful and unpredictable. By the age of two he displayed behavioural difficulties and was delayed in some developmental milestones. Testing revealed he suffered from organic brain damage and mild mental retardation. In his early childhood Mr. R.A.R.B. demonstrated symptoms of hyperactivity, disturbed sleep, emotional sensitivity, anger problems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relationship between Mr. R.A.R.B. and his mother was strained due to the challenges he posed to the family unit and due to sibling rivalry with his younger brother. His father was emotionally, physically and sexually abusive. Mr. R.A.R.B.'s father regularly hit him with a leather belt, his fists, and a wet towel. His father rubbed Mr. R.A.R.B.'s face in urine soaked sheets when Mr. R.A.R.B. wet his bed. In addition, Mr. R.A.R.B. was blamed for the crib deaths of his infant sister and brother.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 time passed, Mr. R.A.R.B. became increasingly more difficult to handle. At an early age Mr. R.A.R.B. wandered from home or ran away. He engaged in lying and stealing, sometimes involving his younger brother in his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addition to significant behavioural problems, Mr. R.A.R.B. had severe learning problems. He was unable to read. Other children teased him from an early age, including calling him a "retard", a hurtful insult that to this day provokes rage. Mr. R.A.R.B. developed a poor self-concept. Numerous full scale IQ tests throughout his childhood placed him in the mildly mentally retarded range, but with a marked and significant difference between his verbal and non verbal skills, the latter being in the low normal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R.A.R.B. attended a number of schools. In addition to learning difficulties, he was found to be unmanageable. However, he was good at sports.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Eventually Mr. R.A.R.B.'s parents sent him to Cedar Lodge School on Vancouver Island where he stayed for four years, visiting his family on weekends and holidays. His progress at Cedar Lodge was described as "phenomenal" and he showed steady improvement in his academic learning. Initially he was described as "easily led", but later he was seen as a negative influence on the other boys. During the summer of 1974, he was absent without leave from Cedar Lodge and committed numerous delinquencies, including stealing vehicles and a boat, breaking and entering, and damaging property. He was charged with numerous offences and placed on indefinite probation until his 19th birthday.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Cedar Lodge, Mr. R.A.R.B. experimented sexually with other boys, including consensual, and perhaps forced, sexual acts of fondling, simulated intercourse and anal intercourse.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R.A.R.B. was kicked out of Cedar Lodge in October 1974 due to his delinquent behaviour and he returned to live with his family for a short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Woodlands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Woodlands School was imposing and intimidating. The brick buildings, with bars on most windows, were old and dilapidated. This barren institution was an unpleasant place to confine anyone, particularly a vulnerable young child. Although possibly acceptable as a placement by mid-1970's standards, Woodlands School would not pass muster as suitable by today's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court remanded Mr. R.A.R.B. in custody to Woodlands School on December 19, 1974, following a finding he was unfit to understand the nature of the criminal charges he was facing in Vancouver. However, Woodlands refused to admit Mr. R.A.R.B. on the grounds that he was not developmentally disabled and that the judge had not signed the requisite order. Consequently, he remained in custody at the Juvenile Detention Home until a judge determined that his continued detention was no longer appropriate. Mr. R.A.R.B. was placed in the Superintendent's care on December 31, 1974 when his family refused to have him live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January 9, 1975 Mr. R.A.R.B. was taken to Woodlands School for a one-day assessment. The experience was so traumatic that Mr. R.A.R.B. "freaked out, became violent and had to be physically restrained" by his social worker and his probation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January 15, 1975, Mr. R.A.R.B. was committed permanently to the care of the Superintendent and placed in a foster home at the Vera Mainville Boarding Home. He was there less than two months before he committed further criminal offences and again was remanded in custody to the Juvenile Detention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April 1, 1975, by order of a judge, he was remanded to Woodlands School for a 30-day assessment. The court records have been destroyed but it is probable that Mr. R.A.R.B. returned to court following the assessment and was found unfit to dispose of his outstanding criminal charge. He remained at Woodlands School following the 30-day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a ward of the Superintendent, at the age of 14, Mr. R.A.R.B. was placed on Ward 72 at Woodlands School. Ward 72 was part of a psychiatric unit where difficult behaviour management cases were handled using a multi-disciplinary approach that included medication, counselling, therapy, group discussions and behaviour modification techniques that combined rewards of privileges with punishment. Ward 72 was a locked ward with males ranging in age from approximately 13 to 30, all with serious medical and behavioural problems, including seizures, psychotic episodes and unpredictable and violent outbursts.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Within a few weeks of arriving on Ward 72, Mr. R.A.R.B. was physically and sexually assaulted.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Thus Mr. R.A.R.B. began a pattern of unauthorized absences at every opportunity, totalling about 19 such absences during his stay at Woodlands School. During some absences Mr. R.A.R.B. committed crimes, one time stealing a car and getting into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Each time Mr. R.A.R.B. was returned from an absence without leave he was placed alone in a single or side room, sometimes for days, but it is unclear if he was always in seclusion. This room was used as a form of punishment and as a form of behaviour modification. Sometimes it was used as a temporary placement to await the availability of another bed, or to provide medical treatment for Mr. R.A.R.B. when he returned from unauthorized leave injured. Sometimes the room was unfurnished and Mr. R.A.R.B. was given a blanket on the floor to sleep on. Sometimes he was forced to wear pyjamas and eat baby food.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occasion Mr. R.A.R.B. was aggressive and the records show he was given Paraldehyde two or three times for sedation.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R.A.R.B. was sent to the Gold Creek Camp program in July 1975. This could have been a long-term placement leading to integration into the community but, unfortunately, Mr. R.A.R.B. did not take advantage of the vocational training opportunities there. Instead he used his freedom to vandalize camp property one time and to go absent without leave frequently. He was injured during one unauthorized absence from Gold Creek Camp which necessitated his return to Woodlands School and Ward 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R.A.R.B. complains that he received little schooling at Woodlands, that he did not learn much because he functioned at a higher intellectual level than most of the other residents, and that there was little stimulation. He claims he had few friends or peers. He complains he received only minimal job training, working in a greenhouse and at Gold Creek Camp, and received little in the way of counselling. At Woodlands School, when he was not absent without leave, Mr. R.A.R.B. had the opportunity to participate in basic work training, schooling and counselling. He chose not to take advantage of these opportunities.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Schneider, Mr. R.A.R.B.'s social worker who had the responsibility to find a suitable resource for Mr. R.A.R.B., could find no "proper facilities" for him. Mr. R.A.R.B.'s parents would not let him live at home and it was difficult to find an appropriate foster home given his criminal activities and behavioural problems. Mr. R.A.R.B. was placed in Woodlands School because there was no other suitable placement at the time to meet his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Prior to placement at Woodlands School, during a pre-placement visit to Island Youth Center, Mr. R.A.R.B. went absent without leave and subsequently the Island Youth Center was not prepared to accept Mr. R.A.R.B. When he was first made a permanent ward, and after his release from the Juvenile Detention Home, he was given the opportunity of a foster home placement, but in less than two months he committed another crime and was sent back to the Juvenile Detention Home. It was only when all other resources seemingly were exhausted that Mr. R.A.R.B. was sent to Woodlands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plan was for Mr. R.A.R.B. to go to Woodlands on an interim basis with a view to moving him to a suitable foster home. About the time Mr. R.A.R.B. was accepted into the Gold Creek Camp program, the records indicate that Mr. Schneider's plan changed from a temporary placement at Woodlands to a permanent placement for the next 24 months. At the same time, Mr. Schneider substantially transferred his responsibility for finding a suitable placement to the social worker at Woodlands.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early as September 1975 it was the consensus of all those involved in Mr. R.A.R.B.'s care that Woodlands School could offer Mr. R.A.R.B. little in the way of educational, vocational and social training. There was even the view that the Woodlands placement was detrimental to Mr. R.A.R.B. However, Mr. R.A.R.B. could not be moved from Woodlands until a more suitable resource was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the time Mr. R.A.R.B. was placed at Woodlands School, the prevailing view was that individuals were better cared for in their own homes or communities using community resources. As a result, government policy at the relevant time was to fund community based resources, not to develop specialized residential resources. Government policy viewed Woodlands School as the appropriate choice for developmentally disabled teens like Mr. R.A.R.B. who were considered unacceptable for other resources in their communities. In that respect, it could be said Woodlands School was a placement of last resort for those who could not be managed in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Minimal attempts were made to find a more suitable placement for Mr. R.A.R.B. until he was placed at Chrisholme in May 1977. There was a critical communication failure with respect to the unavailability of Chrisholme as a resource from the summer of 1975 until late 1976. As a result, during this time, no effort was made to find an alternate placement for Mr. R.A.R.B.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would be speculative to conclude there were other resources available that suited Mr. R.A.R.B.'s distinctive needs, either in or out of province. Out of province placements were rare, and limited funding was available for such placements. The only reliable evidence is that there were no other suitable resources available for Mr. R.A.R.B.'s unique needs. Mr. R.A.R.B. was a child with significant criminal and behavioural difficulties, who had been classified as mildly mentally retarded. In the mid-1970's, such children were streamed differently from children who simply exhibited behavioural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Post-Woodlands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Chrisholme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Chrisholme was a private resource that could choose whether to accept or reject an individual as a resident. It was located in Langley and had space for 20 to 25 teenage boys. It was difficult to obtain a space since it was a long-term placement and priority was given to local boys.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summer of 1975, as a result of complaints about the mistreatment of boys, the government undertook an investigation of the suitability of Chrisholme as a government-funded resource. As a result, there were no new government referrals to Chrisholme until late 1976, after a report was received and necessary changes were implemented.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evidence establishes that, other than Woodlands, Chrisholme was the only suitable resource for Mr. R.A.R.B. and he was placed there as soon as he was accepted. Mr. R.A.R.B. did well at Chrisholme; he ran away only one time. He developed farm-related work skills and social skills. At age 18 he decided to leave and live independently.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Adult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R.A.R.B.'s adult years have been punctuated with varied and sporadic employment. He was fired from numerous jobs, in part due to a serious drinking problem. For a time he continued to break the law, one time being jailed for an assault. He married but his marriage was short-lived.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R.A.R.B. has been hospitalized frequently for depression, self-mutilation and suicidal gestures. There is a dispute in the hospital records regarding Mr. R.A.R.B.'s past conduct: some doctors view it as manipulative and attention seeking whereas others see it as a plea for relief from underlying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R.A.R.B.'s first disclosure of abuse at Woodlands School appears to have occurred in 1985 during a hospitalization. He complained of nightmares and flashbacks to his Woodlands experiences. He complained of difficulty sleeping, often waking due to nightmares or having wet his bed. He often looked under his bed before going to sleep and always slept with the doors and windows open. He first started counselling in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R.A.R.B. is in a stable relationship and has enjoyed the support of his common law spouse, P.W., for 10 years. While he complains of difficulty maintaining an erection due to flashbacks to his Woodlands experiences, Ms. P.W. testified this problem has decreased over time. Presently he is under the care of a psychiatrist and is taking anti-depressant medication which has permitted him to function effectively in his relationship, in the workplace and in the community. It is a credit to Mr. R.A.R.B. and his strong character that he has done so well given his difficult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H.(J.)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Counsel for Mr. R.A.R.B. has attempted to characterize Mr. R.A.R.B.'s action as similar to the decision in H.(J.). v. British Columbia, </w:t>
      </w:r>
      <w:hyperlink r:id="rId121" w:history="1">
        <w:r>
          <w:rPr>
            <w:rFonts w:ascii="arial" w:eastAsia="arial" w:hAnsi="arial" w:cs="arial"/>
            <w:i/>
            <w:color w:val="0077CC"/>
            <w:sz w:val="20"/>
            <w:u w:val="single"/>
            <w:shd w:val="clear" w:color="auto" w:fill="FFFFFF"/>
            <w:lang w:val="en-US" w:eastAsia="en-US" w:bidi="ar-SA"/>
          </w:rPr>
          <w:t>[1998] B.C.J. No. 2926</w:t>
        </w:r>
      </w:hyperlink>
      <w:r>
        <w:rPr>
          <w:rFonts w:ascii="arial" w:eastAsia="arial" w:hAnsi="arial" w:cs="arial"/>
          <w:color w:val="000000"/>
          <w:sz w:val="20"/>
          <w:lang w:val="en-US" w:eastAsia="en-US" w:bidi="ar-SA"/>
        </w:rPr>
        <w:t xml:space="preserve"> (S.C.), Lowry J. There are fundamental differences between the two cases. The most significant distinction is the different time frame. The plaintiff in H.(J.). was admitted to Woodlands School when it was governed by strict protocol under the Mental Health Act. In that case the plaintiff was not developmentally disabled and did not meet the stringent admission requirements but was placed there for the sake of expediency. In addition, the plaintiff in H.(J.) was not a juvenile delinquent although he did exhibit significant behavioral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Woodlands School became a Human Resources facility effective July 1, 1974. This change impacted on the protocol governing placements there. Mr. R.A.R.B. met the admission requirements for Woodlands School under the Human Resources regime since he was diagnosed as mildly mentally retarded with significant behavioral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Shillington, the social worker who testified in H.(J.)., was called as a witness on behalf of Mr. R.A.R.B. to describe the Woodlands experience. His evidence is of little value in this case since he left Woodlands in 1973, long before Mr. R.A.R.B. arrived there, and he had no contact with Woodlands at the relevant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STANDARD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When serious allegations of morally blameworthy conduct are raised in the context of a civil case, the evidence offered in proof must establish the allegations with a degree of probability that is "commensurate with the occasion". Even though the legal burden of proof remains unchanged, the "clear and cogent" standard, as it is often characterized, reflects the need to subject evidence to greater scrutiny where it is offered as proof of allegations that carry serious consequences. The clear and cogent standard was described by me in V.(J.L.) v. H.(P.) </w:t>
      </w:r>
      <w:hyperlink r:id="rId122" w:history="1">
        <w:r>
          <w:rPr>
            <w:rFonts w:ascii="arial" w:eastAsia="arial" w:hAnsi="arial" w:cs="arial"/>
            <w:i/>
            <w:color w:val="0077CC"/>
            <w:sz w:val="20"/>
            <w:u w:val="single"/>
            <w:shd w:val="clear" w:color="auto" w:fill="FFFFFF"/>
            <w:lang w:val="en-US" w:eastAsia="en-US" w:bidi="ar-SA"/>
          </w:rPr>
          <w:t>(1997), 31 B.C.L.R. (3d) 155</w:t>
        </w:r>
      </w:hyperlink>
      <w:r>
        <w:rPr>
          <w:rFonts w:ascii="arial" w:eastAsia="arial" w:hAnsi="arial" w:cs="arial"/>
          <w:color w:val="000000"/>
          <w:sz w:val="20"/>
          <w:lang w:val="en-US" w:eastAsia="en-US" w:bidi="ar-SA"/>
        </w:rPr>
        <w:t xml:space="preserve"> at 189-190; varied in part on other grounds </w:t>
      </w:r>
      <w:hyperlink r:id="rId123" w:history="1">
        <w:r>
          <w:rPr>
            <w:rFonts w:ascii="arial" w:eastAsia="arial" w:hAnsi="arial" w:cs="arial"/>
            <w:i/>
            <w:color w:val="0077CC"/>
            <w:sz w:val="20"/>
            <w:u w:val="single"/>
            <w:shd w:val="clear" w:color="auto" w:fill="FFFFFF"/>
            <w:lang w:val="en-US" w:eastAsia="en-US" w:bidi="ar-SA"/>
          </w:rPr>
          <w:t>(1998), 109 B.C.A.C. 165</w:t>
        </w:r>
      </w:hyperlink>
      <w:r>
        <w:rPr>
          <w:rFonts w:ascii="arial" w:eastAsia="arial" w:hAnsi="arial" w:cs="arial"/>
          <w:color w:val="000000"/>
          <w:sz w:val="20"/>
          <w:lang w:val="en-US" w:eastAsia="en-US" w:bidi="ar-SA"/>
        </w:rPr>
        <w:t>, in the context of a civil sexual abuse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civil standard of proof on a balance of probabilities is a flexible standard that enables Courts to require a higher degree of probability or persuasion in a case involving allegations of sexual, physical and emotional abuse made by a child against a parent. The seriousness of the allegations and the gravity of the consequences require a high degree of probability that the allegations are true. This approach was set out by Lord Denning in Bater v. Bater, [1950] 2 All E.R. 458 (C.A.), at 459: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case may be proved by a preponderance of probability, but there may be degrees of probability within that standard. The degree depends on the subject matter. A civil court, when considering a charge of fraud, will naturally require a higher standard of probability than that which it would require considering whether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established. It does not adopt so high a degree as a criminal court, even when it is considering a charge of a criminal nature, but still it does require a degree of probability which is commensurate with the occasion.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 case such as this, involving allegations of sexual, physical and emotional abuse by a father against his daughter, spanning approximately twenty years, a high degree of probability "commensurate with the occasion" is the appropriate standard of proof of misconduct by the defendant toward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Court of Appeal in M.B. v. British Columbia, </w:t>
      </w:r>
      <w:hyperlink r:id="rId124" w:history="1">
        <w:r>
          <w:rPr>
            <w:rFonts w:ascii="arial" w:eastAsia="arial" w:hAnsi="arial" w:cs="arial"/>
            <w:i/>
            <w:color w:val="0077CC"/>
            <w:sz w:val="20"/>
            <w:u w:val="single"/>
            <w:shd w:val="clear" w:color="auto" w:fill="FFFFFF"/>
            <w:lang w:val="en-US" w:eastAsia="en-US" w:bidi="ar-SA"/>
          </w:rPr>
          <w:t>2001 BCCA 227</w:t>
        </w:r>
      </w:hyperlink>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[2001] B.C.J. No. 586</w:t>
        </w:r>
      </w:hyperlink>
      <w:r>
        <w:rPr>
          <w:rFonts w:ascii="arial" w:eastAsia="arial" w:hAnsi="arial" w:cs="arial"/>
          <w:color w:val="000000"/>
          <w:sz w:val="20"/>
          <w:lang w:val="en-US" w:eastAsia="en-US" w:bidi="ar-SA"/>
        </w:rPr>
        <w:t>, at para. 25 has affirmed that the appropriate standard of proof in a case such as this is a high probability commensurate with the seriousness of the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ADVERSE INFERENCES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Both parties have asked the court to draw adverse inferences resulting from the failure to call certain witnesses. Mr. R.A.R.B. complains the Crown should have called as witnesses the two residents and two staff members Mr. R.A.R.B. claims assaulted him: Male 2, Male 1, "Al Bickett" and "Jim Clark". The Crown complains Mr. R.A.R.B. should have called "Joe W." whom Mr. R.A.R.B. claims witnessed the sexual assault by Male 2 at the Gold Creek Camp. Both parties suggest the failure to call these witnesses can only lead to the conclusion that their evidence would not have assisted: in Mr. R.A.R.B.'s case, in the proof of his allegations of sexual assault against Male 2; in the case of the Crown, in disproving Mr. R.A.R.B.'s allegations of sexual and physical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It is unclear who the staff members are who allegedly assaulted Mr. R.A.R.B. In the case of "Al Bickett", the staff person referred to in the pleadings, the evidence at trial seems to implicate "Al Fouquette". The allegations against "Jim Clark" did not form part of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Male 2 and Male 1 are the subject of a court order preventing them from being called as witnesses except by order of the court. The availability of "Joe W." is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failure to call evidence may, depending on the circumstances, amount to "an implied admission that the evidence of the absent witness would be contrary to the party's case, or at least would not support it": Sopinka, Lederman and Bryant, The Law of Evidence in Canada (2nd ed. 1999) at para. 6.321; Murray v. Saskatoon, </w:t>
      </w:r>
      <w:hyperlink r:id="rId125" w:history="1">
        <w:r>
          <w:rPr>
            <w:rFonts w:ascii="arial" w:eastAsia="arial" w:hAnsi="arial" w:cs="arial"/>
            <w:i/>
            <w:color w:val="0077CC"/>
            <w:sz w:val="20"/>
            <w:u w:val="single"/>
            <w:shd w:val="clear" w:color="auto" w:fill="FFFFFF"/>
            <w:lang w:val="en-US" w:eastAsia="en-US" w:bidi="ar-SA"/>
          </w:rPr>
          <w:t>[1952] 2 D.L.R. 499</w:t>
        </w:r>
      </w:hyperlink>
      <w:r>
        <w:rPr>
          <w:rFonts w:ascii="arial" w:eastAsia="arial" w:hAnsi="arial" w:cs="arial"/>
          <w:color w:val="000000"/>
          <w:sz w:val="20"/>
          <w:lang w:val="en-US" w:eastAsia="en-US" w:bidi="ar-SA"/>
        </w:rPr>
        <w:t xml:space="preserve"> at 505-506 (Sask. C.A.). The "adverse inference" principle was examined in R. v. Jolivet, </w:t>
      </w:r>
      <w:hyperlink r:id="rId126" w:history="1">
        <w:r>
          <w:rPr>
            <w:rFonts w:ascii="arial" w:eastAsia="arial" w:hAnsi="arial" w:cs="arial"/>
            <w:i/>
            <w:color w:val="0077CC"/>
            <w:sz w:val="20"/>
            <w:u w:val="single"/>
            <w:shd w:val="clear" w:color="auto" w:fill="FFFFFF"/>
            <w:lang w:val="en-US" w:eastAsia="en-US" w:bidi="ar-SA"/>
          </w:rPr>
          <w:t>[2000] 1 S.C.R. 751</w:t>
        </w:r>
      </w:hyperlink>
      <w:r>
        <w:rPr>
          <w:rFonts w:ascii="arial" w:eastAsia="arial" w:hAnsi="arial" w:cs="arial"/>
          <w:color w:val="000000"/>
          <w:sz w:val="20"/>
          <w:lang w:val="en-US" w:eastAsia="en-US" w:bidi="ar-SA"/>
        </w:rPr>
        <w:t xml:space="preserve"> at paras. 25-27 (S.C.C.):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general rule developed in civil cases respecting adverse inferences from failure to tender a witness goes back at least to Blatch v. Archer (1774), 1 Cowp. 63, 98 E.R. 969, where, at p. 65, Lord Mansfield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certainly a maxim that all evidence is to be weighed according to the proof which it was in the power of one side to have produced, and in the power of the other to have contradicted.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party against whom the adverse inference is sought may, for example, give a satisfactory explanation for the failure to call the witness as explained in R. v. Rooke </w:t>
      </w:r>
      <w:hyperlink r:id="rId127" w:history="1">
        <w:r>
          <w:rPr>
            <w:rFonts w:ascii="arial" w:eastAsia="arial" w:hAnsi="arial" w:cs="arial"/>
            <w:i/>
            <w:color w:val="0077CC"/>
            <w:sz w:val="20"/>
            <w:u w:val="single"/>
            <w:shd w:val="clear" w:color="auto" w:fill="FFFFFF"/>
            <w:lang w:val="en-US" w:eastAsia="en-US" w:bidi="ar-SA"/>
          </w:rPr>
          <w:t>(1988), 40 C.C.C. (3d) 484</w:t>
        </w:r>
      </w:hyperlink>
      <w:r>
        <w:rPr>
          <w:rFonts w:ascii="arial" w:eastAsia="arial" w:hAnsi="arial" w:cs="arial"/>
          <w:color w:val="000000"/>
          <w:sz w:val="20"/>
          <w:lang w:val="en-US" w:eastAsia="en-US" w:bidi="ar-SA"/>
        </w:rPr>
        <w:t xml:space="preserve"> (B.C.C.A.), at [page 767] p. 513, quoting Wigmore on Evidence (Chadbourn rev. 1979), vol. 2, at para. 290: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any event, the part affected by the inference may of course </w:t>
      </w:r>
      <w:r>
        <w:rPr>
          <w:rFonts w:ascii="arial" w:eastAsia="arial" w:hAnsi="arial" w:cs="arial"/>
          <w:color w:val="000000"/>
          <w:sz w:val="20"/>
          <w:u w:val="single"/>
          <w:lang w:val="en-US" w:eastAsia="en-US" w:bidi="ar-SA"/>
        </w:rPr>
        <w:t>explain</w:t>
      </w:r>
      <w:r>
        <w:rPr>
          <w:rFonts w:ascii="arial" w:eastAsia="arial" w:hAnsi="arial" w:cs="arial"/>
          <w:color w:val="000000"/>
          <w:sz w:val="20"/>
          <w:lang w:val="en-US" w:eastAsia="en-US" w:bidi="ar-SA"/>
        </w:rPr>
        <w:t xml:space="preserve"> it away by showing circumstances which otherwise account for his failure to produce the witness. There should be no limitation upon this right to explain, except that the trial judge is to be satisfied that the circumstances thus offered would, </w:t>
      </w:r>
      <w:r>
        <w:rPr>
          <w:rFonts w:ascii="arial" w:eastAsia="arial" w:hAnsi="arial" w:cs="arial"/>
          <w:color w:val="000000"/>
          <w:sz w:val="20"/>
          <w:u w:val="single"/>
          <w:lang w:val="en-US" w:eastAsia="en-US" w:bidi="ar-SA"/>
        </w:rPr>
        <w:t>in ordinary logic and experience</w:t>
      </w:r>
      <w:r>
        <w:rPr>
          <w:rFonts w:ascii="arial" w:eastAsia="arial" w:hAnsi="arial" w:cs="arial"/>
          <w:color w:val="000000"/>
          <w:sz w:val="20"/>
          <w:lang w:val="en-US" w:eastAsia="en-US" w:bidi="ar-SA"/>
        </w:rPr>
        <w:t>, furnish a plausible reason for non-production.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[italics in original; underlining in Jolviet]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party in question may have no special access to the potential witness. On the other hand, the "missing proof" may lie in the "peculiar power" of the party against whom the adverse inference is sought to be drawn....In the latter case there is a stronger basis for an adverse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Reconstructing events from 26 years ago has posed challenges to both sides in this case. A case like this does not improve with age, as evidenced by missing and incomplete records, missing or dead witnesses, and faded memories, to name just a few of the challenges. It is Mr. R.A.R.B. who ultimately bears the burden of proof and runs the risk from a failure to call a material witness. However, this is not a proper case to draw any adverse inferences against either party particularly where the witness would be equally available to either party, if available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R.A.R.B. is a personable, impressive young man who has done extremely well in life considering the obstacles he has faced, including significant cognitive deficits. He testified in a candid, forthright manner. While I find that Mr. R.A.R.B. has been neither manipulative nor deceitful, and I consider him to be a credible witness, I conclude there are serious problems with the reliability of his evidence that cause me to be very cautious about relying on it. I consider his evidence to be unreliable unless it is confirmed by the evidence of other witnesses or by the documentary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Both Dr. O'Shaughnessy and Dr. Lysak confirm that Mr. R.A.R.B. is not a reliable historian. Dr. O'Shaughnessy commented that Mr. R.A.R.B.'s recollection of events is affected by his emotional state at the time the events occurred, such that when he looks back, negative things that happened to him seem bigger than they were and are exaggerated. Dr. O'Shaughnessy concluded that Mr. R.A.R.B.'s memory deficits and impaired memory necessitate reliance on the written record to fill in gaps and to correct inaccuracies in Mr. R.A.R.B.'s account of events in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Lysak commented that Mr. R.A.R.B.'s memory impairment caused "confabulation", a process whereby he constructs or fabricates memories to fill in gaps in his recollections. Dr. Lysak found that Mr. R.A.R.B. was uncertain about the time sequence of events, causing him to guess when events had occurred and to construct inaccurate memories that do not accord with the written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There is real concern that Mr. R.A.R.B. has exaggerated or merged events that happened before he was placed at Woodlands School which he now attributes to his Woodlands experience. At trial, both counsel were very careful and considerate in the manner in which Mr. R.A.R.B. was examined and cross-examined. Regardless, there are inconsistencies between what he has told this court, what the documentary evidence reveals, and what he has told others at different times. These inconsistencies highlight the frailties of Mr. R.A.R.B.'s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Crown Liability for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Mr. R.A.R.B. argues that the Crown is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four ways: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for the decision to place Mr. R.A.R.B. in Woodlands School.</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for the decision to continue Mr. R.A.R.B.'s placement at Woodlands School.</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for the failure to supervise other residents.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for the treatment of Mr. R.A.R.B., including Paraldehyde injections and placement in a single or side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principles applicable to direct liability of the Crown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set out by the Supreme Court of Canada in Just v. The Queen, </w:t>
      </w:r>
      <w:hyperlink r:id="rId128"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xml:space="preserve"> at 1244: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may be convenient at this stage to summarize what I consider to be the principles applicable and the manner of proceeding in cases of this kind. As a general rule, the traditional tort law duty of care will apply to a government agency in the same way that it will apply to an individual. In determining whether a duty of care exists the first question to be resolved is whether the parties are in a relationship of sufficient proximity to warrant the imposition of such a duty. In the case of a government agency, exemption from this imposition of duty may occur as a result of an explicit statutory exemption. Alternatively, the exemption may arise as a result of the nature of the decision made by the government agency. That is, a government agency will be exempt from the imposition of a duty of care in situations which arise from its pure policy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Policy decisions are differentiated from operational decisions by looking at the nature of the decision and not at the identity of the actors. Policy decisions involve financial, economic, social or political factors or constraints, although what constitutes a policy decision may vary infinitely: Just. Generally, decisions concerning budgetary allotments for government agencies will be characterized as policy decisions. Policy decisions must be made using a bona fide exercise of discretion. Operational decisions are those made in furtherance of policy decisions. Governmental entities owe a duty of care to those affected by such decisions, although the standard of care may vary depending on the circumstance: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Lewis v. British Columbia </w:t>
      </w:r>
      <w:hyperlink r:id="rId129" w:history="1">
        <w:r>
          <w:rPr>
            <w:rFonts w:ascii="arial" w:eastAsia="arial" w:hAnsi="arial" w:cs="arial"/>
            <w:i/>
            <w:color w:val="0077CC"/>
            <w:sz w:val="20"/>
            <w:u w:val="single"/>
            <w:shd w:val="clear" w:color="auto" w:fill="FFFFFF"/>
            <w:lang w:val="en-US" w:eastAsia="en-US" w:bidi="ar-SA"/>
          </w:rPr>
          <w:t>(1995), 12 B.C.L.R. (3d) 1</w:t>
        </w:r>
      </w:hyperlink>
      <w:r>
        <w:rPr>
          <w:rFonts w:ascii="arial" w:eastAsia="arial" w:hAnsi="arial" w:cs="arial"/>
          <w:color w:val="000000"/>
          <w:sz w:val="20"/>
          <w:lang w:val="en-US" w:eastAsia="en-US" w:bidi="ar-SA"/>
        </w:rPr>
        <w:t xml:space="preserve"> at 14 (C.A.) (reversed on other grounds: Lewis v. British Columbia, </w:t>
      </w:r>
      <w:hyperlink r:id="rId130" w:history="1">
        <w:r>
          <w:rPr>
            <w:rFonts w:ascii="arial" w:eastAsia="arial" w:hAnsi="arial" w:cs="arial"/>
            <w:i/>
            <w:color w:val="0077CC"/>
            <w:sz w:val="20"/>
            <w:u w:val="single"/>
            <w:shd w:val="clear" w:color="auto" w:fill="FFFFFF"/>
            <w:lang w:val="en-US" w:eastAsia="en-US" w:bidi="ar-SA"/>
          </w:rPr>
          <w:t>[1997] 3 S.C.R. 1145</w:t>
        </w:r>
      </w:hyperlink>
      <w:r>
        <w:rPr>
          <w:rFonts w:ascii="arial" w:eastAsia="arial" w:hAnsi="arial" w:cs="arial"/>
          <w:color w:val="000000"/>
          <w:sz w:val="20"/>
          <w:lang w:val="en-US" w:eastAsia="en-US" w:bidi="ar-SA"/>
        </w:rPr>
        <w:t>), McEachern C.J.B.C. outlined a four-step process to determine Crown liability:</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step is to decide what duty is owed to the public by the Province.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second step is to consider whether the applicable legislation or other considerations negative, limit or exempt the Province from that duty of care.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third step is to decide whether the Province has breached whatever duty of care the law imposes upon it.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fourth step is to determine if the policy-operations dichotomy arises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With respect to the second step, in my view there is no applicable legislation or other considerations to negative, limit or exempt the Province from its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Duty of Care Owed by the Superintendent under the Protection of Children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Crown concedes that as Mr. R.A.R.B.'s legal guardian the Superintendent owed Mr. R.A.R.B. a duty of care in making placement decisions. While not conceding the correctness of the decisions, the Crown acknowledges that the Court of Appeal in M.B. and K.L.B. v. British Columbia, </w:t>
      </w:r>
      <w:hyperlink r:id="rId131" w:history="1">
        <w:r>
          <w:rPr>
            <w:rFonts w:ascii="arial" w:eastAsia="arial" w:hAnsi="arial" w:cs="arial"/>
            <w:i/>
            <w:color w:val="0077CC"/>
            <w:sz w:val="20"/>
            <w:u w:val="single"/>
            <w:shd w:val="clear" w:color="auto" w:fill="FFFFFF"/>
            <w:lang w:val="en-US" w:eastAsia="en-US" w:bidi="ar-SA"/>
          </w:rPr>
          <w:t>2001 BCCA 221</w:t>
        </w:r>
      </w:hyperlink>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[2001] B.C.J. No. 584</w:t>
        </w:r>
      </w:hyperlink>
      <w:r>
        <w:rPr>
          <w:rFonts w:ascii="arial" w:eastAsia="arial" w:hAnsi="arial" w:cs="arial"/>
          <w:color w:val="000000"/>
          <w:sz w:val="20"/>
          <w:lang w:val="en-US" w:eastAsia="en-US" w:bidi="ar-SA"/>
        </w:rPr>
        <w:t>, imposes a standard of special diligence in respect of the duty owed to children in care prior to 1980 when the Protection of Children Act, R.S.B.C. 1960, c. 303 was repealed.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M.B. Prowse J.A. wrote of the non-delegable duties of the Superintendent mandated by the Act. Her comments are helpful in examining the duty of the Superintendent under the Act generally. At para 60 she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outset of this analysis, it is important to note that there is no dispute that the Superintendent owes a duty of care to children who have been apprehended under the Act and committed to his care. It is also undisputed that the duty is fiduciary in nature and, in general terms, requires the Superintendent to act in the children's best interests. Further, when placing children in foster care, the duty upon the Superintendent is equivalent to that upon a children's aid society, that is, a duty to use "special diligence"....It might also appear obvious from the then title of the Act that the duty upon the Superintendent included a duty to protect the children apprehended by him or under his direction. But, since the nature and extent of the duty upon the Superintendent in this regard is in dispute, it is necessary to examine this issue more closely.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para 68: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the structure of the Act, as amended, is such that once a child is apprehended as being in need of protection, the Superintendent, or his designate who apprehends the child, becomes responsible for the care, maintenance and physical well-being of the child (s. 8(8))....The Superintendent...remains the guardian of the child until the court otherwise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summary, the duties of the Superintendent, as the guardian of a child who is a permanent ward, are fiduciary in nature and include a duty to exercise special diligence. The Superintendent is ultimately responsible for the "care, maintenance, and physical well-being of the child" and must act in the best interests of an apprehended child. As Prowse J.A. said in para. 74, "an important, if not predominant, purpose of the Act was to apprehend children in need of protection and to protect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Standard of Care of Special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M.B. at para 60 and in K.L.B. at para. 11, the Court of Appeal confirmed that the standard of care owed by the Superintendent under the Act is one of special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the trial decision in M.B., </w:t>
      </w:r>
      <w:hyperlink r:id="rId132" w:history="1">
        <w:r>
          <w:rPr>
            <w:rFonts w:ascii="arial" w:eastAsia="arial" w:hAnsi="arial" w:cs="arial"/>
            <w:i/>
            <w:color w:val="0077CC"/>
            <w:sz w:val="20"/>
            <w:u w:val="single"/>
            <w:shd w:val="clear" w:color="auto" w:fill="FFFFFF"/>
            <w:lang w:val="en-US" w:eastAsia="en-US" w:bidi="ar-SA"/>
          </w:rPr>
          <w:t>2000 BCSC 735</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[2000] B.C.J. No. 909</w:t>
        </w:r>
      </w:hyperlink>
      <w:r>
        <w:rPr>
          <w:rFonts w:ascii="arial" w:eastAsia="arial" w:hAnsi="arial" w:cs="arial"/>
          <w:color w:val="000000"/>
          <w:sz w:val="20"/>
          <w:lang w:val="en-US" w:eastAsia="en-US" w:bidi="ar-SA"/>
        </w:rPr>
        <w:t>, Levine J. (as she then was) articulated the standard of special diligence required in the supervision of the care of a child by the Superintendent at para 167: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duty of special diligence indicates the degree of vigilance required of social workers to ensure that facts surrounding the placement of foster children are consistent with the provision of a suitable foster home or put a reasonable person on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Madam Justice Levine concluded that this standard will be met if the Crown can demonstrate that it considered a matter once put on inquiry and made a choice sufficient to indicate that it did not fail to carry out its duty: M.B. at para. 168.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Crown concedes that it owed Mr. R.A.R.B. a duty of care to take reasonable steps to protect him and to keep him safe and secure while he was a resident of Woodlands School in accordance with the standards of the day. The Crown argues, however, that the standard of care is influenced by the fact Woodlands School was a treatment facility for people with developmental and behavioural problems who were potentially dangerous. The Crown argues there were risks inherent in the nature of the facility and steps were taken to provide adequate security by a high ratio of staff supervision.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However, despite the unique nature of Woodlands School, the standard of care owed by the Superintendent to Mr. R.A.R.B., as a child in care, remains one of special diligence. It is the nature of the relationship between the Superintendent and Mr. R.A.R.B. that is determinative of the standard of care, not the nature of Woodlands School as an institution.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Good Faith Defence: Two Views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good faith defence constitutes judicial recognition of the difficulty in applying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standards to public officials exercising statutory discretion in areas that call for the exercise of judgment in the face of difficult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good faith standard is articulated in Home Office v. Dorset Yacht, [1970] 2 All E.R. 301 where the court held that a duty of care was owed by the Home Office for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servants in permitting trainees to escape from custody and damage property. At page 301, Lord Reid discussed the legal standard of care applicable to public officers exercising a statutory discretion: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Parliament confers a discretion the position is not the same. Then there may, and almost certainly will, be errors of judgment in exercising such a discretion and Parliament cannot have intended that members of the public should be entitled to sue in respect of such errors. But there must come a stage when the discretion is exercised so carelessly or unreasonably that there has been no real exercise of the discretion which Parliament has conferred. The person purporting to exercise his discretion has acted in abuse or excess of his power. Parliament cannot be supposed to have granted immunity to persons who do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Governors of these institutions and other responsible authorities have a difficult and delicate task. There was some argument whether the present system is fully authorized by the relevant statutes, but I shall assume that it is. That system is based on the belief that it assists the rehabilitation of trainees to give them as much freedom and responsibility as possible. So the responsible authorities must weigh on the one hand the public interest of protecting neighbours and their property from the depredations of escaping trainees and on the other hand the public interest of promoting rehabilitation. Obviously there is much room here for differences of opinion and errors of judgment. In my view there can be no liability if the discretion is exercised with due care. There could only be liability if the person entrusted with discretion either unreasonably failed to carry out his duty to consider the matter or reached a conclusion so unreasonable as again to show failure to do his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Court of Appeal held that this good faith standard should be applied to social workers exercising statutory discretion: G.(A.) v. Supt. of Fam. &amp; Child Service </w:t>
      </w:r>
      <w:hyperlink r:id="rId133" w:history="1">
        <w:r>
          <w:rPr>
            <w:rFonts w:ascii="arial" w:eastAsia="arial" w:hAnsi="arial" w:cs="arial"/>
            <w:i/>
            <w:color w:val="0077CC"/>
            <w:sz w:val="20"/>
            <w:u w:val="single"/>
            <w:shd w:val="clear" w:color="auto" w:fill="FFFFFF"/>
            <w:lang w:val="en-US" w:eastAsia="en-US" w:bidi="ar-SA"/>
          </w:rPr>
          <w:t>(1989), 38 B.C.L.R. (2d) 215</w:t>
        </w:r>
      </w:hyperlink>
      <w:r>
        <w:rPr>
          <w:rFonts w:ascii="arial" w:eastAsia="arial" w:hAnsi="arial" w:cs="arial"/>
          <w:color w:val="000000"/>
          <w:sz w:val="20"/>
          <w:lang w:val="en-US" w:eastAsia="en-US" w:bidi="ar-SA"/>
        </w:rPr>
        <w:t xml:space="preserve"> (C.A.); MacAlpine v. H.(T.) </w:t>
      </w:r>
      <w:hyperlink r:id="rId134" w:history="1">
        <w:r>
          <w:rPr>
            <w:rFonts w:ascii="arial" w:eastAsia="arial" w:hAnsi="arial" w:cs="arial"/>
            <w:i/>
            <w:color w:val="0077CC"/>
            <w:sz w:val="20"/>
            <w:u w:val="single"/>
            <w:shd w:val="clear" w:color="auto" w:fill="FFFFFF"/>
            <w:lang w:val="en-US" w:eastAsia="en-US" w:bidi="ar-SA"/>
          </w:rPr>
          <w:t>(1991), 57 B.C.L.R. (2d) 1</w:t>
        </w:r>
      </w:hyperlink>
      <w:r>
        <w:rPr>
          <w:rFonts w:ascii="arial" w:eastAsia="arial" w:hAnsi="arial" w:cs="arial"/>
          <w:color w:val="000000"/>
          <w:sz w:val="20"/>
          <w:lang w:val="en-US" w:eastAsia="en-US" w:bidi="ar-SA"/>
        </w:rPr>
        <w:t xml:space="preserve"> (C.A.); D.(B.) v. British Columbia </w:t>
      </w:r>
      <w:hyperlink r:id="rId135" w:history="1">
        <w:r>
          <w:rPr>
            <w:rFonts w:ascii="arial" w:eastAsia="arial" w:hAnsi="arial" w:cs="arial"/>
            <w:i/>
            <w:color w:val="0077CC"/>
            <w:sz w:val="20"/>
            <w:u w:val="single"/>
            <w:shd w:val="clear" w:color="auto" w:fill="FFFFFF"/>
            <w:lang w:val="en-US" w:eastAsia="en-US" w:bidi="ar-SA"/>
          </w:rPr>
          <w:t>(1997), 30 B.C.L.R. (3d) 201</w:t>
        </w:r>
      </w:hyperlink>
      <w:r>
        <w:rPr>
          <w:rFonts w:ascii="arial" w:eastAsia="arial" w:hAnsi="arial" w:cs="arial"/>
          <w:color w:val="000000"/>
          <w:sz w:val="20"/>
          <w:lang w:val="en-US" w:eastAsia="en-US" w:bidi="ar-SA"/>
        </w:rPr>
        <w:t xml:space="preserve"> (C.A.). There is no reason why the same standard is not applicable to the staff at Woodlands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 matter of controversy has arisen concerning the relationship between the special diligence standard imposed on the Superintendent and the availability of the common law defence of good faith. There are two different views of the interaction between special diligence and the defence of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One view is held by Mr. Justice Lowry in H.(J.). He determined that the common law good faith defence was not available to the Crown with respect to a decision to place the plaintiff in Woodlands in the early 1970s. Mr. Justice Lowry concluded that the good faith standard is incompatible with what he found to be a statutory duty on the part of the Superintendent to exercise "special diligence" in making foster placements: para. 111. He reasoned that to allow the Crown to utilize a good faith defence when it is exercising a statutory discretion would fundamentally undermine its duty of special diligence and ultimately this would amount to a less onerous duty being imposed upon the Crown. He commented that "where there is a duty to employ special diligence, there can be no place for what amounts to a [sic] another lesser duty.": para. 113.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the trial decision in M.B., at para. 168, Madam Justice Levine disagreed with Mr. Justice Lowry's characterization that the standard of "special diligence" and the defence of "good faith" are inconsistent. In Madam Justice Levine's view, the good faith standard is applicable to discretionary, or policy, decisions such as the placement and removal of a child from a foster home: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apprised of the circumstances of a particular case, the Superintendent may exercise its decision-making power respecting the inherently difficult questions of placement and removal of children-in-care. By their very nature, these larger decisions involve the exercise of discretionary authority. Decisions relating to the placement and removal of children from foster facilities balance interests that may diverge on the question of the suitability of foster care. There is generally more than one legitimate response to a set of facts. The court does not intrude itself into this inherently complex process so long as the Crown demonstrates that it considered the matter once put on inquiry and made a choice sufficient to indicate that it did not fail to carry out its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Court of Appeal in M.B. did not address Madam Justice Levine's comments at trial concerning the application of the defence of good faith to discretionary decisions on the part of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M.B. Madam Justice Levine makes it clear that the good faith defence does not apply to operational decisions made by the Crown or its delegates. In the context of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made against social workers, she states at para. 170: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case, the plaintiff's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Crown relate predominantly to the failure of social workers to adequately supervise and monitor the P. home. In my view, a social worker's responsibilities to monitor and supervise do not involve the exercise of discretion sufficient to raise the application of the defence of good faith. The nature and quality of the decision of a social worker in deciding whether and how often to visit a foster home, for example, is not to any extent the exercise of a "policy-making" function, but involves only practical considerations, such as geography, time, workload and similar factors. The decisions made in carrying out the duty to monitor and supervise foster children are not discretionary in the sense used in G.(A.) v. Supt. of Fam. &amp; Child Service, McAlpine v. H.(T.) and D.(B.) v. British Columbia. As in Dorset Yacht (see p. 301), the issue of good faith does not arise here because no discretion was given to the social workers in respect of their duty to monitor and supervise the plaintiff while she was in foster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As noted above, the standard of care imposed on the Crown is that of special diligence. The circumstances of this case do not require me to conclude which view is correct as to whether the common law good faith defence is available to the Crown with respect to decisions regarding Mr. R.A.R.B.'s treatment while in Woodlands School. For reasons that I will delineate below, I conclude that the decisions made by the staff at Woodlands giving rise to liability with respect to Mr. R.A.R.B. were operational, not discretionary, in nature. In accordance with Madam Justice Levine's position, the good faith defence is not available to insulate operational decisions. Therefore, on either view of the law, the Crown cannot avail itself of the good faith defence with respect to the treatment of Mr. R.A.R.B. while at Woodlands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Crown's Non Delegable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emerging doctrine of non delegable duty of care, which has been the basis upon which courts have found the Crown liable for the wrongful acts of independent contractors it retains, has no application to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Application of the Law to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Crown Liability for Placing Mr. R.A.R.B. in Woodlands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R.A.R.B. argues the Crown was negligent in its initial decision to place him at Woodlands School and in its decision to place him on Ward 72 with persons who were known to be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Crown submits that it met the special diligence standard of care in making the placement decision given the lack of facilities that could serve the needs of Mr. R.A.R.B. to keep him secure, to provide him with treatment and to educate him or teach him a vocation. It is the position of the Crown that Woodlands School was the only available facility suited to his needs. Given the judgment inherent in such a decision, the Crown submits its actions in this respect fall within the scope of the Dorset Yacht principles and liability can arise only if it is established that the Crown exercised its discretion carelessly or unreasonably.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At the age of 14 Mr. R.A.R.B. engaged in a pattern of behaviour that included running away and participating in delinquent activity that placed him and the community at risk. Because of those behaviours he did not meet the criteria for other resources and required a secure placement facility. Woodlands was the only available resource that met Mr. R.A.R.B.'s needs, providing a secure environment, treatment and training opportunities.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needs of Mr. R.A.R.B. were specific. At the time, the choices available for a developmentally disabled juvenile delinquent in care were extremely limited. In Mr. R.A.R.B.'s circumstance, the only viable options were jail or Woodlands School. He could not be kept in juvenile detention indefinitely, at least in part due to a finding he was unfit to deal with his criminal offences. An attempt at a foster placement failed when Mr. R.A.R.B. went absent without leave and committed further crimes. Woodlands was the best option since it was the only residential facility for developmentally disabled children in British Columbia for whom there were no available resources to meet their needs within their own communities.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placement decision for Mr. R.A.R.B. must be assessed within the limits of the resources extant and available in the years 1975 to 1977. With that in mind, the evidence fails to establish that the Superintendent, in the placement decision for Mr. R.A.R.B., "unreasonably failed to carry out his duty to consider the matter or reached a conclusion so unreasonable as again to show failure to do his duty": Dorset Yacht at p 301. The lack of alternative facilities that may have provided a more suitable placement for the plaintiff cannot found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conclude that the Crown, acting through the office of the Superintendent and his delegated social workers, met the standard of care of special diligence in placing Mr. R.A.R.B. at Woodlands. It cannot be said that this decision was so unreasonable as to constitute a failure to properly consider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Crown Liability For Continuing Mr. R.A.R.B.'s Placement at Woodlands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R.A.R.B. argues it was negligent to leave him at Woodlands for two years, especially after the staff at Woodlands determined the available programs were not effective since Mr. R.A.R.B. would not participate in them, the staff could not prevent him from running away and the staff knew Mr. R.A.R.B. had been both physically and sexually assaulted by other residents of Ward 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difficulty in moving Mr. R.A.R.B. from Woodlands was finding a suitable resource to meet his special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Schneider and the Vancouver Resources Board were responsible for supervising Mr. R.A.R.B. His file was never transferred to Woodlands but the supervision of Mr. R.A.R.B. seemed to be undertaken by the social worker at Woodlands, not by Mr. Schneider. Ms. Mihalech, the Woodlands social worker during most of Mr. R.A.R.B.'s stay, testified that she visited the Ward three to five times per week. Although she could not recount her specific dealings with Mr. R.A.R.B., due to the passage of time, I conclude that her multiple visits to the Ward and her documented efforts on his behalf were adequate to meet the requisite standard of care. As Mr. Justice Lowry notes in H.(J.), a court should be cautious to condemn decisions made decades previously without the benefit of the information that would have been relied upon at the time. As he comments in paras. 49 and 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frailty in all these allegations is that they amount to little more than an exercise in second-guessing the decisions of trained, dedicated social workers that were made upwards of 40 years ago.... And further, the allegations are made without any regard for the limitation on the resources that were then available both in terms of the social workers' time and the existence of alternative placements that might have been acceptable for the plaintiff. It is on the evidence clear that the resources were often exhausted; there was no abundance of foster homes to choose from.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cannot be said that [the social workers] were wrong to handle the matter as they undoubtedly thought was best given all the circumstances with which they had to contend.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this case, there were no acceptable alternative placements available for Mr. R.A.R.B. until the spring of 1977 when he was accepted into Chrisholme. As noted above, his tendency to run away and to commit criminal offences made it exceptionally difficult to place him in a foster home or an alternative placement. Since Mr. R.A.R.B. had both behavioral difficulties and was classified as developmentally disabled, Woodlands was the only appropriate placement for him other than Chrisholme, and he was transferred to Chrisholme as soon as he was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conclude the Crown met its standard of care of special diligence in extending Mr. R.A.R.B.'s placement at Woodlands. It cannot be said that this decision was so unreasonable as to constitute a failure to properly consider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Crown Liability for Failure to Supervise Residents at Woodlands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R.A.R.B. argues that the Crown was negligent in failing to protect him on Ward 72 and at Gold Creek Camp given that reasonably foreseeable harm may befall him due to the actions of other residents known to possess dangerous and aggressive tendencies. Consequently, Mr. R.A.R.B. submits the Crown is responsible for injuries he received from physical assaults by Male 1 and "Danny" and from sexual assaults by Male 2, which were caused by the Crown's failure to adequately supervise those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Alleged Physical Assaults at Woodlands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Male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It is documented that Mr. R.A.R.B., who shared a room with Male 1, was struck by him with a chair while sleeping. Mr. R.A.R.B. received minor injuries and was seen by a doctor. Although Male 1 exhibited bizarre behavior, including destroying or damaging property and describing extremely violent thoughts in therapy, there is no evidence that he was violent toward other people prior to his assault on Mr. R.A.R.B. It was not foreseeable that he posed a risk to Mr. R.A.R.B., so the Crown cannot be held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failing to prevent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"Danny"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R.A.R.B. testified that at Gold Creek Camp another resident named "Danny" tried to choke him while the two were alone in the cabin. He recalled that "Danny" had him in a headlock and kept squeezing until he couldn't breathe and he felt like he was dying. He was able to break free. A month later "Danny" tried to choke him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These alleged assaults are not confirmed by any record. However, a notation on September 3, 1975, after Mr. R.A.R.B. was returned to Woodlands from an absence without leave, indicates that Mr. R.A.R.B. said he was afraid of what would happen to him if he went back to the camp because he was afraid of the other boys. I conclude that these physical assaults at Gold Creek Camp have been proven to the appropriate standard of proof of high probability commensurate with the seriousness of the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However, upon the evidence, I am unable to find any known history of violence such that "Danny" posed a foreseeable risk to Mr. R.A.R.B. Consequently, the Crown cannot be held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failing to prevent the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Alleged Sexual Assaults by Male 2 At Woodlands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sexual assault on Ward 72 at Woodlands School is confirmed in the records. Within a few weeks of Mr. R.A.R.B.'s arrival, while he was sleeping, Male 2 touched his genitals and tried to fellate him. Mr. R.A.R.B. does not recall this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conclude this assault has been proven to the appropriate standard of proof of high probability commensurate with the seriousness of the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Gold Creek Camp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R.A.R.B. claims Male 2 sexually assaulted him, by forcible anal penetration, one summer at Gold Creek Camp. The evidence establishes that Male 2 was probably at Gold Creek Camp during the summer of 1975 at the same time as Mr. R.A.R.B.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incident Mr. R.A.R.B. describes allegedly occurred at night, in a large crowded dormitory shared by other residents, and lasted up to 20 minutes. Staff were present in an adjacent, open room where any sounds from the resident sleeping area could be heard. Mr. R.A.R.B. testified he did not cry out and he did not require medical attention. He may have reported the incident to a lady volunteer. He believes "Joe W.", another resident, witnessed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R.A.R.B. has given varied accounts of previous sexual assaults to therapists, in his direct evidence, and in cross-examination. Most troubling are the materially different versions of sexual assaults by "Darryl" told to his therapists in the past, to Dr. O'Shaughnessy, to Dr. Lysak and to the court. There seems to be no issue that "Darryl" is in fact Male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R.A.R.B. testified that he experienced anal intercourse at Cedar Lodge School. He testified he told his therapist and mother that his father had raped him. In re-examination, Mr. R.A.R.B. explained that he uses the word "rape" to denote all manner of sexual activity and that his use of the term is not restricted to anal intercourse.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R.A.R.B. told his therapist, Irene Peterson, that he was in Woodlands for several years where he was physically and sexually abused many times by both staff and other residents. At Woodlands, Mr. R.A.R.B. recounted being sodomized twice and being fondled by "Darryl" who put his penis between Mr. R.A.R.B.'s legs to simulate intercourse. He said he was later transferred to Cedar Lodge where he was again victimized by staff and other residents. At Cedar Lodge he reported being "raped" about 15 times by students and staff. Mr. R.A.R.B. also told Ms. Peterson that his father had touched him twice and had fondled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He told his therapist Evelyn Sommers that he had retrieved a memory of his father touching his genitals and fondling him when he was six years old. He described confronting his parents with his allegations of sexual abuse, stating his father had raped him. His mother was surprised although Mr. R.A.R.B. thought she knew about it already.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R.A.R.B. told Ms. Sommers that he was in Woodlands when he was ages 9 to 14 and was sexually abused by older residents. He recounted that "Darryl", who was about 45, would crawl into bed with him at night and sexually abuse him by putting his penis between Mr. R.A.R.B.'s legs and by fondling him. At Cedar Lodge he described regularly being sexually abused by the other boys, including acts of anal intercourse and simulated intercourse between Mr. R.A.R.B.'s legs. Mr. R.A.R.B. reported that after seeing a lawyer in 1997, something the lawyer said triggered the memory of the sexual abuse at Gold Creek Camp. Mr. R.A.R.B. told Ms. Sommers he ran away after the rape at camp and tried to tell people about it, including the RCMP. No one would listen and he when he was returned to the camp he tried to hang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R.A.R.B. told Dr. O'Shaughnessy that "Darryl", a 50 year-old man, had made sexual advances toward him on the ward, had anally raped him at camp, and had made subsequent sexual advances.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R.A.R.B. told Dr. Lysak that "Darryl" anally raped him one time. He told the staff who did nothing about it. When "Darryl" tried again, Mr. R.A.R.B. "kicked him in the nuts". "Darryl" tried two more times but Mr. R.A.R.B. was able to defend himself. Mr. R.A.R.B. did not tell Dr. Lysak about any sexual abuse at Cedar Lodge and denied his father had sexually abused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R.A.R.B.'s accounts of sexual assault by Male 2 range from inappropriate sexual touching, to simulated intercourse and other sexual misconduct, to one incident of anal penetration lasting up to 20 minutes in a crowded dormitory.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R.A.R.B.'s allegation of sexual assault at Gold Creek is not documented and I find Mr. R.A.R.B.'s evidence with respect to this incident unreliable. My concern is that Woodlands School has become Mr. R.A.R.B.'s focus for all his troubles to the exclusion of all else. Due to his cognitive deficits, including his difficulty with time sequencing, his tendency to confabulate, and his propensity to exaggerate negative events, he may be confusing the coercive, violent sexual acts he experienced at Cedar Lodge with his experiences at Woodlands. The sexual assault at Gold Creek Camp has not been proven to the appropriate standard of proof of high probability commensurate with the seriousness of the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Level of Supervision of Residents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By mixing children and adults in the same living areas at Woodlands, the Crown created an unsafe environment which increased the risk of harm to Mr. R.A.R.B. The locked ward where he was placed was known to be a potentially dangerous place where a higher than normal complement of staff and supervision was deemed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Male 2, who was 23 years old, was considered a risk for sexually assaulting teenage boys on the ward. In fact, he had been refused admission to Woodlands years earlier. It was only when he committed yet another sexual assault on a young boy and was placed on probation that he was admitted to Woodlands to be supervised by the medical director, Dr. Hughes. A Riverview Psychiatric Hospital assessment described him as "evil in the extreme" and "likely to kill if not checked". Woodlands staff were made aware of his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Despite this information, Male 2 was able to sexually assault Mr. R.A.R.B. within a few weeks of Mr. R.A.R.B.'s arrival at Woodlands. Male 2 admitted touching Mr. R.A.R.B.'s genitals while he slept and trying to fellate him. This incident was documented in reports that were brought to the attention of Dr. Hughes. In addition, upon returning from his first unauthorized absence, Mr. R.A.R.B. complained that Male 2 had tried to "fag"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response of those entrusted to care for Mr. R.A.R.B. on behalf of the Superintendent was to provide Male 2 with counselling about acceptable and unacceptable behaviour in an attempt to modify his behaviour. This response was sadly lacking with respect to Mr. R.A.R.B. to whom a duty of special diligence was 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Male 2 was a known sex offender on probation. He had been seen on the ward to engage in sexually inappropriate behaviour, although not sexually aggressive behaviour, and staff had taken him aside to remind him he was not supposed to engage in such conduct. The proper response, even in the mid-1970s, was to report the matter to the police to investigate the admitted offences of sexual assault and breach of probation. Failing this action, a report should have been sent to the Superintendent directly, or to his delegate, Mr. R.A.R.B.'s assigned social worker. Mr. Schneider was not told about the sexual assault. Had he been informed, Mr. Schneider testified he would have initiated an investigation. If he had concluded that Mr. R.A.R.B. was in danger, Mr. Schneider would have removed him from Woodlands School and placed him in a foster home on an urgent basis. At the very minimum, the duty of special diligence required that either Male 2 or Mr. R.A.R.B. be removed from Ward.72.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key issue here is that Male 2 was a known risk to someone like Mr. R.A.R.B. by any standard. His propensities to sexually assault young teenage boys were well known. Moreover, staff observed him interacting with Mr. R.A.R.B.; the possible danger to Mr. R.A.R.B. resulting from such contact should have been obvious.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addition, although Male 2 was a grown man, he was placed with young boys because he was deemed to function at that level. This decision to group residents according to functional, and not chronological, age was an operational one that failed to account for the fact that Mr. R.A.R.B. was just a small boy in terms of his stature.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After having made the decision to combine children and adults, Woodlands staff could have and should have taken reasonable steps to prevent the sexual assault by Male 2. They were negligent in their failure to take preventative steps to protect Mr. R.A.R.B. from a known sexual predator.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Crown Liability For Treatment of Mr. R.A.R.B. at Woodlands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R.A.R.B. alleges that the Crown breached its requisite standard of care in the treatment provided to him by forcibly injecting him with the sedative Paraldehyde and by placing him in a single room for several days when he returned from his frequent absences without leave. At issue is whether the treatment of Mr. R.A.R.B. was consistent with the standards of practice and accepted norms during the mid-1970s.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Use of Paraldehyde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R.A.R.B. recalls being injected with Paraldehyde about five times while at Woodlands. The records show that on June 10, 1975 a psychiatrist prescribed the use of the sedative Paraldehyde for "aggressive behaviour" but there is no record that Mr. R.A.R.B. received an injection on that date. In addition to Paraldehyde injections, the evidence indicates that Mr. R.A.R.B. received the sedative Diazepam prescribed by a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records also show that Paraldehyde was administered to Mr. R.A.R.B. by injection on two occasions only: on March 8 and March 10, 1976. The records indicate that he was given the injections in response to his agitation and aggressive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R.A.R.B. acknowledged in cross-examination that the only times he received injections were when he was in an agitated state. The inference to be drawn is that he was administered the drug only in accordance with a doctor's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Initially, this aspect of the claim was advanced on the basis that the use of Paraldehyde was an inappropriate treatment. The evidence conflicts with respect to the appropriateness of the use of Paraldehyde as a sedative given its toxic effect that can cause pain and tissue damage upon injection. However, Mr. R.A.R.B.'s counsel now suggests she is not questioning the propriety of the use of Paraldehyde by the medical profession in the mid-1970s. Regardless, I am not satisfied this medication was used inappropriately in Mr. R.A.R.B.'s case since it was prescribed and administered in accordance with doctor's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R.A.R.B.'s counsel has refined her position, now arguing that the use of sedatives was not authorized or part of any informed consent given by Mr. Schneider, the social worker, on behalf of the Superintendent. Mr. Schneider testified that he was not told Mr. R.A.R.B. would be forcibly sedated with painful Paraldehyde injections and prescribed Diazepam, and had he known he would not have authorized such treatment. With the benefit of hindsight, he now says he would not have consented to such treatment but that is clearly revisionist thinking. I am satisfied that at the time of Mr. R.A.R.B.'s admission to Woodlands School, Mr. Schneider, on behalf of the Superintendent as Mr. R.A.R.B.'s guardian, would have consented to the use of such drugs as part of Mr. R.A.R.B.'s treatment regime if authorized by a duly qualified medical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Use of Seclusion or "Side Rooms"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R.A.R.B.'s accounts of his time in seclusion is varied and does not accord with the records or the evidence of the witnesses. Mr. R.A.R.B. told Dr. O'Shaughnessy he was locked in a "side room" for months at a time. At trial, he said it might have been "hours" or "days". He recalls being scared when confined in a side room on a ward with deformed persons and being embarrassed and humiliated when confined in a side room on a female ward. He recalls he was forced to polish staff shoes to get out. In addition, he recalls staff and other residents voting at weekly group meetings to determine whether someone could be released from a side room. These group meetings were considered therapeutic community meetings that permitted residents to participate in other residents' behaviour modification programs.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evidence at trial concerning the use of single rooms, side rooms and seclusion rooms, and the interchangeable use of these terms in the records, leads to hopeless confusion. It is clear Mr. R.A.R.B. was placed in single rooms, side rooms and/or seclusion rooms after he returned from unauthorized absences. What is unclear is whether Mr. R.A.R.B. was placed in "seclusion", and if so for how 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use of these rooms following his frequent absences without leave fulfilled multiple purposes: to punish, to modify Mr. R.A.R.B.'s behaviour, to provide medical care when he was injured, and to await an available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Mr. R.A.R.B. has failed to establish on a balance of probabilities that inappropriate use was made of single rooms, side rooms and seclusion rooms, in a manner that was inconsistent with the standards and practices of the mid-1970s: ter Neuzen v. Korn </w:t>
      </w:r>
      <w:hyperlink r:id="rId136" w:history="1">
        <w:r>
          <w:rPr>
            <w:rFonts w:ascii="arial" w:eastAsia="arial" w:hAnsi="arial" w:cs="arial"/>
            <w:i/>
            <w:color w:val="0077CC"/>
            <w:sz w:val="20"/>
            <w:u w:val="single"/>
            <w:shd w:val="clear" w:color="auto" w:fill="FFFFFF"/>
            <w:lang w:val="en-US" w:eastAsia="en-US" w:bidi="ar-SA"/>
          </w:rPr>
          <w:t>(1995), 127 D.L.R. (4th) 577</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VICARIOUS LIABILITY FOR ALLEGED ASSAULTS BY WOODLANDS'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R.A.R.B. asserts that the Crown is vicariously liable for the conduct of unidentified staff who allegedly struck him on two separate occasions. Two issues arise: whether Mr. R.A.R.B. was physically assaulted by staff members and whether the Crown is liable for any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Mr. R.A.R.B. Physically Assaulted by Staff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 Bickett"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There are no documented reports of any assaults upon Mr. R.A.R.B. by the staff. Mr. R.A.R.B. testified he had a problem with "Al Bickett" upon his arrival at Woodlands. He was crying and "Al Bickett" slapped him on the back of the head and said that if he wanted more he would give him something to cry about. Counsel for Mr. R.A.R.B. suggests the reference to "Al Bickett" is really a reference to "Al Fouquette". The pleadings allege an assault by "Al Bickett". This allegation is so vague and uncertain, even as to the identity of the alleged assailant, that it remains unproven.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"Jim Clark"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R.A.R.B. testified that a staff member named "Jim Clark" hit him on the side of the head when he returned from one of his unauthorized absences. Mr. R.A.R.B. surmised "Jim Clark" hit him because he ran away during one of his shifts. Mr. R.A.R.B. testified is that it may or may not have been "Jim Clark" because there were two staff members named Jim and he was always confusing them. Again, this allegation, which isn't even pleaded, is so vague and uncertain, even as to the identity of the alleged assailant, that it remains unproven.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Crown Liability for the Alleged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In light of my conclusion that Mr. R.A.R.B. has failed to prove that he was assaulted by any Woodlands staff members, this issue is moot. However, even if it could be concluded that Mr. R.A.R.B. was assaulted by Woodlands employees, the Crown cannot be found vicariously liable. There is insufficient evidence to identify the alleged perpetrators of any assault as employees, to determine the nature and scope of their employment duties or to determine whether their roles materially increased the risk of a physical assault occurring. An employer is only vicariously liable for the torts of an employee which have occurred within the "scope of employment": Bazley v. Curry </w:t>
      </w:r>
      <w:hyperlink r:id="rId137" w:history="1">
        <w:r>
          <w:rPr>
            <w:rFonts w:ascii="arial" w:eastAsia="arial" w:hAnsi="arial" w:cs="arial"/>
            <w:i/>
            <w:color w:val="0077CC"/>
            <w:sz w:val="20"/>
            <w:u w:val="single"/>
            <w:shd w:val="clear" w:color="auto" w:fill="FFFFFF"/>
            <w:lang w:val="en-US" w:eastAsia="en-US" w:bidi="ar-SA"/>
          </w:rPr>
          <w:t>(1999), 174 D.L.R. (4th) 45</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Crown argues that, with the exception of the alleged sexual assault of Mr. R.A.R.B. by Male 2, all of the causes of action set out in the Statement of Claim are barred by the Limitation Act. The Crown argues that the limitation period tolled in August 1981, two years after Mr. R.A.R.B. reached the age of majority.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view of my findings that the Crown is liable only for the sexual assault committed by Male 2 on Ward 72, this issue becomes moot. However, I intend to comment on the issue for completeness.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Mr. R.A.R.B. contends that he was unable to disclose all the facts about his Woodlands experience because although he could discuss the physical abuse he was not ready to describe the sexual abuse. He elected to heal, not sue, and continued his counselling. He argues it makes no sense to compel him to bring two lawsuits which separate the different kinds of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Absent either a postponement or a disability, s. 3(2) of the Limitation Act prohibits an action for damages in respect of personal injury after the expiration of two years from the date on which the right arose. The objective of the Limitation Act is to strike a balance between the interests of defendants, in terms of certainty and protection against stale claims, and to treat plaintiffs fairly having regard to their specific circumstances: Novak v. Bond, </w:t>
      </w:r>
      <w:hyperlink r:id="rId138" w:history="1">
        <w:r>
          <w:rPr>
            <w:rFonts w:ascii="arial" w:eastAsia="arial" w:hAnsi="arial" w:cs="arial"/>
            <w:i/>
            <w:color w:val="0077CC"/>
            <w:sz w:val="20"/>
            <w:u w:val="single"/>
            <w:shd w:val="clear" w:color="auto" w:fill="FFFFFF"/>
            <w:lang w:val="en-US" w:eastAsia="en-US" w:bidi="ar-SA"/>
          </w:rPr>
          <w:t>[1999] 1 S.C.R. 808</w:t>
        </w:r>
      </w:hyperlink>
      <w:r>
        <w:rPr>
          <w:rFonts w:ascii="arial" w:eastAsia="arial" w:hAnsi="arial" w:cs="arial"/>
          <w:color w:val="000000"/>
          <w:sz w:val="20"/>
          <w:lang w:val="en-US" w:eastAsia="en-US" w:bidi="ar-SA"/>
        </w:rPr>
        <w:t xml:space="preserve"> at para. 66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running of time for a personal injury action may be postponed under s. 6(4) of the Limitation Act on the basis of certain "discoverability" principles. The burden of proving that the running of time has been postponed is on the person claiming the benefit of the postponement: s.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S. 6(4) of the Act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with respect to an action referred to in subsection (3) until the identity of the defendant is known to the plaintiff and those facts within the plaintiff's means of knowledge are such that a reasonable person, knowing those facts and having taken the appropriate advice a reasonable person would seek on those facts, would regard those facts as showing that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interpreting s. 6(4), Novak v. Bond adopted a test which is both subjective and objective. In considering when a reasonable person would conclude that the plaintiff could bring an action, the plaintiff's "important and substantial" interests are taken into account. Madam Justice McLachlin summarized the proper approach at para.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 6(4)(b) requires the court to adopt the perspective of a reasonable person who knows the facts that are within the plaintiff's knowledge and has taken the appropriate advice a reasonable person would seek on those facts. Time does not begin to run until this reasonable person would conclude that someone in the plaintiff's position could, acting reasonably in light of his or her own circumstances and interests, bring an action. The question posed by s. 6(4)(b) therefore becomes: "in light of his or her own particular circumstances and interests, at what point could the plaintiff reasonably have brought an action?" The reasonable person would only consider that the plaintiff could not have brought an action at the time the right to do so first arose if the plaintiff's own interests and circumstances were serious, significant and compelling. Pure tactical concerns have no place in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K.L.B., Mackenzie J.A. distinguished V.(J.L.) v. H.(P.) on the basis that in cases of combined sexual and physical abuse caused by the same defendant, the court should give generous ambit to s. 3(k) of the Limitation Act. This case is like K.L.B. where different individuals are responsible for the sexual and the non-sexual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Mackenzie J.A. distinguished Novak v. Bond on the basis that in that case there was an overriding consideration - a positive outlook necessary for maintaining health - that reasonably precluded litigation. In this case, like K.L.B., no such overriding consideration exists to extend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onus is on Mr. R.A.R.B. to demonstrate that there were "serious, significant, and compelling" reasons why he did not bring his claim prior to March 11,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Despite Mr. R.A.R.B.'s cognitive limitations and memory deficits, he testified he always believed that the alleged events that support his claim were wrong right from the time they happened and that the staff at Woodlands was responsible. He acknowledged that he has believed for many years, and certainly since he has become an adult, that his Woodlands' experiences undermined his mental well being. He also acknowledged that he believes his time at Woodlands, to the exclusion of everything else, including his home and Cedar Lodge School experiences, caused all of his adult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R.A.R.B. obtained his Woodlands records twice, destroying them the first time after having them read to him. In 1994 he began four years of counseling, provided free through a government program, based on his allegations of sexual abuse in relation to his stay at Woodlands. In December 1994 he went over his Woodlands records with his counselor, and while the counselor's record indicates Mr. R.A.R.B. did not know what charges to lay, she advised him to take his file to a lawyer. Mr. R.A.R.B. testified he was considering suing at that time, not laying criminal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At some point when he was looking for compensation, Mr. R.A.R.B. was aware his spouse reported his allegations of abuse at Woodlands to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There is a note in Ms. Sommers' records in May 1996 that Mr. R.A.R.B. was "raging, wanting to get his files to expose everybody, telling his story to the whole world". In August 1996 there is another note about Mr. R.A.R.B. bringing an application for disability benefits. In July 1997 Ms. Sommers recorded that Mr. R.A.R.B. wanted to sue the government and was going to the newspaper. Indeed, he considered consulting a lawyer for a long time. In Ms. Sommers' record there is a note as early as January 1995 where she discussed with Mr. R.A.R.B. his filing a lawsuit but Mr. R.A.R.B. said he just wanted to forget it. Later he told Ms. Sommers he was concerned about the cost of going to see a lawyer. He was given a number to call at the Criminal Injuries Section of the Workers Compensation Board where he could obtain details on how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R.A.R.B. says he waited until July 1997 before he saw a lawyer because he "had to think it over first". The lawyer he saw in 1997 seemed to think Mr. R.A.R.B. needed more counseling due to Mr. R.A.R.B.'s distress in trying to tell his story. This suggestion to seek more counseling took Ms. Sommers by surprise judging from the note in her file, "I am mystified", and flies in the face of her original suggestion that Mr. R.A.R.B. seek legal advice. The lawyer did not review a tape that Mr. R.A.R.B. dropped off later which he had prepared with Ms. Sommers apparently detailing his experiences at Woodlands.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Upon all the evidence, I am unable to conclude that Mr. R.A.R.B. was unable to get appropriate legal advice because he was unable to explain or articulate his complaints. Mr. R.A.R.B.'s evidence demonstrates he understood the nature of the wrong-doing he alleges occurred at Woodlands and he understood that the people at Woodlands were responsible for the wrong-doing. I agree with the submission of the Crown that Mr. R.A.R.B. has offered no reasonable explanation why he waited nearly 24 years after his admission to Woodlands to launch his claim against the Crown. He has not demonstrated there were "serious, significant and compelling reasons" why he waited so long to bring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R.A.R.B. reached the age of majority in 1979 and waited 20 more years to sue the Crown despite clear evidence that he had sufficient understanding and knowledge to have brought his claim. A reasonable person in his position, acting reasonably in light of his own circumstances, could have brought an action many years ago and at least by 1994. I conclude that with the exception of the claims based on allegations of sexual assault, all other claims would be defeated by operation of the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courts have been inundated with a flood of historical abuse claims raising serious concerns whether justice can be done through the court process. Key witnesses are dead. A key social worker was unable to testify due to ill health. The memories of other key witnesses were impaired, by old age and by the passage of time, to the point of almost total reliance on incomplete and inaccurate records. In addition, Woodlands has been closed for years and many of its records have been destroyed, lost or misplaced. Records of court proceedings have been destroyed, leading to an invitation to embark upon an exercise in speculation and conjecture. Key events can no longer be ascertained with certainty. The passage of time serves to prejudice both parties, particularly the defendant who is unable to mount a proper defence to an action. The circumstances of this case in particular underscore the policy rationale behind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Counsel have cited a number of cases which I do not intend to review. Counsel for Mr. R.A.R.B. submits the range of damages justified by the authorities is between $100,000 to $125,000. The Crown submits the appropriate range of damages derived from the cases is from $5,000 to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It is clear from the evidence that Mr. R.A.R.B. was a "crumbling skull". I do not agree with the position asserted by his counsel that he was a "thin skull" because of his pre-existing organic characteristics and therefore suffered more as a result of the tortious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An award of damages must take into account the extent to which the damages suffered by Mr. R.A.R.B. are attributable to a pre-existing condition rather than the defendant's tortious conduct. Mr. R.A.R.B. is not entitled to be placed in a better position than he would have been absent the wrong-doing. The "crumbling skull" doctrine was discussed by the Supreme Court of Canada in Athey v. Leonati, </w:t>
      </w:r>
      <w:hyperlink r:id="rId95" w:history="1">
        <w:r>
          <w:rPr>
            <w:rFonts w:ascii="arial" w:eastAsia="arial" w:hAnsi="arial" w:cs="arial"/>
            <w:i/>
            <w:color w:val="0077CC"/>
            <w:sz w:val="20"/>
            <w:u w:val="single"/>
            <w:shd w:val="clear" w:color="auto" w:fill="FFFFFF"/>
            <w:lang w:val="en-US" w:eastAsia="en-US" w:bidi="ar-SA"/>
          </w:rPr>
          <w:t>[1997] 1 W.W.R. 97</w:t>
        </w:r>
      </w:hyperlink>
      <w:r>
        <w:rPr>
          <w:rFonts w:ascii="arial" w:eastAsia="arial" w:hAnsi="arial" w:cs="arial"/>
          <w:color w:val="000000"/>
          <w:sz w:val="20"/>
          <w:lang w:val="en-US" w:eastAsia="en-US" w:bidi="ar-SA"/>
        </w:rPr>
        <w:t xml:space="preserve"> at para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so-called "crumbling skull" rule simply recognizes that the pre-existing condition was inherent in the plaintiff's "original position". The defendant need not put the plaintiff in a position better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this can be taken into account in reducing the overall award.... This is consistent with the general rule that the plaintiff must be returned to the position he would have been in, with all of its attendant risks and shortcomings, and not a better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 R.A.R.B. blames Woodlands for all of his problems. He has fixated on Woodlands to such an extent that there is no proper foundation for Dr. O'Shaughnessy's opinion that Mr. R.A.R.B.'s present problems and symptoms of Post-Traumatic Stress Disorder can be traced back to Woodlands. A number of events had a significant impact on Mr. R.A.R.B. including the serious physical and sexual abuse inflicted by Mr. R.A.R.B.'s father, the emotional abuse experienced by Mr. R.A.R.B. in his family setting (including being rejected by his mother and being blamed for the crib deaths of two siblings), and the influence of his sexual experiences at Cedar Lodge School. Even before his time at Woodlands, Mr. R.A.R.B. had behavioral problems and cognitive dysfunction, consistent with a diagnosis of Personality Disorder with cognitive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R.A.R.B. has made claims against the Crown for aggravated and punitive damages. Mr. R.A.R.B. agrees that his claim for punitive damages should be dismissed in light of the present state of the law but he argues that a component of non-pecuniary damages should be an award for aggravated damages in the amount of $5,000 to $10,000 because he continued to be locked up with people who were known to have hurt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The present state of the law militates against such claims in cases like this one. Where a party is found liable for the intentional wrong-doing of another in ordinary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vicarious liability, that party is not liable for aggravated or punitive damages which might be awarded against the primary wrong-doer: Hill v. Church of Scientology of Toronto </w:t>
      </w:r>
      <w:hyperlink r:id="rId139" w:history="1">
        <w:r>
          <w:rPr>
            <w:rFonts w:ascii="arial" w:eastAsia="arial" w:hAnsi="arial" w:cs="arial"/>
            <w:i/>
            <w:color w:val="0077CC"/>
            <w:sz w:val="20"/>
            <w:u w:val="single"/>
            <w:shd w:val="clear" w:color="auto" w:fill="FFFFFF"/>
            <w:lang w:val="en-US" w:eastAsia="en-US" w:bidi="ar-SA"/>
          </w:rPr>
          <w:t>(1995), 126 D.L.R. (4th) 129</w:t>
        </w:r>
      </w:hyperlink>
      <w:r>
        <w:rPr>
          <w:rFonts w:ascii="arial" w:eastAsia="arial" w:hAnsi="arial" w:cs="arial"/>
          <w:color w:val="000000"/>
          <w:sz w:val="20"/>
          <w:lang w:val="en-US" w:eastAsia="en-US" w:bidi="ar-SA"/>
        </w:rPr>
        <w:t xml:space="preserve"> (S.C.C.); and A.(C.) v. C.(J.W.) </w:t>
      </w:r>
      <w:hyperlink r:id="rId140" w:history="1">
        <w:r>
          <w:rPr>
            <w:rFonts w:ascii="arial" w:eastAsia="arial" w:hAnsi="arial" w:cs="arial"/>
            <w:i/>
            <w:color w:val="0077CC"/>
            <w:sz w:val="20"/>
            <w:u w:val="single"/>
            <w:shd w:val="clear" w:color="auto" w:fill="FFFFFF"/>
            <w:lang w:val="en-US" w:eastAsia="en-US" w:bidi="ar-SA"/>
          </w:rPr>
          <w:t>(1998), 60 B.C.L.R. (3d) 92</w:t>
        </w:r>
      </w:hyperlink>
      <w:r>
        <w:rPr>
          <w:rFonts w:ascii="arial" w:eastAsia="arial" w:hAnsi="arial" w:cs="arial"/>
          <w:color w:val="000000"/>
          <w:sz w:val="20"/>
          <w:lang w:val="en-US" w:eastAsia="en-US" w:bidi="ar-SA"/>
        </w:rPr>
        <w:t xml:space="preserve"> at 122-125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While courts have included a claim for aggravated damages when calculating non pecuniary damages, to compensate for the mental suffering caused by a defendant's malicious or intentionally wrongful acts, I agree with the Crown that this is not an appropriate case to award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In the most recent cases from the Court of Appeal, non-pecuniary damages were reduced from $80,000 to $30,000 in M.B. and from $25,000 to $10,000 in K.L.B. Significantly, in M.B., Mackenzie J.A. for the court concluded that the trial judge erred in her assessment of damages by failing to exclude from the assessment the detrimental effects of prior abuse on the plaintiff's future. A damage award for a subsequent tort is limited to compensation for the injury caused by the tort, which requires an assessment of what the plaintiff's condition would have been had the second tort not occurred. It cannot exclude the damages flowing from the first tort that would have impacted the plaintiff nonetheless. The very same situation applies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have found the Crown liable for the documented sexual assault, the fondling and attempt to fellate Mr. R.A.R.B. by Male 2 while Mr. R.A.R.B. was sleeping. This is an incident Mr. R.A.R.B. does not recall. The medical evidence does not establish that Mr. R.A.R.B. has Post-traumatic Stress Disorder as a result of his Woodlands experiences. At best, he has symptoms of Post-traumatic Stress Disorder but I cannot conclude that these are causally connected to his Woodlands experience, having regard to the history of sexual assaults by his father and by the boys at Cedar Lodge. Nor do I conclude that the sexual assault on Ward 72 significantly aggravated or worsened his pre-existing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An appropriate award for non-pecuniary damages, taking into account Mr. R.A.R.B.'s longstanding, pre-existing problems, is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Mr. R.A.R.B.'s wage loss claim is for $124,464. His counsel acknowledges it is impossible to calculate his claim with precision and has arrived at this amount by making a number of assumptions and discounting the amount of wage loss by 50% to derive an amount of loss attributable to the Woodlands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Mr. R.A.R.B. has demonstrated he is a motivated, industrious, and hard-working young man. He has shown great initiative and has been gainfully employed throughout much of his adult life although he has not managed to hold any job for a lengthy period due to a drinking problem and difficulties with co-workers. Dr. O'Shaughnessy best summarizes Mr. R.A.R.B.'s work history at page 7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R.A.R.B.'s work history indicates a long history of difficulties in obtaining and maintaining employment. As noted above, he has virtually no education and he is functionally illiterate such that his job skills are minimal. He has only been able to obtain unskilled labour, e.g. chicken catching, warehouse work, washing cars, etc. His longest job has only been of six months duration and his history is interspersed with long periods of unemployment where he had to obtain social assistance. In addition, his abilities to maintain any employment are hampered by his temper outbursts. He acknowledges that he is extremely sensitive to any suggestion that he is mentally handicapped or "retarded" and responds to any coworker calling him names with quite marked temper outbursts. In 1991 Mr. R.A.R.B. was awarded a handicapped pension and has been receiving same ever since. He tells me he grew bored with the lack of activity and six months ago obtained a job doing car detailing for a Honda dealership. This is done with the full understanding and approval of social assistance who prorate his disability based on his income from the car dealership. By his account, he is actually doing quite well in that he is maintaining steady employment when it is available. Although he states he still has difficulties with his temper, he has been able to cope and has not lost his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calculating his wage loss claim, Mr. R.A.R.B. does not account for significant contingencies. These contingencies include: a likelihood that he would always face significant challenges in obtaining work, the fact that economic downturns are likely to affect him more significantly than other workers, the fact that the welfare benefits that he has received over the years have an increased value to him as they are tax deductible, and the fact that social assistance has provided him with other non-monetary benefits such as medical and prescription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Mr. R.A.R.B.'s pre-existing cognitive deficits, limited intellectual capacity and personality disorder would seriously impact his ability to obtain and maintain employment beyond what he has attained. I agree with the Crown that much of his past work history has been interrupted by events unrelated to Woodlands, including jail, hospitalization, workplace injuries and the consequences of alcohol binges. Despite these disadvantages, Mr. R.A.R.B. has often managed to secure full-time steady work at or above minimum wage.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Mr. R.A.R.B. has not established on a balance of probabilities that he has suffered a past wage loss as a result of his stay at Woodlands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 R.A.R.B.'s claim for loss of earning capacity is $75,000. His counsel agrees this is an estimate and no evidence has been led to support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Damages for loss of future earning capacity are awarded where it is established that the plaintiff's capacity to earn an income has been affected by the defendant's wrong-doing. An award for loss of earning capacity is based on the recognition that a plaintiff's capacity to earn an income is an asset which may have been taken away. It entails "crystal ball gazing": Andrews v. Grand &amp; Toy Alberta Ltd., </w:t>
      </w:r>
      <w:hyperlink r:id="rId141"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(S.C.C.). Since an award for loss of future income is premised on the likelihood of the occurrence of future events, it is necessary to value the chance of such a loss occurring based on "a real and substantial possibility and not mere speculation": Athey v. Leonati.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Mr. R.A.R.B. has received income assistance on occasion and presently receives a disability pension that is reduced due to income earned through employment. He is an industrious young man and has shown an admirable ability to obtain work. As in his claim for past wage loss, Mr. R.A.R.B.'s preexisting cognitive deficits and personality disorder would seriously impact his ability to obtain and maintain employment beyond what he has attained.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Mr. R.A.R.B. has not established a "substantial possibility" of the future loss occurring beyond mere conjecture.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Mr. R.A.R.B.'s claim for counseling in the amount of $10,800 is based on two years therapy with 45 sessions per year at $120 per session. It is the position of the Crown that no award ought to be made for counseling, or only a modest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Mr. R.A.R.B. received four years of counseling paid for by the Crown through the Residential Historical Abuse Program. This program provides counseling to persons who believe that they were sexually assaulted while residing in a provincial government funded residential resource, without proof of abuse. The Crown argues that Mr. R.A.R.B. used the counseling mostly to address complaints unrelated to Woodlands and, to some extent, this is born out in the records. I do not agree with the Crown submission that Mr. R.A.R.B. is unable to benefit from counseling due to his cognitive deficits. Clearly, Mr. R.A.R.B. has benefited from past counseling.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While only a minor portion of Mr. R.A.R.B.'s problems are attributable to Woodlands, and the Crown has already paid for four years counseling, it is appropriate to award Mr. R.A.R.B. $5,000 for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Mr. R.A.R.B. claims $9,745.50 for the cost of prescription anti-depression medication. This amount has been arrived at by calculating the cost for the rest of his life (30 years) and reducing that amount by half. To date, all Mr. R.A.R.B.'s medication has been paid for by the Crown and it has not been established that there is a "substantial possibility" of a future loss occurring beyond mere conjecture.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Mr. R.A.R.B.'s claim for damages for sexual assault is allowed. He has abandoned his claims for breach of fiduciary duty, punitive damages and equitable pre-judgment interest. These and all other claims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Mr. R.A.R.B. is awarded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1987"/>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$20,000.00</w:t>
            </w:r>
          </w:p>
        </w:tc>
        <w:tc>
          <w:tcPr>
            <w:tcW w:w="419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Wage Loss:</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00.00</w:t>
            </w:r>
          </w:p>
        </w:tc>
        <w:tc>
          <w:tcPr>
            <w:tcW w:w="419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opportunity:</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00.00</w:t>
            </w:r>
          </w:p>
        </w:tc>
        <w:tc>
          <w:tcPr>
            <w:tcW w:w="419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Care:</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5,000.00</w:t>
            </w:r>
          </w:p>
        </w:tc>
        <w:tc>
          <w:tcPr>
            <w:tcW w:w="419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If the parties cannot reach an agreement on costs, written submissions may be filed within 30 days of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STROMBERG-STEIN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9"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48" w:history="1">
        <w:r>
          <w:rPr>
            <w:rFonts w:ascii="arial" w:eastAsia="arial" w:hAnsi="arial" w:cs="arial"/>
            <w:b/>
            <w:bCs/>
            <w:i/>
            <w:color w:val="0077CC"/>
            <w:kern w:val="32"/>
            <w:sz w:val="28"/>
            <w:szCs w:val="32"/>
            <w:u w:val="single"/>
            <w:shd w:val="clear" w:color="auto" w:fill="FFFFFF"/>
            <w:lang w:val="en-US" w:eastAsia="en-US" w:bidi="ar-SA"/>
          </w:rPr>
          <w:t>Russell v. Canada, [2000] B.C.J. No. 848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A.F. Wilson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12 - 17,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17,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S044348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848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650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96 A.C.W.S. (3d) 711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Liam Richard Russell, also known as Lee Russell, plaintiff, and Her Majesty the Queen in Right of Canada, Attorney General of Canada, Matsqui Institution and Rodger Brock,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0"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 w:name="Keywords_2"/>
      <w:bookmarkEnd w:id="21"/>
      <w:r>
        <w:rPr>
          <w:rFonts w:ascii="arial" w:eastAsia="arial" w:hAnsi="arial" w:cs="arial"/>
          <w:b/>
          <w:color w:val="000000"/>
          <w:sz w:val="20"/>
          <w:lang w:val="en-US" w:eastAsia="en-US" w:bidi="ar-SA"/>
        </w:rPr>
        <w:t xml:space="preserve">Prisons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Prison authorities — Standard of care — Crown — Actions by and against Crown in right of Canada — Capacity of Crown to be sued — Practice — Proper Crown party.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 w:name="Case Summary_2"/>
            <w:bookmarkEnd w:id="2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action by Russell against Canada and others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While an inmate at a federal correctional institution, Russell was allegedly assaulted by another inmate during a recreational period. He claimed that he was struck in the head by the unidentified inmate with a stocking containing missing shuffleboard rocks. He named Her Majesty the Queen in Right of Canada, the Attorney General of Canada, the institution and its warden as defendants. He alleged that the assault was the direct result of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failing to provide proper supervision of the inmate population, to provide proper surveillance of the recreational area, to take proper precautions to ensure equipment was accounted for and to take reasonable steps to ascertain the identity of the assailant.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 w:name="Holdings of Court_2"/>
            <w:bookmarkEnd w:id="23"/>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Naming the Crown as well as the Attorney General of Canada was not necessary. While section 23(2) of the Crown Liability Act permitted proceedings against the federal Crown in the name of the Attorney General of Canada or the Crown agency, proceedings against Correctional Services of Canada were not authorized under the Corrections and Conditional Release Act. Therefore, the Attorney General of Canada was the properly named defendant. The correctional institution was not a legal entity capable of being sued. Since there were no claims made against the warden personally and it was not alleged that he was vicariously liable, the action against the warden could not stand. Russell failed to establish that the Crown breached its duty to exercise reasonable care to protect him from foreseeable risks. The acts of the Crown did not fall below the standard of conduct of what a reasonable person of ordinary prudence would do. The medical and other evidence established that he sustained an injury at the hands of another inmate despite his initial claim that he had slipped. However, there was no admissible evidence as to the weapon used. Rumours and statements from unnamed sources were not admissible as an exception to the hearsay rule. There was also insufficient evidence to establish the identity of his assailant.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dealing with the sporting equipment were therefore not made out. As to the failure to provide adequate supervision and surveillance, use of the least restrictive measures consistent with protection of the public, staff members and offenders and the number of guards placed on duty were policy decisions not subject to judicial review. Breaches of the policies of the institution were not shown to have any causative relationship to the injuries suffered. No adverse inference could be drawn from the Crown's failure to provide full disclosure of documents.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 w:name="Legislation Cited_2"/>
      <w:bookmarkEnd w:id="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1"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Corrections and Conditional Release Act, S.C. 1992, c. C-44.6, s. 4(d).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Crown Liability Act, R.S.C. 1985, c. C-50, s. 23(2).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 w:name="Counsel_2"/>
      <w:bookmarkEnd w:id="2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2"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Lisa Parkes, for the plaintiff. Valerie J. Anderson,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 w:name="Judgment_2"/>
      <w:bookmarkEnd w:id="26"/>
      <w:r>
        <w:pict>
          <v:line id="_x0000_s1043" style="position:absolute;z-index:2518149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 w:name="A.F. WILSON J."/>
            <w:bookmarkEnd w:id="27"/>
            <w:r>
              <w:rPr>
                <w:rFonts w:ascii="arial" w:eastAsia="arial" w:hAnsi="arial" w:cs="arial"/>
                <w:b/>
                <w:color w:val="000000"/>
                <w:sz w:val="30"/>
                <w:lang w:val="en-US" w:eastAsia="en-US" w:bidi="ar-SA"/>
              </w:rPr>
              <w:t>A.F. WILSON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claims of the plaintiff, Liam Richard Russell, arise from injuries he received on June 12th, 1996, while an inmate at the Matsqui Institution, a federal medium security prison.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are Her Majesty the Queen in Right of Canada, Attorney General of Canada, Matsqui Institution and Rodger Brock. Naming both Her Majesty the Queen in Right of Canada and the Attorney General of Canada is not necessary. Pursuant to s. 23(2) of the Crown Liability Act, R.S.C. 1985, c. C-50, proceedings against the federal Crown may be taken in the name of the Attorney General of Canada, or the agency of the Crown against which proceedings are authorized to be taken, in the name of that agency, by an Act of Parliament. Proceedings against the Correctional Service of Canada do not appear to be authorized in the Corrections and Conditional Release Act, S.C. 1992, c. C-44.6. It thus appears that the properly named defendant is the Attorney General of Canada. I accept the submissions of counsel for the defendants that Matsqui Institution is not a legal entity capable of being sued. The final named defendant, Rodger Brock, was the warden of Matsqui Institution at the relevant time. However, there are no claims made against him personally, nor is he alleged to be vicariously liable, and the action against him is thus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Paragraph 5 of the Statement of Claim alleges that, on or about June 12th, 1996, while Mr. Russell was incarcerated at the Matsqui Institution, he was assaulted by another inmate "who intentionally and maliciously struck the plaintiff with a stocking containing two shuffleboard rocks." It is alleged that he sustained injury to his head, and struck his head upon a mop pail, prior to striking the floor. The Statement of Claim says the identity of the inmate is not known to Mr. Russell.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claim is framed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particulars of which are set out in paragraph 6 of the Statement of Claim as follows:</w:t>
      </w:r>
      <w:r>
        <w:rPr>
          <w:rFonts w:ascii="arial" w:eastAsia="arial" w:hAnsi="arial" w:cs="arial"/>
          <w:sz w:val="20"/>
          <w:lang w:val="en-US" w:eastAsia="en-US" w:bidi="ar-SA"/>
        </w:rPr>
        <w:cr/>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said assault occurred as a direct result of the actions and/or omissions,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duty of the employees, servants and/or agents of the Defendants, and each of them, particulars of which include:</w:t>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or neglecting to provide proper supervision of the inmate population;</w:t>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or neglecting to provide proper surveillance of the institutional area wherein the assault occurred;</w:t>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or neglecting to take proper precautions to ensure that all sporting equipment including shuffleboard rocks is accounted for;</w:t>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or neglecting to take proper precautions to ensure that all sporting equipment is properly signed out for use by an inmate;</w:t>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or neglecting to take proper precautions to ensure that all sporting equipment is identified for use by a specific inmate;</w:t>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or neglecting to take any steps or reasonable steps to ensure that all sporting equipment is returned following use;</w:t>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or neglecting to take any steps or reasonable steps to ascertain the identity of the inmate responsible for the said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Statement of Claim also alleges that the acts or omissions of the defendants violated Mr. Russell's right not to be subjected to cruel and unusual treatment or punishment, contrary to s. 12 of the Canadian Charter of Rights and Freedoms, and seeks a remedy pursuant to s. 24(1) of the Charter. However, that claim was abandoned at trial. The Statement of Claim also seeks aggravated or exemplary damages, and punitive damages, in addition to general and special damages. Those claims were also abandoned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onus is on the plaintiff to establish acts or omissions by the employees, servants, or agents of the federal Crown, in breach of their duty to exercise reasonable care to protect the plaintiff from foreseeable risks: Maclean v. R., </w:t>
      </w:r>
      <w:hyperlink r:id="rId149" w:history="1">
        <w:r>
          <w:rPr>
            <w:rFonts w:ascii="arial" w:eastAsia="arial" w:hAnsi="arial" w:cs="arial"/>
            <w:i/>
            <w:color w:val="0077CC"/>
            <w:sz w:val="20"/>
            <w:u w:val="single"/>
            <w:shd w:val="clear" w:color="auto" w:fill="FFFFFF"/>
            <w:lang w:val="en-US" w:eastAsia="en-US" w:bidi="ar-SA"/>
          </w:rPr>
          <w:t>[1973] S.C.R. 2</w:t>
        </w:r>
      </w:hyperlink>
      <w:r>
        <w:rPr>
          <w:rFonts w:ascii="arial" w:eastAsia="arial" w:hAnsi="arial" w:cs="arial"/>
          <w:color w:val="000000"/>
          <w:sz w:val="20"/>
          <w:lang w:val="en-US" w:eastAsia="en-US" w:bidi="ar-SA"/>
        </w:rPr>
        <w:t xml:space="preserve">, at p. 7; Smith v. B.C. (A.G.) </w:t>
      </w:r>
      <w:hyperlink r:id="rId150" w:history="1">
        <w:r>
          <w:rPr>
            <w:rFonts w:ascii="arial" w:eastAsia="arial" w:hAnsi="arial" w:cs="arial"/>
            <w:i/>
            <w:color w:val="0077CC"/>
            <w:sz w:val="20"/>
            <w:u w:val="single"/>
            <w:shd w:val="clear" w:color="auto" w:fill="FFFFFF"/>
            <w:lang w:val="en-US" w:eastAsia="en-US" w:bidi="ar-SA"/>
          </w:rPr>
          <w:t>(1988), 30 B.C.L.R. (2d) 356</w:t>
        </w:r>
      </w:hyperlink>
      <w:r>
        <w:rPr>
          <w:rFonts w:ascii="arial" w:eastAsia="arial" w:hAnsi="arial" w:cs="arial"/>
          <w:color w:val="000000"/>
          <w:sz w:val="20"/>
          <w:lang w:val="en-US" w:eastAsia="en-US" w:bidi="ar-SA"/>
        </w:rPr>
        <w:t xml:space="preserve"> at p. 366 (C.A.); Coumont v. Canada et al. </w:t>
      </w:r>
      <w:hyperlink r:id="rId151" w:history="1">
        <w:r>
          <w:rPr>
            <w:rFonts w:ascii="arial" w:eastAsia="arial" w:hAnsi="arial" w:cs="arial"/>
            <w:i/>
            <w:color w:val="0077CC"/>
            <w:sz w:val="20"/>
            <w:u w:val="single"/>
            <w:shd w:val="clear" w:color="auto" w:fill="FFFFFF"/>
            <w:lang w:val="en-US" w:eastAsia="en-US" w:bidi="ar-SA"/>
          </w:rPr>
          <w:t>(1994), 77 F.T.R. 253</w:t>
        </w:r>
      </w:hyperlink>
      <w:r>
        <w:rPr>
          <w:rFonts w:ascii="arial" w:eastAsia="arial" w:hAnsi="arial" w:cs="arial"/>
          <w:color w:val="000000"/>
          <w:sz w:val="20"/>
          <w:lang w:val="en-US" w:eastAsia="en-US" w:bidi="ar-SA"/>
        </w:rPr>
        <w:t xml:space="preserve"> at p. 363. The issue in this case is not whether there is a duty of care, but whether the acts or omissions of the defendants fell below the standard of conduct of what a reasonable person of ordinary prudence would do in the circumstances. I am not satisfied that Mr. Russell has met that 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find that Mr. Russell did sustain an injury at the hands of another inmate while in the Matsqui Institution on June 12th, 1996. Mr. Russell's initial explanation was that he slipped on a wet floor, and that his head struck a mop pail. However, the medical opinions tendered on behalf of both Mr. Russell and the defendants indicate that to be improbable. Dr. Gittens, the neurosurgeon who saw Mr. Russell when he was transferred to Royal Columbian Hospital on the early morning of June 13th, 1996, said that the injuries appear more in keeping with an assault, probably with a blunt object. Dr. Rees, the neurologist to whom Mr. Russell was referred by the defendants, in his report dated January 20th, 2000,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reasons best known to himself, Mr. Russell soon after he was injured told his charges that his head struck a bucket after he fell on a wet floor. His head injuries were disproportionately severe for such a causation and were of a magnitude that he would have been likely rendered unconscious at least momentarily, and would not have remembered the head blow(s) or how the blow(s) came about. (By analogy, a KO'd boxer does not afterwards remember the delivering punch.) In his hospital consultation report, Dr. Gittens specifically mentioned that whereas Mr. Russell said that he fell on a wet floor, he had no recollection of what happened to him. Thus it is difficult to accept Mr. Russell's initial explanation for the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Dr. Gittens opinion, the head injury was in keeping with a blow delivered by a blunt object. In my opinion it was also consistent with a head impact against an unyielding surface, for example a concrete or masonry surface. The blow(s) was sufficiently forceful to produce multiple skull fractures, fractures that would not occur from impacting a bucket.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trial, Mr. Russell said he had no recollection of how the injury occurred, but believes he was struck from behind. He said that he initially told the prison authorities that he had slipped and hit his head on a bucket as part of the inmates' code not to inform on other inmates. I accept that evidence, and find that Mr. Russell's injuries were as a result of being struck from behind with a blow, or blows, using a blunt object. I consider that more probable than the alternate hypothesis put forward by Dr. Rees, that Mr. Russell's head hit an unyielding surface such as a concrete or masonry surface. I consider that improbable in light of the fact that Mr. Russell sustained a depressed right skull fracture, as well as multiple other skull fractures, which are inconsistent with falling and hitting a flat surface. There was no evidence of any protrusions from the floors, or sharp edges in the area where Mr. Russell's injury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However, I do not accept the mechanism of the injury, as alleged in paragraph 5 of the Statement of Claim, that Mr. Russell was struck with a stocking containing two shuffleboard rocks. The only evidence in support of that, apart from the medical opinions that he was struck with a blunt object, is the evidence that two shuffleboard rocks were missing from the recreational area of Matsqui Institution at that time, and a report received by Mr. Russell from an unnamed source, and rumours within the institution, that he was struck with a sock containing the missing shuffleboard rocks. That information, however, is hearsay, and not admissible as proof that he was, in fact, struck in that manner. In submissions, counsel for the plaintiff submitted that evidence should be admitted pursuant to the principled exception to the hearsay rule, relying on Regina v. Khan, </w:t>
      </w:r>
      <w:hyperlink r:id="rId152" w:history="1">
        <w:r>
          <w:rPr>
            <w:rFonts w:ascii="arial" w:eastAsia="arial" w:hAnsi="arial" w:cs="arial"/>
            <w:i/>
            <w:color w:val="0077CC"/>
            <w:sz w:val="20"/>
            <w:u w:val="single"/>
            <w:shd w:val="clear" w:color="auto" w:fill="FFFFFF"/>
            <w:lang w:val="en-US" w:eastAsia="en-US" w:bidi="ar-SA"/>
          </w:rPr>
          <w:t>[1990] 2 S.C.R. 531</w:t>
        </w:r>
      </w:hyperlink>
      <w:r>
        <w:rPr>
          <w:rFonts w:ascii="arial" w:eastAsia="arial" w:hAnsi="arial" w:cs="arial"/>
          <w:color w:val="000000"/>
          <w:sz w:val="20"/>
          <w:lang w:val="en-US" w:eastAsia="en-US" w:bidi="ar-SA"/>
        </w:rPr>
        <w:t xml:space="preserve"> and Regina v. Smith </w:t>
      </w:r>
      <w:hyperlink r:id="rId153" w:history="1">
        <w:r>
          <w:rPr>
            <w:rFonts w:ascii="arial" w:eastAsia="arial" w:hAnsi="arial" w:cs="arial"/>
            <w:i/>
            <w:color w:val="0077CC"/>
            <w:sz w:val="20"/>
            <w:u w:val="single"/>
            <w:shd w:val="clear" w:color="auto" w:fill="FFFFFF"/>
            <w:lang w:val="en-US" w:eastAsia="en-US" w:bidi="ar-SA"/>
          </w:rPr>
          <w:t>(1992), 75 C.C.C. (3d) 257</w:t>
        </w:r>
      </w:hyperlink>
      <w:r>
        <w:rPr>
          <w:rFonts w:ascii="arial" w:eastAsia="arial" w:hAnsi="arial" w:cs="arial"/>
          <w:color w:val="000000"/>
          <w:sz w:val="20"/>
          <w:lang w:val="en-US" w:eastAsia="en-US" w:bidi="ar-SA"/>
        </w:rPr>
        <w:t xml:space="preserve"> (S.C.C.), among other cases. However, no application was made to adduce the evidence on that basis at trial, so that the admissibility could be determined on a voir dire, as was suggested to be the appropriate procedure by Wood, J.A. in Regina v. Chahley </w:t>
      </w:r>
      <w:hyperlink r:id="rId154" w:history="1">
        <w:r>
          <w:rPr>
            <w:rFonts w:ascii="arial" w:eastAsia="arial" w:hAnsi="arial" w:cs="arial"/>
            <w:i/>
            <w:color w:val="0077CC"/>
            <w:sz w:val="20"/>
            <w:u w:val="single"/>
            <w:shd w:val="clear" w:color="auto" w:fill="FFFFFF"/>
            <w:lang w:val="en-US" w:eastAsia="en-US" w:bidi="ar-SA"/>
          </w:rPr>
          <w:t>(1992), 72 C.C.C. (3d) 193</w:t>
        </w:r>
      </w:hyperlink>
      <w:r>
        <w:rPr>
          <w:rFonts w:ascii="arial" w:eastAsia="arial" w:hAnsi="arial" w:cs="arial"/>
          <w:color w:val="000000"/>
          <w:sz w:val="20"/>
          <w:lang w:val="en-US" w:eastAsia="en-US" w:bidi="ar-SA"/>
        </w:rPr>
        <w:t xml:space="preserve"> at pages 210-211 (C.A.). Based on the information I do have, I am not satisfied the evidence satisfies the criterion of reliability, in that it is shown to be made under circumstances which substantially negate the possibility that the declarant was untruthful or mistaken. In this case, the source of the information is unknown, so it cannot be said, for example, whether that person, or persons, had any personal knowledge of the incident, or if he, or they, were just repeating rumours within the institution. It can also not be determined whether the person, or persons, who provided the information could have been untruthful or mistaken in providing that information. I thus find that evidence is not admissible under the principled exception. That leaves only the evidence that Mr. Russell was struck with a blunt object, and that two shuffleboard rocks were missing from the recreational area. Those rocks were never found. That is not sufficient evidence to establish, on the balance of probabilities, that Mr. Russell was struck with a stocking containing two shuffleboard rocks.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is also not sufficient evidence to establish who Mr. Russell's assailant was. An investigation was done by the correctional authorities, but they were not able to determine who the perpetrator was. Further, most of the information received was hearsay, and, again, is not admissible for the truth of the contents. I do not find that the prison authorities were negligent in failing to take reasonable steps to ascertain the identity of the inmate responsible for the assault, as alleged in paragraph 6(g) of the Statement of Claim. To the contrary, although the investigation was delayed, everything which could reasonably have been done to determine who the perpetrator was, was done, and I find that the delay made no material 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 thus find that Mr. Russell was assaulted by an unknown assailant, using an unknown weapon. That being the case,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paragraphs 6(c) to (f) must fail, as it has not been shown that sporting equipment, in particular, shuffleboard rocks, were used in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only remaining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as set out in paragraph 6(a) and (b), are in neglecting to provide proper supervision of the inmate population, and in neglecting to provide proper surveillance of the institutional area where the assault occurred. In that regard, the evidence is that, in a medium security institution, the inmates have fairly open access within the perimeters of the institution. There is good reason for that, as part of the attempt to provide an environment in which rehabilitation is most likely to take place. The result of that, however, is that the institution cannot be expected to have full-time supervision of all inmates at all times. As Mr. Brock said several times in his evidence, there is a delicate balance which always goes on, to give as much freedom as possible to inmates, consistent with the safety of the inmates and staff. He noted that if there were a high degree of control, it would not be possible to run the programs. In the context of recreational facilities, he said the prison uses control procedures comparable to those in community recreation facilities. I accept that evidence. It is consistent with one of the guiding principles of the Correctional Service of Canada, as set out in s. 4(d) of the Corrections and Conditional Release Act, to use the least restrictive measures consistent with the protection of the public, staff members and offenders. How that is done is a policy decision, not subject to review by the courts: Just v. British Columbia, </w:t>
      </w:r>
      <w:hyperlink r:id="rId128"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With respect to the specific circumstances at the time of Mr. Russell's assault, it occurred at approximately 10:00 p.m., shortly before lock-down. At that time, the inmates were restricted to the wing of the institution where their cells were located. However, they had access between cells, and between floors on that wing. There were four wings, (referred to as "ranges") in a cross formation. Mr. Russell was in the north range, on the second floor. At the center of the cross formation was a control post, referred to as "the bubble", where a correctional officer remained at all times. He had a view down each range, although the control panels were on the south, east and west sides, so he normally sat facing south. When he turned around, he could see the north range. There was also a mirror on the corner of the bubble which gave limited visibility of the north range without turning around. There were two other correctional officers in an office about 8 or 10 feet from the bubble. In this case, the correctional officer on duty in the bubble, Mohammed Alam, heard a bang noise. He was not watching the north range at the time. He turned around, stood up, and saw an inmate on the floor, with others around. He immediately called the correctional officers in the office, and they were on the scene within what he said was a maximum of 1 to 2 minutes. The correctional authorities were not aware of any threats to Mr. Russell, nor were they aware of any other inmates with whom he was incompatible. There was no reason to pay particular attention to his safety. In those circumstances, I cannot say that there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defendants in failing to protect Mr. Russell. There is no doubt that safety could have been improved by, for example, having a second correctional officer in the bubble, looking down the north range. However, that again is a policy decision, based, presumably, on budgetary considerations, and not one which I can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submissions, counsel for Mr. Russell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defendants with respect to the medical treatment of Mr. Russell. However, that was not alleged in the pleadings, nor was it specifically dealt with at trial. Neither Dr. Gittens nor Dr. Rees, either in their reports or in their evidence at trial, suggested that the medical care provided to Mr. Russell was inadequate, inappropriate, or negligent in any regard. At most, Dr. Rees testified that it was possible that an early and massive injection of cortisone could have reduced swelling around the optic nerve, and preserved vision in the right eye. However, he considered that to be unlikely, given the extent of the damage. There is thus no basis for the submission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medical treatment provided to Mr. Russell caused or contributed to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submissions, the plaintiff also alleges numerous breaches of the policies of the Matsqui Institution, as set out in its standing orders. I accept that there were breaches of the standing orders. However, they have not been shown to have any causative relationship either to the injuries suffered by Mr. Russell, or the damages sustained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Finally, counsel for Mr. Russell submitted that an adverse inference should be drawn against the defendants as a result of the admitted failure of the defendants to provide full disclosure of documents. However, she did not suggest what adverse inference should be drawn. I am not able to determine any adverse inference from the failure to produce the documents listed which would be proof of an act or omission causally related to the injuries sustained by Mr. Russell, or the damages suffered by him. Most of the documents not produced relate to actions taken, or not taken, after the assault. They thus do not relate to any acts or omissions resulting in damage to Mr. Russell.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summary, then, I am not satisfied that Mr. Russell has established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on the balance of probabilities, against the defendants, or any of their agents. The action must thus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the event that I am determined to be wrong in this conclusion, I will briefly deal with the issue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is no doubt Mr. Russell was seriously injured as a result of the assault upon him. The diagnosis upon discharge from Royal Columbian Hospital on June 16th, was: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Moderately severe head injury with right temporal and frontal hemorrhagic contusions;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right optical nerve injury;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Multiple skull fractures including a depressed temporal skull fracture, fracture of the petrous bone, and fractures involving the right orbit.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When Dr. Gittens saw Mr. Russell again on September 24th, 1998, he reported blindness in his right eye, ringing in both ears, earaches, a pressure feeling in the right ear associated with right-sided temporal headaches which occurred approximately 3 times a week and lasted up to an hour, pain in his neck, and numbness and tingling in the hands. Dr. Gittens concluded that Mr. Russell had suffered a moderately severe head injury with right temporal and frontal lobe hemorrhagic contusions. He expected the blindness in the right eye to be permanent. He said: "He has recovered well from this head injury and did not appear to be left with any major deficits other than the possible mild impairment in memory, and chronic intermittent headaches." With respect to the problems with his ears, Dr. Gittens recommended that Mr. Russell be reviewed by an ear, nose and throat surgeon. Although I understand that was done, no report was produced. Dr. Gittens also said that if there was a question with respect to significant cognitive impairment, then a clinical neuropsychological assessment would be appropriate. That has not been done. I am not satisfied that there is any significant memory loss. Mr. Russell appeared to have a good memory at trial, for example, in reviewing the 12 steps of the Alcoholic Anonymous program. However, I do accept his evidence that as a result of his injuries, he is blind in the right eye, apart from an opaque shadow in the upper left quadrant, and has ringing in his ears, occasional pain in his neck, and headaches about once a month. I also accept that he is self-conscious about his injuries, feeling that they affect his appearance, and that that reduces his confidence in social interactions. I accept that he cannot participate in recreational activities which he did previously, or, at least, participate at the same level, such as playing hockey, as a result of lack of depth perception.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his report, Dr. Gittens also noted that the skull fractures and cerebral contusions predisposed Mr. Russell to a slightly greater risk of seizures than the regular population. However, he felt that risk would probably subside. Dr. Rees, in his report dated January 20th, 2000, did not disagree, in substance, with the prognosis provided by Dr. Gittens. He did say that there was a reasonable chance that Mr. Russell's headaches would resolve with time. He also noted that most individuals who develop post-traumatic epilepsy do so in the first year following injury. He agreed with Dr. Gittens that the chances that Mr. Russell would develop epilepsy will continue to diminish with time. In his evidence at trial, Dr. Gittens agreed that if Mr. Russell has not had seizures in the almost four years since the injury, it is unlikely he will have them in the future, unless he sustains another head injury, or uses alcohol to excess. In view of Mr. Russell's history as an alcoholic, that may be of some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doctors were substantially in agreement that the injuries sustained, particularly the blindness in the right eye, would affect Mr. Russell's ability to be employed in occupations requiring sight of both eyes, or depth perception.</w:t>
      </w:r>
      <w:r>
        <w:rPr>
          <w:rFonts w:ascii="arial" w:eastAsia="arial" w:hAnsi="arial" w:cs="arial"/>
          <w:sz w:val="20"/>
          <w:lang w:val="en-US" w:eastAsia="en-US" w:bidi="ar-SA"/>
        </w:rPr>
        <w:cr/>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Based on the facts as set out above, and my review of the cases provided by counsel, (particularly Grund v. Norberg; Norberg v. McGhie, </w:t>
      </w:r>
      <w:hyperlink r:id="rId155" w:history="1">
        <w:r>
          <w:rPr>
            <w:rFonts w:ascii="arial" w:eastAsia="arial" w:hAnsi="arial" w:cs="arial"/>
            <w:i/>
            <w:color w:val="0077CC"/>
            <w:sz w:val="20"/>
            <w:u w:val="single"/>
            <w:shd w:val="clear" w:color="auto" w:fill="FFFFFF"/>
            <w:lang w:val="en-US" w:eastAsia="en-US" w:bidi="ar-SA"/>
          </w:rPr>
          <w:t>[1995] B.C.J. No. 370</w:t>
        </w:r>
      </w:hyperlink>
      <w:r>
        <w:rPr>
          <w:rFonts w:ascii="arial" w:eastAsia="arial" w:hAnsi="arial" w:cs="arial"/>
          <w:color w:val="000000"/>
          <w:sz w:val="20"/>
          <w:lang w:val="en-US" w:eastAsia="en-US" w:bidi="ar-SA"/>
        </w:rPr>
        <w:t xml:space="preserve">, New Westminster Registry No. S0-1150, February 16, 1995; and Pon v. Cannell Films Ltd., </w:t>
      </w:r>
      <w:hyperlink r:id="rId156" w:history="1">
        <w:r>
          <w:rPr>
            <w:rFonts w:ascii="arial" w:eastAsia="arial" w:hAnsi="arial" w:cs="arial"/>
            <w:i/>
            <w:color w:val="0077CC"/>
            <w:sz w:val="20"/>
            <w:u w:val="single"/>
            <w:shd w:val="clear" w:color="auto" w:fill="FFFFFF"/>
            <w:lang w:val="en-US" w:eastAsia="en-US" w:bidi="ar-SA"/>
          </w:rPr>
          <w:t>[1992] B.C.J. No. 797</w:t>
        </w:r>
      </w:hyperlink>
      <w:r>
        <w:rPr>
          <w:rFonts w:ascii="arial" w:eastAsia="arial" w:hAnsi="arial" w:cs="arial"/>
          <w:color w:val="000000"/>
          <w:sz w:val="20"/>
          <w:lang w:val="en-US" w:eastAsia="en-US" w:bidi="ar-SA"/>
        </w:rPr>
        <w:t>, Vancouver Registry No. C901513, April 15, 1992) I assess non-pecuniary damages in the amount $75,000.</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income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submissions, counsel for the plaintiff has not made a claim for loss of income to trial, approaching the claim on the basis of loss of earning capacity.</w:t>
      </w:r>
      <w:r>
        <w:rPr>
          <w:rFonts w:ascii="arial" w:eastAsia="arial" w:hAnsi="arial" w:cs="arial"/>
          <w:sz w:val="20"/>
          <w:lang w:val="en-US" w:eastAsia="en-US" w:bidi="ar-SA"/>
        </w:rPr>
        <w:cr/>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Russell has a very spotty work history, interrupted by periods of imprisonment. However, he is now employed on a part-time basis by Na Pali Installations, as a wireless technician. He enjoys that work, and hopes to make a career out of it. He plans to take further education in the area, after getting further experience in it. However, his previous plans for upgrading his education have been set aside as a result of his ongoing problems in dealing with alcoholism. I accept that Mr. Russell is likely to continue with his employment in the wireless industry, and that there are good prospects for increased employment in that industry. I also accept that he will be restricted in that industry as a result of his eyesight deficits. There was evidence that Mr. Russell would not be sent on jobs alone which might otherwise be done by one worker, such as those on high towers. That will restrict the availability of work for him. In addition, there is no doubt Mr. Russell will be restricted in the type of jobs he can do. Dr. Rees noted that he would not be able to perform jobs involving eye/hand coordination, and would not be able to obtain a professional driver's license. I do not have a report from a vocational consultant, but it is clear, even without that, that there are many jobs which Mr. Russell formerly could do that he can do no longer.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Pallos v. Insurance Corporation of British Columbia </w:t>
      </w:r>
      <w:hyperlink r:id="rId157"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Finch J.A., at page 269, noted two ways of attempting to assess a claim for future loss of income: the approach taken in Brown v. Golaiy, </w:t>
      </w:r>
      <w:hyperlink r:id="rId68"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xml:space="preserve">, Vancouver Registry No. B831458, December 13th, 1985, and adopted by the British Columbia Court of Appeal in Kwei v. Boisclair </w:t>
      </w:r>
      <w:hyperlink r:id="rId158"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of treating a person's capacity to earn income as a capital asset, the value of which may be lost or impaired by injury; and the approach taken in Steenblok v. Funk </w:t>
      </w:r>
      <w:hyperlink r:id="rId159"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(C.A.), of determining if there is a real or substantial possibility of some future event leading to a loss of income. Taking either approach, I am satisfied that the claim for loss of earning capacity has been established. The quantum of it is difficult to assess, however, in light of Mr. Russell's sporadic employment history, his problems with alcohol and cocaine abuse, and the limited time he has spent in the wireless industry. I assess damages under this head in the amount of $50,000.</w:t>
      </w:r>
      <w:r>
        <w:rPr>
          <w:rFonts w:ascii="arial" w:eastAsia="arial" w:hAnsi="arial" w:cs="arial"/>
          <w:sz w:val="20"/>
          <w:lang w:val="en-US" w:eastAsia="en-US" w:bidi="ar-SA"/>
        </w:rPr>
        <w:cr/>
      </w:r>
    </w:p>
    <w:p>
      <w:pPr>
        <w:numPr>
          <w:numId w:val="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No claim for special damages has been put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summary, I find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defendants has not been proved, and the action must be dismissed. In the event that I am wrong, I would assess non-pecuniary damages in the amount of $75,000, and loss of earning capacity in the amount of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view of the dismissal of the action, the defendants will be entitled to costs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 WILSON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4"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Stoneman v. Denman Island Local Trust Committee, [2015] B.C.J. No. 311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L.B. Gerow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14-16,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23,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S115162, 57654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 and Nanaimo</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311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264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CarswellBC 431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52 A.C.W.S. (3d) 134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34 M.P.L.R. (5th) 292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Daniel John Stoneman and Debra Monica Stoneman, Plaintiffs, and Denman Island Local Trust Committee, Tony Law, Louise Bell, David Marlor, The Islands Trust, and The Islands Trust Council, Defendants And between Francis Dean Ellis, Plaintiff, and Denman Island Local Trust Committee, Tony Law, Louise Bell, David Marlor, The Islands Trust Council,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5"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 w:name="Keywords_3"/>
      <w:bookmarkEnd w:id="28"/>
      <w:r>
        <w:rPr>
          <w:rFonts w:ascii="arial" w:eastAsia="arial" w:hAnsi="arial" w:cs="arial"/>
          <w:b/>
          <w:color w:val="000000"/>
          <w:sz w:val="20"/>
          <w:lang w:val="en-US" w:eastAsia="en-US" w:bidi="ar-SA"/>
        </w:rPr>
        <w:t xml:space="preserve">Civil litigation — Civil procedure — Pleadings — Amendment of — Leave to amend — Striking out pleadings or allegations — Grounds — Failure to disclose a cause of action or defence — False, frivolous, vexatious or abuse of process — Res judicata — Application by defendants in two actions to strike plaintiffs' amended notices of civil claim allowed in part — Plaintiffs owned properties on which defendants refused to issue development permits — Defendants had commenced proceedings against plaintiffs to obtain orders they violated by-law and Local Government Act in carrying out work, and plaintiffs' arguments and petition alleging by-law invalidity were dismissed — Portions of claim alleging by-law invalidity thus struck — However, plaintiffs' claims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nuisance and misfeasance in public office were not dealt with in earlier proceedings and not bound to fail, so plaintiffs given another opportunity to amend.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Municipal law — Liabilities of municipality — Bylaws — Ultra vires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Types — Bylaw enforcement — Flooding — Nuisance — Types — Flooding — Statutory authority and defences — Application by defendants in two actions to strike plaintiffs' amended notices of civil claim allowed in part — Plaintiffs owned properties on which defendants refused to issue development permits — Defendants had commenced proceedings against plaintiffs to obtain orders they violated by-law and Local Government Act in carrying out work, and plaintiffs' arguments and petition alleging by-law invalidity were dismissed — Portions of claim alleging by-law invalidity thus struck — However, plaintiffs' claims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nuisance and misfeasance in public office were not dealt with in earlier proceedings and not bound to fail, so plaintiffs given another opportunity to amend.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Municipal law — Planning and development — Development permits — Right to obtain — Application by defendants in two actions to strike plaintiffs' amended notices of civil claim allowed in part — Plaintiffs owned properties on which defendants refused to issue development permits — Defendants had commenced proceedings against plaintiffs to obtain orders they violated by-law and Local Government Act in carrying out work, and plaintiffs' arguments and petition alleging by-law invalidity were dismissed — Portions of claim alleging by-law invalidity thus struck — However, plaintiffs' claims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nuisance and misfeasance in public office were not dealt with in earlier proceedings and not bound to fail, so plaintiffs given another opportunity to amend.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 w:name="Case Summary_3"/>
            <w:bookmarkEnd w:id="2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in two separate actions to strike the plaintiffs' amended notices of civil claims. The actions arose from a dispute with respect to development on the plaintiffs' lands. The plaintiffs' owned properties that abutted the coastline and a bluff. At the time the plaintiff Ellis purchased the land, there was a development permit registered against it that permitted harvesting of trees, clearing land and operating a Christmas tree farm, subject to conditions, including not carrying out activities within 50 metres of the bluff. Ellis subdivided the land and sold a portion to the Stoneman plaintiffs. The plaintiffs had both applied for development permits permitting them to carry out work within 50 metres of the bluff, but the defendants had refused. The by-law designated the bluff a development permit area to protect unstable areas and ground water, as it was thought to be an area of landslip. The defendant commenced an action against Ellis, in which the Stonemans were also named, alleging he breached the by-law and development permit. Ellis argued the by-law was invalid, and filed a counterclaim regarding a ditch he was told to fill in that he alleged was outside the permit area, and the Stonemans filed a counterclaim alleging the defendant was negligent with respect to drainage. The court found Ellis removed trees and stumps from the buffer zone in violation of the by-law. The court found the by-law was valid, regulated but did not prohibit activities, and did not conflict with other legislation. The court found the purpose of the by-law was to protect development from potentially hazardous conditions, not to protect the land itself, and Ellis had contravened the Local Government Act in not complying. Ellis's appeal was dismissed. The defendant later commenced a petition against the Stonemans, seeking a declaration they had violated the Local Government Act by altering their land without a permit. The Stonemans responded the by-law was invalid, and issued their own petition alleging the same. The petitions were heard together, and the court issued the declaration sought by the defendant and a rehabilitation order, and dismissed the Stonemans' arguments on by-law validity as res judicata and their new arguments as without merit. The plaintiffs had now commenced two separate actions alleging the defendants wrongfully withheld the development permits, were unfair, negligent and created a nuisance. The defendants argued the claims were res judicata, did not disclose a reasonable cause of action, were false, frivolous, vexatious and an abuse of process.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 w:name="Holdings of Court_3"/>
            <w:bookmarkEnd w:id="30"/>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conceded that portions of their claims asserting by-law invalidity had already been dealt with in earlier litigation and thus had to be struck. The plaintiffs' other claims in these actions related to ditching, draining and flooding that had not been dealt with. The summary trial in the Ellis litigation did not deal with either counterclaim so, even if these claims could have been raised before, they were not argued or adjudicated on. The counterclaims remained extant but, given the passage of time, it was appropriate to stay the counterclaims in the Ellis litigation and allow these claims to proceed. As ruled in the defendants' earlier unsuccessful application to strike, the tort claims were fundamentally different than what was argued in the Stoneman petition for judicial review. The plaintiffs conceded their pleadings were deficient. However, it was conceivable they could made claims in tort for damages for misfeasance in public office, bad faith,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nuisance. The plaintiffs had provided some evidence in support of their allegations, and it was not plain and obvious their claims would fail. The plaintiffs were given another opportunity to amend their pleadings and properly plead the causes of action and relief sought against in defendant, in compliance with the Rules.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 w:name="Legislation Cited_3"/>
      <w:bookmarkEnd w:id="3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6"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Agricultural Land Commission Act, </w:t>
      </w:r>
      <w:r>
        <w:rPr>
          <w:rFonts w:ascii="arial" w:eastAsia="arial" w:hAnsi="arial" w:cs="arial"/>
          <w:i/>
          <w:color w:val="000000"/>
          <w:sz w:val="20"/>
          <w:lang w:val="en-US" w:eastAsia="en-US" w:bidi="ar-SA"/>
        </w:rPr>
        <w:t>SBC 2002, CHAPTER 36</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Agricultural Land Reserve Use, Subdivision and Protection Regulation,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BC Assessment Regulation 411/95,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Islands Trust Act, </w:t>
      </w:r>
      <w:hyperlink r:id="rId168" w:history="1">
        <w:r>
          <w:rPr>
            <w:rFonts w:ascii="arial" w:eastAsia="arial" w:hAnsi="arial" w:cs="arial"/>
            <w:i/>
            <w:color w:val="0077CC"/>
            <w:sz w:val="20"/>
            <w:u w:val="single"/>
            <w:shd w:val="clear" w:color="auto" w:fill="FFFFFF"/>
            <w:lang w:val="en-US" w:eastAsia="en-US" w:bidi="ar-SA"/>
          </w:rPr>
          <w:t>RSBC 1996, CHAPTER 239, s. 28</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Local Government Act, RSBC 1996, CHAPTER 323, s. 281, s. 287(2), s. 903(5), s. 919.1(1)(b), s. 920(1)(d)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3-1, Rule 9-5(1), Rule 9-6(4), Rule 9-6(5), Rule 18A, Rule 19(24)(a), Rule 19(24)(b), Rule 19(24)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Workers Compensation Act, </w:t>
      </w:r>
      <w:r>
        <w:rPr>
          <w:rFonts w:ascii="arial" w:eastAsia="arial" w:hAnsi="arial" w:cs="arial"/>
          <w:i/>
          <w:color w:val="000000"/>
          <w:sz w:val="20"/>
          <w:lang w:val="en-US" w:eastAsia="en-US" w:bidi="ar-SA"/>
        </w:rPr>
        <w:t>RSBC 1996, CHAPTER 492</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2" w:name="Counsel_3"/>
      <w:bookmarkEnd w:id="3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7" style="position:absolute;z-index:2517647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their own behalf: D.J. Stoneman, F.D. Ellis.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J.K. Lamb, S.T. Frost, L. McGivern, A/S.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3" w:name="Judgment_3"/>
      <w:bookmarkEnd w:id="33"/>
      <w:r>
        <w:pict>
          <v:line id="_x0000_s1048" style="position:absolute;z-index:2518159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4" w:name="L.B. GEROW J."/>
            <w:bookmarkEnd w:id="34"/>
            <w:r>
              <w:rPr>
                <w:rFonts w:ascii="arial" w:eastAsia="arial" w:hAnsi="arial" w:cs="arial"/>
                <w:b/>
                <w:color w:val="000000"/>
                <w:sz w:val="30"/>
                <w:lang w:val="en-US" w:eastAsia="en-US" w:bidi="ar-SA"/>
              </w:rPr>
              <w:t>L.B. GEROW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the Denman Island Local Trust Committee (the "Trust Committee"), Tony Law, Louise Bell, David Marlor, the Islands Trust, and the Islands Trust Council apply in two separate actions to strike the plaintiffs' amended notices of civil claim. The two actions arise out of a conflict between the plaintiffs and the defendants regarding the refusal of the defendants to provide the plaintiffs with development permit for lands located on Denman Island.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both applications the defendants take the position the plaintiffs' claim should be dismissed on the grounds it is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discloses no reasonable claim, is unnecessary, frivolous, vexatious, and is an abuse of process of the court. The defendants say the facts and issues pleaded in the notices of civil claim filed by the plaintiffs in the two actions have been before the B.C. Supreme Court and Court of Appeal on numerous occasions. The two applications were heard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June 19, 2012, a consent order was made that the two actions be tried together. The order provided that the trial was to be in Nanaimo, but that pre-trial matters would be heard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in both actions oppose the applications. The plaintiffs sought orders that the matters not be tried together, and that all the pre-trial matters be heard in Nanaimo. However, they did not file any applications seeking those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At the hearing, the plaintiffs conceded their pleadings are deficient but say they should be given the opportunity to further amend their notices of civil claim to properly plead causes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tort of public misfeasance, and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issue is whether the plaintiffs' claims should be dismissed on the basis that the claims raised have already been adjudicated upon or should be pursued by way of judicial review, or whether the plaintiffs should be permitted to amend their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Francis Dean Ellis purchased 80 acres of land on Swan Road, Denman Island in February 2002. The property abuts the coastline and is on a bluff known as the Komas Bluff. The land is in the Agricultural Land Reserve. In June 2002, Mr. Ellis subdivided the property and in 2004, he sold approximately 22.8 acres to the plaintiffs, Daniel and Debra Stoneman.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When Mr. Ellis purchased the property there was a development permit registered on title. The development permit had been obtained by an earlier owner, A.W. Leakey Logging Ltd. The permit provides:</w:t>
      </w:r>
      <w:r>
        <w:rPr>
          <w:rFonts w:ascii="arial" w:eastAsia="arial" w:hAnsi="arial" w:cs="arial"/>
          <w:sz w:val="20"/>
          <w:lang w:val="en-US" w:eastAsia="en-US" w:bidi="ar-SA"/>
        </w:rPr>
        <w:cr/>
      </w:r>
    </w:p>
    <w:p>
      <w:pPr>
        <w:numPr>
          <w:numId w:val="1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Development Permit is to allow for the harvesting of trees and/or clearing of land, and the farming of Christmas trees on the subject property, subject to the following conditions: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 harvesting of trees and/or clearing or alteration of land is permitted within 50 metres of the top edge of the bluff situated on the eastern side of the subject property.</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Harvesting of trees and/or clearing or alteration of land lying 50 metres or more from the top edge of the bluff described in item 1., above, is permitted only if the 50-metre setback line mentioned above has first been located and clearly identified on site by the applicant, to the satisfaction of the Denman Island Local Trust Committee.</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Christmas trees are to be planted in accordance with B.C. Regulation 411/95 of the B.C. Assessment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Since the time Mr. Ellis purchased the land, he has applied for development permits to allow him to carry out activities within 50 metres of the Komas Bluff on his property. The Stonemans have also applied for development permits to allow them to carry on work on their property within 50 metres of the portion of Komas Bluff located on their property. All of the applications for development permits to carry out work on their lands within 50 metres of Komas Bluff have been rejected by the city staff or the Trust Committee.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Mr. Ellis and the Stonemans have commenced two separate actions alleging the defendants are liable for misfeasance of public office,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out of the defendants' failure to provide the plaintiffs with development permits to clear and farm their properties within 50 metres of the Komas Bluff.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in both actions allege the defendants have wrongfully withheld the approval of the development permits for improper purposes, were not even-handed in dealing with permit applications, and were negligent. As well, Mr. Ellis argued at the hearing that the defendants committed nuisance by permitting road building and clearing adjacent to his property which has resulted in excessive water draining on to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After Mr. Ellis purchased the property, the Trust Committee commenced an action against him alleging that he had removed trees and otherwise altered areas of two lots in breach of a bylaw and in contravention of the development permit. Relying on s. 28 of the </w:t>
      </w:r>
      <w:r>
        <w:rPr>
          <w:rFonts w:ascii="arial" w:eastAsia="arial" w:hAnsi="arial" w:cs="arial"/>
          <w:i/>
          <w:color w:val="000000"/>
          <w:sz w:val="20"/>
          <w:lang w:val="en-US" w:eastAsia="en-US" w:bidi="ar-SA"/>
        </w:rPr>
        <w:t>Islands Trust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239</w:t>
      </w:r>
      <w:r>
        <w:rPr>
          <w:rFonts w:ascii="arial" w:eastAsia="arial" w:hAnsi="arial" w:cs="arial"/>
          <w:color w:val="000000"/>
          <w:sz w:val="20"/>
          <w:lang w:val="en-US" w:eastAsia="en-US" w:bidi="ar-SA"/>
        </w:rPr>
        <w:t xml:space="preserve">, and s. 281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the Trust Committee sought declarations that Mr. Ellis violated the bylaw, contravened the development permit, an injunction to prevent further violations, and an order compelling Mr. Ellis to take measures to remediate the damage caused.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Under the </w:t>
      </w:r>
      <w:r>
        <w:rPr>
          <w:rFonts w:ascii="arial" w:eastAsia="arial" w:hAnsi="arial" w:cs="arial"/>
          <w:i/>
          <w:color w:val="000000"/>
          <w:sz w:val="20"/>
          <w:lang w:val="en-US" w:eastAsia="en-US" w:bidi="ar-SA"/>
        </w:rPr>
        <w:t>Islands Trust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239</w:t>
      </w:r>
      <w:r>
        <w:rPr>
          <w:rFonts w:ascii="arial" w:eastAsia="arial" w:hAnsi="arial" w:cs="arial"/>
          <w:color w:val="000000"/>
          <w:sz w:val="20"/>
          <w:lang w:val="en-US" w:eastAsia="en-US" w:bidi="ar-SA"/>
        </w:rPr>
        <w:t xml:space="preserve">, a regime of land use regulation is created which delegates power to local trust committees, including the ability to adopt an Official Community Plan by bylaw. In May 1999, the Trust Committee amended the Official Community Plan Bylaw ("Bylaw No. 60") to designate Komas Bluff as a development permit area pursuant to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The bylaw in issue was Bylaw No. 111 which enacted the Komas Bluff development permit area amendment to Bylaw 60. The Trust Committee stated the objectives of the designation of Komas Bluff as a development permit area were:</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protect unstable areas of terrain from increased risk of slope failure and/or erosion due to cutting or removal of trees or other development.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protect ground water and surface water from degradation due to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Komas Bluff is thought to be an area of landslip. The Ellis and Stoneman lots were on the south end of the Komas Bluff development permit area. They have over 800 metres of coastline which are within the development permit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matter went to a summary trial pursuant to Rule 18A in 2005: </w:t>
      </w:r>
      <w:r>
        <w:rPr>
          <w:rFonts w:ascii="arial" w:eastAsia="arial" w:hAnsi="arial" w:cs="arial"/>
          <w:i/>
          <w:color w:val="000000"/>
          <w:sz w:val="20"/>
          <w:lang w:val="en-US" w:eastAsia="en-US" w:bidi="ar-SA"/>
        </w:rPr>
        <w:t>Denman Island Local Trust Committee v. Ellis</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2005 BCSC 1238</w:t>
        </w:r>
      </w:hyperlink>
      <w:r>
        <w:rPr>
          <w:rFonts w:ascii="arial" w:eastAsia="arial" w:hAnsi="arial" w:cs="arial"/>
          <w:color w:val="000000"/>
          <w:sz w:val="20"/>
          <w:lang w:val="en-US" w:eastAsia="en-US" w:bidi="ar-SA"/>
        </w:rPr>
        <w:t xml:space="preserve"> (the "Ellis litigation"). Mr. Ellis opposed the action, arguing that he had not violated the bylaw, that the bylaw was invalid and inapplicable, and, in the alternative, that the court had no jurisdiction to require he undertake remedial measures. As well, he filed a counterclaim regarding a ditch he had been ordered to stop excavating which he alleged was outside the Komas Bluff development permit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the time the Stonemans purchased their lot from Mr. Ellis, the Ellis litigation had been commenced and there was a Certificate of Pending Litigation filed against the lands. After they purchased the property, the Stonemans were added to the action on application of the Trust Committee. The Trust Committee amended its statement of claim, seeking a permanent injunction preventing the Stonemans from developing or altering the land except in strict compliance with the development permits issued for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Stonemans were self-represented and did not apply to set aside the order joining as a party to the Ellis litigation. On January 20, 2005, just prior to the summary judgment hearing the Stonemans filed a counterclaim, alleging that the Trust Committee was negligent in the manner in which it applied Bylaw No. 111 because drainage was directed towards the Komas Bluff which resulted in a slide on the Stonemans' property. As well, they alleged the Trust Committee had been unreasonable and irresponsible in denying the Stonemans the use of a portion of their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Stoneman represented himself at the hearing. In the reasons, the court noted that no remedy was sought against the Stonemans at the hearing other than an order that they allow Mr. Ellis to enter and remediate their lot in the event an order was granted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the summary trial in 2005, the Trust Committee argued that Mr. Ellis had contravened both the bylaw and development permit which required the maintenance of a 50 metre buffer zone from the top edge of Komas Bluff. The court stated the main issue was the validity of Bylaw No. 111, and that the provisions in the development permit limiting alteration of the land was dependent on a finding that the bylaw was valid. The court concluded that the restrictions set out in the development permit did not advance the Trust Committee's case, and that the real issue was the validity and enforceability of the portions of Bylaw No. 60 establishing the Komas Bluff development permit area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court found as a fact that Mr. Ellis had removed trees and stumps from the buffer zone and accepted the estimate that about 75% of the forest cover of the buffer zone had been removed between 2002 and 2004. The court stated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I am satisfied that the only reasonable conclusion that can be drawn from the facts is that there has been a deliberate and systematic effort on the part of Mr. Ellis to clear the buffer zone of tree cover. He has knowingly ignored the requirement to obtain a Development Permit before clearing the land, and, to the extent that it is valid and enforceable, contravened Bylaw No. 60 and (in the result) section 920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Even if I accepted his own evidence as accurate (which I do not), it is clear that he has removed tree cover from the buffer zone without a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court went on to consider the validity of the bylaw. Mr. Ellis' primary argument was that the bylaw establishing the Komas Bluff development permit area was void because it failed to adequately define the boundaries of the area. That argument was not accepted by the court. Mr. Ellis also argued that the Trust Committee had effectively prohibited farm use on the land even though it was designated farmlands within the Agricultural Land Reserve.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After noting that as long as the permit process itself does not for practical purposes prohibit the obtaining of development permits, a bylaw should be interpreted as being regulatory rather than prohibitive, the Court stated at para. 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I am not persuaded that the bylaw should be interpreted as prohibiting farming activities. Rather, it regulates such activities, requiring a permit to be obtained before they can be undertaken. Land owners are required to take appropriate steps to ensure that farming activities do not result in instability of the land or in degradation of groundwater. In some situations, the circumstances of the land will mean that a permit cannot, in practice, be obtained. The dominant feature of the development permit scheme, however, is regulation and not prohibition. I am satisfied that the scheme does not conflict with the </w:t>
      </w:r>
      <w:r>
        <w:rPr>
          <w:rFonts w:ascii="arial" w:eastAsia="arial" w:hAnsi="arial" w:cs="arial"/>
          <w:i/>
          <w:color w:val="000000"/>
          <w:sz w:val="20"/>
          <w:lang w:val="en-US" w:eastAsia="en-US" w:bidi="ar-SA"/>
        </w:rPr>
        <w:t>Agricultural Land Commission Act</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Agricultural Land Reserve Use, Subdivision And Procedure Regulation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court also rejected Mr. Ellis' argument that the bylaw was unenforceable because it conflicts with the provisions under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 which requires the removal of dangerous trees where workers are exposed to them in forestry operations, noting that if dangerous trees existed a development permit could be obtained to remove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court found Mr. Ellis had violated the provisions of Bylaw No. 60 establishing the Komas Bluff development permit area, and that the bylaw was valid and enforceable. The court found the purpose of the bylaw was not to protect the designated land itself, but rather the specified purpose of the bylaw was "to protect development from potentially hazardous conditions" pursuant to s. 919.1(1)(b)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court found that as a result of not complying with the bylaw, Mr. Ellis had contravened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The court granted a declaration that Mr. Ellis unlawfully contravened s. 920(1)(d)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by altering the land within the Komas Bluff development permit area. The court also granted a permanent injunction against Mr. Ellis, restraining him from doing anything within 50 metres of the top edge of Komas Bluff without first obtaining a development permit authorizing the activity, and a mandatory injunction against him requiring him to undertake rehabilitative measures on the land. An ancillary order was granted requiring the Stonemans to allow him to undertake that work on their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Mr. Ellis appealed the decision arguing that the trial judge erred in finding the bylaw valid. In </w:t>
      </w:r>
      <w:r>
        <w:rPr>
          <w:rFonts w:ascii="arial" w:eastAsia="arial" w:hAnsi="arial" w:cs="arial"/>
          <w:i/>
          <w:color w:val="000000"/>
          <w:sz w:val="20"/>
          <w:lang w:val="en-US" w:eastAsia="en-US" w:bidi="ar-SA"/>
        </w:rPr>
        <w:t>Denman Island Local Trust Committee v. Ellis</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2007 BCCA 536</w:t>
        </w:r>
      </w:hyperlink>
      <w:r>
        <w:rPr>
          <w:rFonts w:ascii="arial" w:eastAsia="arial" w:hAnsi="arial" w:cs="arial"/>
          <w:color w:val="000000"/>
          <w:sz w:val="20"/>
          <w:lang w:val="en-US" w:eastAsia="en-US" w:bidi="ar-SA"/>
        </w:rPr>
        <w:t>, the Court of Appeal found the trial judge did not error in concluding the bylaw was valid, and dismissed the appeal. The Stonemans did not participate in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appeal, Mr. Ellis argued that the bylaw was invalid because it was not passed for the stated purpose of the protection of development from hazardous conditions, but for the improper purpose of protecting the natural environment in and around Komas Bluff. The Court of Appeal rejected the argument, finding at para. 43-45: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The purpose of ss. 919.1 and 920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to empower local authorities to designate development permit areas to further particular objectives, including the protection of development from hazardous conditions. The inclusion of subdivision and alteration of land as activities that require permits indicates that one purpose of the power to designate permit areas is to protect development potential, and that a local authority may consider how any alteration of land may affect development potential. Thus, the term "development" in s. 919.1(1)(b) should be interpreted as including future development.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Given this interpretation, the restrictions on tree removal in Bylaw No. 111 clearly serve the purpose of "protection of development from hazardous conditions". The requirement that a permit be obtained before trees are removed protects future development from hazards associated with landslip and erosion. The purpose of the restriction is not to protect the bluff itself, as the appellant claims, but to protect future development on or near the bluff.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Thus, the bylaw is 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July 2012, the Trust Committee filed a petition seeking a declaration that the Stonemans had altered land which they owned without a development permit contrary to s. 920(1)(b) and (d) and 928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In response, the Stonemans alleged the bylaw the Trust Committee sought to enforce was invalid.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Stonemans also filed a petition alleging the bylaw was invalid, and in the alternative, that the Komas Bluff development permit boundaries were invalid, that no permit was necessary on their property, or in the further alternative, an order they be issued a permit validating the property development they had done. The two petitions were heard together</w:t>
      </w:r>
      <w:r>
        <w:rPr>
          <w:rFonts w:ascii="arial" w:eastAsia="arial" w:hAnsi="arial" w:cs="arial"/>
          <w:i/>
          <w:color w:val="000000"/>
          <w:sz w:val="20"/>
          <w:lang w:val="en-US" w:eastAsia="en-US" w:bidi="ar-SA"/>
        </w:rPr>
        <w:t>: Stoneman v. Denman Island Local Trust</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2013 BCSC 218</w:t>
        </w:r>
      </w:hyperlink>
      <w:r>
        <w:rPr>
          <w:rFonts w:ascii="arial" w:eastAsia="arial" w:hAnsi="arial" w:cs="arial"/>
          <w:color w:val="000000"/>
          <w:sz w:val="20"/>
          <w:lang w:val="en-US" w:eastAsia="en-US" w:bidi="ar-SA"/>
        </w:rPr>
        <w:t xml:space="preserve"> (the "Stoneman litigation"). Mr. Ellis was not involved in the Stoneman litigation and was not represented at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Stonemans undertook construction on their property without a development permit commencing in October 2006. The Stonemans had applied for a development permit but the Trust Committee required additional specified information. An additional geotechnical report was provided by the Stonemans, but the Trust Committee would not issue a development permit without additional specified information. No development permit was granted, but the Stonemans constructed a house and outbuildings. As well, the Stonemans began construction of stairs down the face of Komas Bluff leading from their house to the beach. The Stonemans asserted the house and outbuildings they constructed were outside the 50 metre area identified as the Komas Bluff development permit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position of the Trust Committee was that the validity of Bylaw No. 111 establishing the Komas Bluff development permit area and its boundaries had already been decided in the Ellis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court reviewed the history of the property, the bylaw, and the Ellis litigation, and stated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255"/>
        <w:gridCol w:w="752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w:t>
            </w:r>
          </w:p>
        </w:tc>
        <w:tc>
          <w:tcPr>
            <w:tcW w:w="737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para. 65 of his Reasons, Groberman J. states: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not prepared to extend the injunction to persons other than Mr. Ellis. The evidence does not indicate that any other person has persistently violated the Komas Bluff DPA provisions, nor is there any reason to suspect that such violations will occur in the absence of an injunction.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person who read Justice Groberman's decision could not fail to understand that his decision was that the Komas Bluff Bylaw was valid and that no person should be in violation of its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court went on to state at paras. 30, 35 and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The Stonemans bought the property intending to build a home on it and live there. When they appeared before Groberman J. they were well aware of this. They argued that Bylaw 111 was invalid and did not apply to their property and they lost that argument. They are now attempting to re-argue the issues having chosen to build without a permit in spite of a court order they ought to have understood very clearly indicated that they were not free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claims that Bylaw 111 is invalid, that the bylaws boundaries are invalid, and that no permit is needed for development are all matters that have been heard and decided. I find them to be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and that they cannot now be argued further by the Stonemans.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The petitioner claims in the alternative, an order of </w:t>
      </w:r>
      <w:r>
        <w:rPr>
          <w:rFonts w:ascii="arial" w:eastAsia="arial" w:hAnsi="arial" w:cs="arial"/>
          <w:i/>
          <w:color w:val="000000"/>
          <w:sz w:val="20"/>
          <w:lang w:val="en-US" w:eastAsia="en-US" w:bidi="ar-SA"/>
        </w:rPr>
        <w:t>mandamus</w:t>
      </w:r>
      <w:r>
        <w:rPr>
          <w:rFonts w:ascii="arial" w:eastAsia="arial" w:hAnsi="arial" w:cs="arial"/>
          <w:color w:val="000000"/>
          <w:sz w:val="20"/>
          <w:lang w:val="en-US" w:eastAsia="en-US" w:bidi="ar-SA"/>
        </w:rPr>
        <w:t xml:space="preserve"> compelling the Denman Island Local Trust Committee to issue a development permit validating the present development on the property without further requirements. In support of their position it is argued that in dealing with the permit, the Trust Committee based its decisions on improper considerations. Having reviewed the evidence, I find no merit in that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court dismissed the Stonemans' petition for judicial review, and made a declaration that the Stonemans had altered the land through clearing and excavation without a development permit contrary to s. 920(1)(b) and (d)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The Stonemans were ordered to undertake rehabilitation measures; however, the court did not specify the remediation and rehabilitation to be undertaken. Rather, the court left that issue to be determined by agreement between the parties or further order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Stonemans appealed the decision: </w:t>
      </w:r>
      <w:r>
        <w:rPr>
          <w:rFonts w:ascii="arial" w:eastAsia="arial" w:hAnsi="arial" w:cs="arial"/>
          <w:i/>
          <w:color w:val="000000"/>
          <w:sz w:val="20"/>
          <w:lang w:val="en-US" w:eastAsia="en-US" w:bidi="ar-SA"/>
        </w:rPr>
        <w:t>Stoneman v. Denman Island Local Trust Committee</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2013 BCCA 517</w:t>
        </w:r>
      </w:hyperlink>
      <w:r>
        <w:rPr>
          <w:rFonts w:ascii="arial" w:eastAsia="arial" w:hAnsi="arial" w:cs="arial"/>
          <w:color w:val="000000"/>
          <w:sz w:val="20"/>
          <w:lang w:val="en-US" w:eastAsia="en-US" w:bidi="ar-SA"/>
        </w:rPr>
        <w:t>. The Court of Appeal reviewed the history of the property, the litigation of Bylaw No. 111, and the litigation involving the property owned by the Stonemans.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court noted at para. 34, the Stonemans were attempting to reargue the issue of the validity of the bylaw that had been argued in the Ellis litigation. The court noted that in the Ellis litigation the Stonemans were an active party, and attacked the validity of Bylaw 111 on numerous grounds. The Stonemans had advanced a number of arguments in the Ellis litigation, including the argument that the Trust Committee had an improper purpose in passing the bylaw. As well, the Stonemans had argued that although the Trust Committee purported to exercise its authority to protect development from hazardous conditions, in reality it was endeavouring to "establish, preserve or remediate forest 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Other arguments advanced in the Ellis litigation included an argument the bylaw was unreasonable, and that the Trust Committee had discriminated against Mr. Ellis and the Stonemans by requiring they obtain geotechnical reports when in the past development permits had been issued without the requirement for geotechnical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court noted the Stonemans advanced some arguments that did not arise in the Ellis litigation, namely:</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breadth of the development permit area beyond the 50 metre buffer back from the crest of the Komas Bluff was a "mistake";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failed to comply with s. 903(5)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failed to conduct a "hazard mapping" allegedly promised to the Agricultural Land Commission in exchange for its approval of Bylaw 185,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Court of Appeal found the issue of mistake was within the knowledge of the Stonemans at the time of the Ellis litigation and could have been raised by them in that litigation. However, the argument was bound to fail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Court of Appeal concluded that cause of action estoppel applied regarding all of the Stonemans' arguments attacking the validity of Bylaw No. 111, and their new arguments failed on their merits. The court stated that issue estoppel would also apply to the Stonemans' arguments attacking the validity of Bylaw No. 111. The court noted the Stonemans had been parties in the Ellis litigation, and that the application of the doctrine of issue estoppel is discretionary, stating at para. 96: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[96] Justice Curtis applied the doctrine. I see no error in his exercise of discretion. Nothing in the equities here would prompt me to exercise the discretion not to apply issue estoppel or cause of action estoppel. And in this I am largely moved by the fact that the attack on Bylaw 111 in </w:t>
      </w:r>
      <w:r>
        <w:rPr>
          <w:rFonts w:ascii="arial" w:eastAsia="arial" w:hAnsi="arial" w:cs="arial"/>
          <w:i/>
          <w:color w:val="000000"/>
          <w:sz w:val="20"/>
          <w:lang w:val="en-US" w:eastAsia="en-US" w:bidi="ar-SA"/>
        </w:rPr>
        <w:t>Ellis</w:t>
      </w:r>
      <w:r>
        <w:rPr>
          <w:rFonts w:ascii="arial" w:eastAsia="arial" w:hAnsi="arial" w:cs="arial"/>
          <w:color w:val="000000"/>
          <w:sz w:val="20"/>
          <w:lang w:val="en-US" w:eastAsia="en-US" w:bidi="ar-SA"/>
        </w:rPr>
        <w:t xml:space="preserve"> was broad and multi-faceted, even if the arguments actually disposed of by the Courts reduced in number as the case progressed. The parties there pursued many arguments and had the knowledge of facts to ground others. Equity is well served by applying the doctrine here to promote and protect the orderly administration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court rejected the Stonemans' arguments that the Trust Committee be compelled to issue a development permit without further requirements, noting the relief sought was in the nature of </w:t>
      </w:r>
      <w:r>
        <w:rPr>
          <w:rFonts w:ascii="arial" w:eastAsia="arial" w:hAnsi="arial" w:cs="arial"/>
          <w:i/>
          <w:color w:val="000000"/>
          <w:sz w:val="20"/>
          <w:lang w:val="en-US" w:eastAsia="en-US" w:bidi="ar-SA"/>
        </w:rPr>
        <w:t>mandamus</w:t>
      </w:r>
      <w:r>
        <w:rPr>
          <w:rFonts w:ascii="arial" w:eastAsia="arial" w:hAnsi="arial" w:cs="arial"/>
          <w:color w:val="000000"/>
          <w:sz w:val="20"/>
          <w:lang w:val="en-US" w:eastAsia="en-US" w:bidi="ar-SA"/>
        </w:rPr>
        <w:t>. The Stonemans alleged they had fulfilled the development permit criteria, and the Trust Committee was unlawfully attempting to impose further requirements before agreeing to issue a development permit. The court found there was nothing improper in the conditions the Trust Committee attached to the issuance of the development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decision, </w:t>
      </w:r>
      <w:r>
        <w:rPr>
          <w:rFonts w:ascii="arial" w:eastAsia="arial" w:hAnsi="arial" w:cs="arial"/>
          <w:i/>
          <w:color w:val="000000"/>
          <w:sz w:val="20"/>
          <w:lang w:val="en-US" w:eastAsia="en-US" w:bidi="ar-SA"/>
        </w:rPr>
        <w:t>Stoneman v. Denman Island Local Trust Committee</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2010 BCSC 636</w:t>
        </w:r>
      </w:hyperlink>
      <w:r>
        <w:rPr>
          <w:rFonts w:ascii="arial" w:eastAsia="arial" w:hAnsi="arial" w:cs="arial"/>
          <w:color w:val="000000"/>
          <w:sz w:val="20"/>
          <w:lang w:val="en-US" w:eastAsia="en-US" w:bidi="ar-SA"/>
        </w:rPr>
        <w:t xml:space="preserve">, deals with an earlier application by the defendants for similar relief to the relief they are seeking in this application, and on the same basis. The defendants applied to have the Stonemans'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tort of public misfeasance dismissed on the basis that the amended statement of claim disclosed no reasonable cause of action, or is scandalous, frivolous and vexatious, or is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an abuse of process of the court. The application was made under the former Rule 19(24)(a),(b) and (d)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Alternatively, the defendants applied to strike portions of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defendants also sought to have the Stonemans' action against the defendant the Islands Trust dismissed on the basis that it was not a legal entity capable of being 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court noted at para.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essence of the plaintiffs' complaint in this action appears to be that the defendants have abused their statutory authority by rendering a part of the lands of the plaintiffs subject to development permit requirements, refusing an application for a development permit, refusing an application for a Siting and Use Permit necessary for construction of a dwelling on the property, and negligently causing or allowing physical damage to the land via erosion.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court went through the history of the litigation, noting that in the Ellis litigation there was no decision made regarding the Stonemans' counterclaim which had been filed just prior to the summary trial, and that the Stonemans' counterclaim remained extant. The defendants argued that this action duplicates the existing counterclaim and is therefore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court reviewed the pleadings and found the amended statement of claim was vexatious, prejudicial to a fair trial of the proceeding, and an abuse of process, and should be struck out in its entirety. The court went on to examine the causes of action the Stonemans appeared to allege in order to determine whether the action should be dismissed or stayed, or whether the plaintiffs should be allowed to amend their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At para. 51-52, the court set out the Stonemans'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In their submissions, the plaintiffs characterize their action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present action is in tort, arising from the ongoing implementation and application of bylaws to pursue objectives outside the defendants' legal power. Principally that amounts to abuse of statutory authority, but also to the extent the actions have negligently caused damage (most obviously in the form of a landslide for failure to allow diversion of water in the development permit area) it also includes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They argue that the core of the present claim is abuse of statutory authority. They argue that the conduct complained of falls within the tort of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court reviewed the law regarding the tort of misfeasance of public office, noting that in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the Supreme Court of Canada confirmed the existence of the tort and set out its constituent elements. There are two forms of the tort, one which involves conduct specifically intended to injure a person or class of persons, and the second which involves acts by a public officer that the public officer knows she or he has no power to do, and knows the act is likely to injure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the Supreme Court of Canada summarized the elements of the tort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To summarize, I am of the opinion that the tort of misfeasance in a public office is an intentional tort whose distinguishing elements are twofold: (i) deliberate unlawful conduct in the exercise of public functions; and (ii) awareness that the conduct is unlawful and likely to injure the plaintiff. Alongside deliberate unlawful conduct and the requisite knowledge, a plaintiff must also prove the other requirements common to all torts. More specifically, the plaintiff must prove that the tortious conduct was the legal cause of his or her injuries, and that the injuries suffered are compensable in tort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court noted that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Stonemans' amended statement of claim were inconsistent with the claim of abuse of public office. The court concluded that it was conceivable the Stonemans could make claims in tort for damages for misfeasance and bad faith misconduct; however, those claims had not been properly pleaded, and the material facts on which the allegations of bad faith were based were not set out. As well, the court concluded that the Stonemans'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damage to their land was bound to fail. While the amended statement of claim did not properly plead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the tort of the public misfeasance and bad faith misconduct, the Stonemans were granted leave to amend their statement of claim in order to plead those causes of action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At the earlier application to strike, the defendants argued that the action duplicates the petition the Stonemans filed in the Stoneman litigation. However, the court rejected the argument, noting that a claim based on tort is fundamentally different in character than a judicial review proceeding. Damages cannot be claimed in a judicial review proceeding whereas they can be claimed in an action in tort. The court found it would not be appropriate to stay the judicial review proceedings because the two actions were of a different nature, seeking different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court held it was more appropriate to allow this action to proceed, as amended, rather than directing the Stonemans to recast their counterclaim in the Ellis litigation. Accordingly, the court stayed the counterclaim in the Ellis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At para. 96, the court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existing amended statement of claim is struck out in its entirety. However, the action will not be dismissed at this time. The plaintiffs will be granted leave to amend their statement of claim to properly plead claims in tort for misfeasance in public office, bad faith,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They will have 90 days to do so. Until the amended pleading is filed, the action is stayed.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Following the decision, the Stonemans filed their amended notice of civil claim which is the subject of this application. Mr. Ellis also filed an amended notice of civil claim pursuant to an order made at a case planning conference.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rules under which the defendants apply to have the two actions dismissed are Rules 9-5(1) and 9-6(4)-(5)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The relevant portions of those rules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9-5(1) At any stage of a proceeding, the court may order to be struck out or amended the whole or any part of a pleading, petition or other document on the ground that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9-6(4) In an action, an answering party may, after serving a responding pleading on a claiming party, apply under this rule for judgment dismissing all or part of a claim in the claiming party's originating pleading.</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hearing an application under subrule (2) or (4), the court,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there is no genuine issue for trial with respect to a claim or defence, must pronounce judgment or dismiss the claim accordingly,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the amount to which the claiming party is entitled, may order a trial of that issue or pronounce judgment with a reference or an accounting to determine the amount,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a question of law, may determine the question and pronounce judgment accordingly,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may make any other order it considers will further the object of these Supreme Court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relevant law regarding the test to be applied on an application to strike under Rule 9-5 is set out in the case law dealing with the predecessor rule, Rule 19(24). The test was enunciated in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 and reiterated in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xml:space="preserve">, at para. 15. The court in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xml:space="preserve">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is a stringent one. The facts are to be taken as pleaded. When so taken, the question that must then be determined is whether there it is "plain and obvious" that the action must fail. It is only if the statement of claim is certain to fail because it contains a "radical defect" that the plaintiff should be driven from the judgment. See also </w:t>
      </w:r>
      <w:r>
        <w:rPr>
          <w:rFonts w:ascii="arial" w:eastAsia="arial" w:hAnsi="arial" w:cs="arial"/>
          <w:i/>
          <w:color w:val="000000"/>
          <w:sz w:val="20"/>
          <w:lang w:val="en-US" w:eastAsia="en-US" w:bidi="ar-SA"/>
        </w:rPr>
        <w:t>Attorney General of Canada v. Inuit Tapirisat of Canada</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[1980] 2 S.C.R. 735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the court made it clear that the length and complexity of the issues, the novelty of the cause of action, or a strong defence should not prevent the plaintiff from proceeding with its case. Any doubt is to be resolved in favour of allowing the pleadings to stand. As long as the statement of claim as it stands or as it may be amended discloses some cause fit to be tried it should not be struck. Nor should it be struck if the action involves investigation of serious questions of law or questions of general importance, or if the facts should be known prior to the rights being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test under Rule 9-6(4) and (5) allows for dismissal when the court is satisfied there is no genuine issue for trial. In </w:t>
      </w:r>
      <w:r>
        <w:rPr>
          <w:rFonts w:ascii="arial" w:eastAsia="arial" w:hAnsi="arial" w:cs="arial"/>
          <w:i/>
          <w:color w:val="000000"/>
          <w:sz w:val="20"/>
          <w:lang w:val="en-US" w:eastAsia="en-US" w:bidi="ar-SA"/>
        </w:rPr>
        <w:t>Bajwa v. British Columbia Veterinary Medical Assn.</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2012 BCSC 878</w:t>
        </w:r>
      </w:hyperlink>
      <w:r>
        <w:rPr>
          <w:rFonts w:ascii="arial" w:eastAsia="arial" w:hAnsi="arial" w:cs="arial"/>
          <w:color w:val="000000"/>
          <w:sz w:val="20"/>
          <w:lang w:val="en-US" w:eastAsia="en-US" w:bidi="ar-SA"/>
        </w:rPr>
        <w:t xml:space="preserve"> at para. 11, the court referred to the relevant test as outlined in </w:t>
      </w:r>
      <w:r>
        <w:rPr>
          <w:rFonts w:ascii="arial" w:eastAsia="arial" w:hAnsi="arial" w:cs="arial"/>
          <w:i/>
          <w:color w:val="000000"/>
          <w:sz w:val="20"/>
          <w:lang w:val="en-US" w:eastAsia="en-US" w:bidi="ar-SA"/>
        </w:rPr>
        <w:t>Skybridge Investments Ltd. v. Metro Motors Ltd</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2006 BCCA 500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test is whether there is a </w:t>
      </w:r>
      <w:r>
        <w:rPr>
          <w:rFonts w:ascii="arial" w:eastAsia="arial" w:hAnsi="arial" w:cs="arial"/>
          <w:i/>
          <w:color w:val="000000"/>
          <w:sz w:val="20"/>
          <w:lang w:val="en-US" w:eastAsia="en-US" w:bidi="ar-SA"/>
        </w:rPr>
        <w:t>bona fides</w:t>
      </w:r>
      <w:r>
        <w:rPr>
          <w:rFonts w:ascii="arial" w:eastAsia="arial" w:hAnsi="arial" w:cs="arial"/>
          <w:color w:val="000000"/>
          <w:sz w:val="20"/>
          <w:lang w:val="en-US" w:eastAsia="en-US" w:bidi="ar-SA"/>
        </w:rPr>
        <w:t xml:space="preserve"> triable issue. No issue of fact or law is to be determined on an application, rather the function of the court is limited to a determination of whether a </w:t>
      </w:r>
      <w:r>
        <w:rPr>
          <w:rFonts w:ascii="arial" w:eastAsia="arial" w:hAnsi="arial" w:cs="arial"/>
          <w:i/>
          <w:color w:val="000000"/>
          <w:sz w:val="20"/>
          <w:lang w:val="en-US" w:eastAsia="en-US" w:bidi="ar-SA"/>
        </w:rPr>
        <w:t>bona fides</w:t>
      </w:r>
      <w:r>
        <w:rPr>
          <w:rFonts w:ascii="arial" w:eastAsia="arial" w:hAnsi="arial" w:cs="arial"/>
          <w:color w:val="000000"/>
          <w:sz w:val="20"/>
          <w:lang w:val="en-US" w:eastAsia="en-US" w:bidi="ar-SA"/>
        </w:rPr>
        <w:t xml:space="preserve"> triable issue arises on the material before it. The court must conclude that it is plain and obvious or beyond a doubt that the action will not succeed. If there is a doubt as to whether there is a triable issue, the application should be dismissed. While the court generally accepts the facts set out in the notice of civil claim as true, it is not wrong to look behind the allegations in some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If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applies, the action should be struck pursuant to Rule 9-5 (1)(b), on the basis it is "unnecessary, scandalous, frivolous or vexatious", or Rule 9-5(1)(d), on the basis it is otherwise an abuse of process of the court.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applies if the judicial decision and order dealt with the same issues and causes and is designed to eliminate claims at a preliminary stage that are unsupportable in law: </w:t>
      </w:r>
      <w:r>
        <w:rPr>
          <w:rFonts w:ascii="arial" w:eastAsia="arial" w:hAnsi="arial" w:cs="arial"/>
          <w:i/>
          <w:color w:val="000000"/>
          <w:sz w:val="20"/>
          <w:lang w:val="en-US" w:eastAsia="en-US" w:bidi="ar-SA"/>
        </w:rPr>
        <w:t>MacDonald v. Marriott,</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[1984] B.C.J. No. 2916</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court requires that parties to litigation bring all of their claims forward at the same time. The court will not, except in special circumstances, allow the same parties to open the same subject of litigation in respect of a matter which might have been brought in the first action, but was not brought forward or was omitted through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inadvertence or accident.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applies not only to issues that were before the court, but also issues which properly belonged to the subject of the litigation and which the parties could have brought forward: </w:t>
      </w:r>
      <w:r>
        <w:rPr>
          <w:rFonts w:ascii="arial" w:eastAsia="arial" w:hAnsi="arial" w:cs="arial"/>
          <w:i/>
          <w:color w:val="000000"/>
          <w:sz w:val="20"/>
          <w:lang w:val="en-US" w:eastAsia="en-US" w:bidi="ar-SA"/>
        </w:rPr>
        <w:t>Henderson v. Henderson</w:t>
      </w:r>
      <w:r>
        <w:rPr>
          <w:rFonts w:ascii="arial" w:eastAsia="arial" w:hAnsi="arial" w:cs="arial"/>
          <w:color w:val="000000"/>
          <w:sz w:val="20"/>
          <w:lang w:val="en-US" w:eastAsia="en-US" w:bidi="ar-SA"/>
        </w:rPr>
        <w:t xml:space="preserve"> (1843), 67 All E.R. 313; </w:t>
      </w:r>
      <w:r>
        <w:rPr>
          <w:rFonts w:ascii="arial" w:eastAsia="arial" w:hAnsi="arial" w:cs="arial"/>
          <w:i/>
          <w:color w:val="000000"/>
          <w:sz w:val="20"/>
          <w:lang w:val="en-US" w:eastAsia="en-US" w:bidi="ar-SA"/>
        </w:rPr>
        <w:t>MacDonald</w:t>
      </w:r>
      <w:r>
        <w:rPr>
          <w:rFonts w:ascii="arial" w:eastAsia="arial" w:hAnsi="arial" w:cs="arial"/>
          <w:color w:val="000000"/>
          <w:sz w:val="20"/>
          <w:lang w:val="en-US" w:eastAsia="en-US" w:bidi="ar-SA"/>
        </w:rPr>
        <w:t>,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Special circumstances have been explained as circumstances where the question of law or fact in the second action is not identical with or inextricably involved with the question of law or fact which was decided in the first action.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does not apply to distinct causes of action but does apply when the second action arises out of the same relationship and the same subject matter as the first action, even though it may be based on a different legal conception of the relationship between the parties: </w:t>
      </w:r>
      <w:r>
        <w:rPr>
          <w:rFonts w:ascii="arial" w:eastAsia="arial" w:hAnsi="arial" w:cs="arial"/>
          <w:i/>
          <w:color w:val="000000"/>
          <w:sz w:val="20"/>
          <w:lang w:val="en-US" w:eastAsia="en-US" w:bidi="ar-SA"/>
        </w:rPr>
        <w:t>MacKenzie v. Chilliwack (District)</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[1997] B.C.J. No. 2289</w:t>
        </w:r>
      </w:hyperlink>
      <w:r>
        <w:rPr>
          <w:rFonts w:ascii="arial" w:eastAsia="arial" w:hAnsi="arial" w:cs="arial"/>
          <w:color w:val="000000"/>
          <w:sz w:val="20"/>
          <w:lang w:val="en-US" w:eastAsia="en-US" w:bidi="ar-SA"/>
        </w:rPr>
        <w:t xml:space="preserve"> at para. 20, quoting from </w:t>
      </w:r>
      <w:r>
        <w:rPr>
          <w:rFonts w:ascii="arial" w:eastAsia="arial" w:hAnsi="arial" w:cs="arial"/>
          <w:i/>
          <w:color w:val="000000"/>
          <w:sz w:val="20"/>
          <w:lang w:val="en-US" w:eastAsia="en-US" w:bidi="ar-SA"/>
        </w:rPr>
        <w:t>Lehndorff Management Ltd. v. L.R.S. Development</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(1980), 19 B.C.L.R. 59</w:t>
        </w:r>
      </w:hyperlink>
      <w:r>
        <w:rPr>
          <w:rFonts w:ascii="arial" w:eastAsia="arial" w:hAnsi="arial" w:cs="arial"/>
          <w:color w:val="000000"/>
          <w:sz w:val="20"/>
          <w:lang w:val="en-US" w:eastAsia="en-US" w:bidi="ar-SA"/>
        </w:rPr>
        <w:t xml:space="preserve"> at para. 16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authorities do not always articulate the differences between the concepts of abuse of process,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cause of action estoppel and issue estoppel. These are all related concepts by which the court controls its process by preventing parties from re-litigating the subject matter of claims which were or could have been advanced in other proceedings. Abuse of process is considered the more flexible and wider concept and may apply even where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may not be strictly speaking applicable. Cause of action estoppel and issue estoppel are variants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Danyluk v. Ainsworth Technologies Inc</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[2001] 2 S.C.R. 460</w:t>
        </w:r>
      </w:hyperlink>
      <w:r>
        <w:rPr>
          <w:rFonts w:ascii="arial" w:eastAsia="arial" w:hAnsi="arial" w:cs="arial"/>
          <w:color w:val="000000"/>
          <w:sz w:val="20"/>
          <w:lang w:val="en-US" w:eastAsia="en-US" w:bidi="ar-SA"/>
        </w:rPr>
        <w:t xml:space="preserve">, the Supreme Court of Canada discussed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in the context of issue estoppel. At para. 25, the court stated that in order to succeed in striking a notice of civil claim on the basis of issue estoppel, an applicant has to establish that the following preconditions exist:</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same issues have been decided in the First Action;</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parties to the First Action or their privies were the same persons as the parties to the Second Action or their privies; and</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judicial determination was final.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Danyluk</w:t>
      </w:r>
      <w:r>
        <w:rPr>
          <w:rFonts w:ascii="arial" w:eastAsia="arial" w:hAnsi="arial" w:cs="arial"/>
          <w:color w:val="000000"/>
          <w:sz w:val="20"/>
          <w:lang w:val="en-US" w:eastAsia="en-US" w:bidi="ar-SA"/>
        </w:rPr>
        <w:t xml:space="preserve"> at paras.18-20, the xourt noted the law seeks finality to litigation. Once an issue is decided it should not be re-litigated in order to avoid duplicative litigation, potential inconsistent results, undue costs, and inconclusive proceedings. Estoppel is one of a number of equitable remedies to prevent abuse of the decision-making process and is designed to advance the interests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rules governing estoppel should not be applied without a consideration of the various interests involved. The public interest in the finality of litigation must be balanced with the public interest of ensuring justice will be done on the facts of a particular case. A two-stage approach should be undertaken to:</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if the applicant has established the preconditions;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the preconditions are met, the court should exercise its discretion to determine if issue estoppel should be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factors to be considered under step two are open. The overriding factor the court should consider is whether the application of estoppel would work an injustice in the circumstances of the particular case: </w:t>
      </w:r>
      <w:r>
        <w:rPr>
          <w:rFonts w:ascii="arial" w:eastAsia="arial" w:hAnsi="arial" w:cs="arial"/>
          <w:i/>
          <w:color w:val="000000"/>
          <w:sz w:val="20"/>
          <w:lang w:val="en-US" w:eastAsia="en-US" w:bidi="ar-SA"/>
        </w:rPr>
        <w:t>Danyluk</w:t>
      </w:r>
      <w:r>
        <w:rPr>
          <w:rFonts w:ascii="arial" w:eastAsia="arial" w:hAnsi="arial" w:cs="arial"/>
          <w:color w:val="000000"/>
          <w:sz w:val="20"/>
          <w:lang w:val="en-US" w:eastAsia="en-US" w:bidi="ar-SA"/>
        </w:rPr>
        <w:t xml:space="preserve"> at para.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three related doctrines of issue estoppel, abuse of process and collateral attacks were discussed in </w:t>
      </w:r>
      <w:r>
        <w:rPr>
          <w:rFonts w:ascii="arial" w:eastAsia="arial" w:hAnsi="arial" w:cs="arial"/>
          <w:i/>
          <w:color w:val="000000"/>
          <w:sz w:val="20"/>
          <w:lang w:val="en-US" w:eastAsia="en-US" w:bidi="ar-SA"/>
        </w:rPr>
        <w:t>Toronto (City) v. Canadian Union of Public Employees, Local 79</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[2003] 3 S.C.R. 77</w:t>
        </w:r>
      </w:hyperlink>
      <w:r>
        <w:rPr>
          <w:rFonts w:ascii="arial" w:eastAsia="arial" w:hAnsi="arial" w:cs="arial"/>
          <w:color w:val="000000"/>
          <w:sz w:val="20"/>
          <w:lang w:val="en-US" w:eastAsia="en-US" w:bidi="ar-SA"/>
        </w:rPr>
        <w:t>. The court noted at para. 37 that the doctrine of abuse of process engages the inherent power of the court to prevent the misuse of its procedures in a manner that could bring the administration of justice into disrepute. The court went on to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It is true that the doctrine of abuse of process has been extended beyond the strict parameters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while borrowing much of its rationales and some of its constraints. It is said to be more of an adjunct doctrine, defined in reaction to the settled rules of issue estoppel and cause of action estoppel, than an independent one (Lange,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344). The policy grounds supporting abuse of process by relitigation are the same as the essential policy grounds supporting issue estoppel (Lange,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347-48):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two policy grounds, namely, that there be an end to litigation and that no one should be twice vexed by the same cause, have been cited as policies in the application of abuse of process by relitigation. Other policy grounds have also been cited, namely, to preserve the courts' and the litigants' resources, to uphold the integrity of the legal system in order to avoid inconsistent results, and to protect the principle of finality so crucial to the proper administration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It is clear from the authorities that the application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abuse of process is used by the courts to prevent the misuse of its procedures and to prevent bringing the administration of justice into disrepute. When the courts will apply those rules is discretionary and depends on the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of the Law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As noted earlier, both Mr. Ellis and Mr. Stoneman concede that the amended notices of civil claim they have filed are deficient and do not properly set out the causes of action of nuisance, the tort of public misfeasance,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Accordingly, the issue is whether to dismiss the plaintiffs' claims, or allow them to further amend the notices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defendants take the position that all of the issues raised by the plaintiffs in the two actions were raised, or could or should have been raised, in the Ellis litigation. They assert the same issues have also been raised in the Stoneman litigation in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defendants say the plaintiffs have already presented evidence and had submissions rejected that Bylaw No. 111 is void for vagueness. I note that both Mr. Stoneman and Mr. Ellis concede that, insofar as their amended notices of civil claim allege that Bylaw No. 111 is invalid, those portions should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defendants submit that in Mr. Ellis' amended notice of civil claim at para. 38(c) he alleges: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road construction, the defendants' failure to assess and correct the impact of culverting uphill water beneath Swan Road towards the bluff was the principal cause of the landslide and the plaintiff's property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However, no particulars are provided as to what road construction was being referred to, how the defendants were involved in that road construction, when the alleged landslide occurred, or what the nature of Mr. Ellis' property loss is. In his initial statement of claim Mr. Ellis did plead particulars, alleging the Trust Committee did not allow him to construct drainage on the front of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defendants point to the fact that in the Ellis litigation, Mr. Ellis filed an amended counterclaim including claims related to drainage ditch work on the property. The Stonemans also advanced a counterclaim in the Ellis litigation alleging facts relating to flooding the landslides, and raised the issue of surface water going over the bluff. The defendants argue that therefore any of the plaintiffs' claims relating to ditching, drainage or flooding of their lands were issues that either were contested, or should have been contested in the Ellis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However, as noted on the defendants' earlier application to strike the Stonemans' amended statement of claim, the Stonemans' counterclaim was not adjudicated upon in the summary trial in the Ellis litigation and remained extant. As well, there is no reference to Mr. Ellis'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Ellis litigation involved an action by the Trust Committee against Mr. Ellis for removing trees within the 50 metre buffer zone from Komas Bluff protected by the bylaw. The matter proceeded by way of summary trial. As noted in the trial judge's decision, the Trust Committee was not seeking any relief against the Stonemans apart from an order they allow Mr. Ellis on to their land to carry out any ordered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my view, there is nothing in the reasons in the Ellis litigation that supports the defendants' submission that plaintiffs' claims relating to ditching, drainage and flooding were issues that were contested in the Ellis litigation. It appears from the reasons that the summary trial in the Ellis litigation did not deal with either the Stonemans' counterclaim or Mr. Ellis' counterclaim. As noted in </w:t>
      </w:r>
      <w:r>
        <w:rPr>
          <w:rFonts w:ascii="arial" w:eastAsia="arial" w:hAnsi="arial" w:cs="arial"/>
          <w:i/>
          <w:color w:val="000000"/>
          <w:sz w:val="20"/>
          <w:lang w:val="en-US" w:eastAsia="en-US" w:bidi="ar-SA"/>
        </w:rPr>
        <w:t>Denman Island Local Trust Committee v. Ellis</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2007 BCCA 536</w:t>
        </w:r>
      </w:hyperlink>
      <w:r>
        <w:rPr>
          <w:rFonts w:ascii="arial" w:eastAsia="arial" w:hAnsi="arial" w:cs="arial"/>
          <w:color w:val="000000"/>
          <w:sz w:val="20"/>
          <w:lang w:val="en-US" w:eastAsia="en-US" w:bidi="ar-SA"/>
        </w:rPr>
        <w:t xml:space="preserve"> at para. 17, the summary trial dealt with the Trust Committee's claims against Mr. Ellis that he had violated the development permit and the bylaw: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By notice of motion, heard by summary trial under Rule 18A, the Trust Committee sought a declaration that there had been violations of the development permits and the bylaw, an injunction prohibiting further violations, and a mandatory injunction requiring restoration of the Lands to their condition prior to the violation.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On this application the defendants argue that all the elements of cause of action estoppel are met in relation to the plaintiffs' amended notices of civil claim. The defendants argue the causes of actions articulated in the amended notices of civil claim of both Mr. Ellis and the Stonemans relate to the disputes they have with the defendants over the validity of the bylaw. They say the claims of the plaintiffs all arise from the creation of the buffer zone and therefore relate back to the validity of the bylaw. The defendants assert the plaintiffs made the claims or could have made the claims they are making in their amended notices of civil claim in the Ellis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agree that insofar as the amended notices of civil claim allege causes of action based on the invalidity of the bylaw, issue estoppel applies to those portions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However, I am of the view that even if the issues of whether or not the defendants were negligent in allowing water to flow onto the plaintiffs' property which resulted in loss to them could have been argued in the context of the Ellis litigation, it is not an appropriate case in which to exercise my discretion to dismiss this portion of the claim because there is no indication those issues were argued and adjudicated upon. The main issue in the Ellis litigation as noted in </w:t>
      </w:r>
      <w:r>
        <w:rPr>
          <w:rFonts w:ascii="arial" w:eastAsia="arial" w:hAnsi="arial" w:cs="arial"/>
          <w:i/>
          <w:color w:val="000000"/>
          <w:sz w:val="20"/>
          <w:lang w:val="en-US" w:eastAsia="en-US" w:bidi="ar-SA"/>
        </w:rPr>
        <w:t>Stoneman v. Denman Island Local Trust Committee</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2013 BCCA 517</w:t>
        </w:r>
      </w:hyperlink>
      <w:r>
        <w:rPr>
          <w:rFonts w:ascii="arial" w:eastAsia="arial" w:hAnsi="arial" w:cs="arial"/>
          <w:color w:val="000000"/>
          <w:sz w:val="20"/>
          <w:lang w:val="en-US" w:eastAsia="en-US" w:bidi="ar-SA"/>
        </w:rPr>
        <w:t>, was whether Bylaw No. 111 was 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evidence is that the Stonemans did not file the amended counterclaim until just before the summary trial application. As stated earlier, there is no reference to the counterclaims filed by either Mr. Ellis or the Stonemans in the reasons for judgment of the trial judge. The issues of whether Mr. Ellis or the Stonemans had claims against the defendants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nuisance for improperly assessing and correcting the impact of works they permitted which allowed water to flow on to the plaintiffs' properties do not appear to have been argued or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my view, given that Mr. Ellis' counterclaim was not dealt with in the Ellis litigation, it remains extant. As noted in the reasons on the earlier application to strike, the normal course would be to strike out the new proceedings to the extent it duplicates the prior proceedings. However, given the circumstances and the passage of time, I am of the view that it is more appropriate to allow Mr. Ellis to amend his pleadings in this action to properly plead the causes of action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nuisance rather than directing Mr. Ellis proceed with his counterclaim in the Ellis litigation. Although the defendants did not apply to stay Mr. Ellis' counterclaim, I am of the view it should be stayed.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As well, the tort of public misfeasance was not before the court in the Ellis litigation. While the defendants argue that no facts have been pleaded in either notice of civil claim to support a claim for misfeasance in public office for enforcing a valid bylaw, Mr. Ellis and the Stonemans are not basing their arguments on the fact they were enforcing an invalid bylaw. Both Mr. Ellis and the Stonemans accept that Bylaw No. 111 is 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Both Mr. Ellis and the Stonemans seek to argue that the defendants are acting in bad faith in continuing to refuse a development permit despite the fact they have complied with the requirements for a development permit, including providing geotechnical reports. The defendants say that issue is more properly the subject of an application for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note this is the first application by the defendants to strike Mr. Ellis' claim, although he amended his notice of civil claim after the defendants' application to strike the Stonemans' amended statement of claim. The defendants say this is a result of a direction at a case planning conference. The defendants point out that many of the allegations in the Ellis notice of civil claim mirror those in the Stonemans'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defendants argue the Stonemans have already had an opportunity to amend their notice of civil claim, and yet have still not properly pleaded claims in nuisance,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the tort of public misfeasance. Any further amendments require leave of the court. The defendants say that despite being invited to make an application to amend their pleadings the Stonemans have not done so. They argue it is plain and obvious any attempts to redraft the pleadings are bound to fail, and the Stonemans should not be given an opportunity to further amend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defendants say that the plaintiffs' pleadings do not define any causes of action, or articulate or define any issues of fact or law that have not already been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This is similar to the argument made in the last application to strike the pleadings which was rejected. The court on the earlier application to strike referred to the defendants' argument that this action duplicates prior proceedings the plaintiffs had brought and which remain extant; namely the counterclaim in the Ellis litigation, and the petition under judicial review, i.e. the Stoneman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As noted on the earlier application to strike, these proceedings are of a fundamentally different character than the judicial review proceedings. In judicial review proceedings damages cannot be obtained, whereas in a proceeding based on tort the plaintiff can advance a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plaintiffs in the two actions are advancing claims in tort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public misfeasance. In argument, they also alleged nuisance and bad faith. In both actions, the plaintiffs allege they have suffered damage as a result of the defendants' tortious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As noted in the decision on the defendants' earlier application to strike the Stonemans' claim, it is conceivable the plaintiffs could make claims in tort for damages for misfeasance in public office and bad faith misconduct. As well, there have been successful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nuisance against public bodies, and officials.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defendants say there is no basis for a cause of action against the individually named defendants because the notice of civil claim does not allege any of the individuals were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willful misconduct, and therefore the individually named defendants have immunity under s. 287(2)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agree that the plaintiffs' claims have still not been properly pleaded. One of the reasons given by the plaintiffs for their failure to plead material facts and provide particulars of the allegations is that the knowledge regarding the internal permitting process is in the possession of the defendants and they have had difficulty obtaining documents from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plaintiffs have pointed to some evidence in support of the claims they allege in their affidavit material. Accordingly, it is not plain and obvious that those claims will 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In the circumstances, it is my view that the plaintiffs should be given another opportunity to amend their pleadings to properly plead claims of nuisance,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tort of public misfeasance, including a concise statement of the material facts giving rise to the claim, and the relief sought by the plaintiffs against each named defendant in compliance with Rule 3-1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following paragraphs of the Stonemans' amended notice of civil claim are struck on the basis that they disclose no reasonable cause of action, or are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or subject to issue estoppel because they are based on allegations that the bylaw is invalid, including that the Trust Committee passed the bylaws for an improper purpose or are in conflict with the Agricultural Land Reserve, which have been argued in earlier litigation: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Paragraphs 12 - 28.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As well, the following paragraphs under the relief being sought are struck as being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or relating to the validity of the bylaw: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Paragraphs 5 and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Stonemans are granted leave to amend their notice of civil claim to properly plead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nuisance and the tort of public misfeasance.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As well, the following paragraphs in Mr. Ellis' amended notice of civil claim are struck on the basis that they disclose no reasonable cause of action, or are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or subject to issue estoppel they are based on allegations that the bylaw is invalid, or that there is an issue regarding the boundaries of the Komas Bluff development permit area, or that the bylaw is in conflict with the Agricultural Land Reserve. All of those issues have been argued and determined in earlier litigation: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Paragraphs 10 - 15, 18, 19, and 23-37.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Paragraph 38 is struck because Mr. Ellis has not pleaded any material facts in support of the allegations. As well, paragraph 5 of the prayer for relief is struck as it deals with the validity of the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Mr. Ellis is at liberty to amend his notice of civil claim to plead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nuisance and the tort of public misfeasance. The plaintiffs will have 90 days to amend their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Finally, I am of the view there is no reason why the interlocutory applications in these actions should not be heard in Nanaimo. The actions were commenced in the Nanaimo Registry and the trial is to proceed in Nanaimo. The plaintiffs in both matters want interlocutory matters heard in Nanaimo. They say their understanding was that the interlocutory matters were transferred to Vancouver for the convenience of counsel. They no longer have counsel in Vancouver, and Nanaimo is the closest registry to them. Accordingly, I am transferring the two files back to Nanaimo for all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am not, however, making any order in regard to the plaintiffs request that the matters not be heard together. If they wish to make an application in that regard they can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Given the divided success on the applications, the parties will each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L.B. GEROW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9"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83"/>
          <w:headerReference w:type="default" r:id="rId184"/>
          <w:footerReference w:type="even" r:id="rId185"/>
          <w:footerReference w:type="default" r:id="rId186"/>
          <w:headerReference w:type="first" r:id="rId187"/>
          <w:footerReference w:type="first" r:id="rId18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89" w:history="1">
        <w:r>
          <w:rPr>
            <w:rFonts w:ascii="arial" w:eastAsia="arial" w:hAnsi="arial" w:cs="arial"/>
            <w:b/>
            <w:bCs/>
            <w:i/>
            <w:color w:val="0077CC"/>
            <w:kern w:val="32"/>
            <w:sz w:val="28"/>
            <w:szCs w:val="32"/>
            <w:u w:val="single"/>
            <w:shd w:val="clear" w:color="auto" w:fill="FFFFFF"/>
            <w:lang w:val="en-US" w:eastAsia="en-US" w:bidi="ar-SA"/>
          </w:rPr>
          <w:t>Van den Hemel v. Kugathasan, [2010] B.C.J. No. 1767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A.M. Stewart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23-27,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8,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M081700 and M081699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1767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2010 BCSC 1264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2010 CarswellBC 2370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192 A.C.W.S. (3d) 833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Ingrid Van den Hemel, Plaintiff, and Akeeban Kugathasan, Defendant And between Ingrid Van den Hemel, Plaintiff, and James Mo,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0"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5" w:name="Keywords_4"/>
      <w:bookmarkEnd w:id="35"/>
      <w:r>
        <w:rPr>
          <w:rFonts w:ascii="arial" w:eastAsia="arial" w:hAnsi="arial" w:cs="arial"/>
          <w:b/>
          <w:color w:val="000000"/>
          <w:sz w:val="20"/>
          <w:lang w:val="en-US" w:eastAsia="en-US" w:bidi="ar-SA"/>
        </w:rPr>
        <w:t>Damages — Physical and psychological injuries — Body injuries — Back and spine — Neck — Soft tissue — Two actions by plaintiff for damages suffered in two motor vehicle accidents allowed — Liability admitted — First accident occurred April 21, 2006 — Second accident occurred July 18, 2006 — Plaintiff did not fail to mitigate losses — But for accidents, plaintiff would not have suffered from soft tissue damage to neck, shoulders and back, resulting in continuing chronic pain — Plaintiff awarded $75,000 in non-pecuniary damages, $40,000 for past loss of opportunity to earn wages, $100,000 for loss of earning capacity, $8,000 for costs of future care, $10,000 for loss of housekeeping ability and $820 for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Categories of — Loss of opportunity — For personal injuries — Cost of future care — Loss of earning capacity — Loss of housekeeping ability — Non-pecuniary loss — Pain and suffering — Two actions by plaintiff for damages suffered in two motor vehicle accidents allowed — Liability admitted — First accident occurred April 21, 2006 — Second accident occurred July 18, 2006 — Plaintiff did not fail to mitigate losses — But for accidents, plaintiff would not have suffered from soft tissue damage to neck, shoulders and back, resulting in continuing chronic pain — Plaintiff awarded $75,000 in non-pecuniary damages, $40,000 for past loss of opportunity to earn wages, $100,000 for loss of earning capacity, $8,000 for costs of future care, $10,000 for loss of housekeeping ability and $820 for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of damages — Limiting factors — Duty to mitigate — Two actions by plaintiff for damages suffered in two motor vehicle accidents allowed — Liability admitted — First accident occurred April 21, 2006 — Second accident occurred July 18, 2006 — Plaintiff did not fail to mitigate losses — But for accidents, plaintiff would not have suffered from soft tissue damage to neck, shoulders and back, resulting in continuing chronic pain — Plaintiff awarded $75,000 in non-pecuniary damages, $40,000 for past loss of opportunity to earn wages, $100,000 for loss of earning capacity, $8,000 for costs of future care, $10,000 for loss of housekeeping ability and $820 for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6" w:name="Case Summary_4"/>
            <w:bookmarkEnd w:id="3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Two actions by Van den Hemel for damages suffered in two motor vehicles accidents. The actions were heard together. Liability in both accidents was admitted. Kugathasan and Van den Hemel were involved in a motor vehicle accident on April 21, 2006. Mo and Van den Hemel were then involved in an accident on July 18, 2006. Van den Hemel claimed to have suffered soft tissue injuries to her neck, back and shoulders which caused her persistent pain that continued to the date of the trial. Van den Hemel was 45 years old when the accidents occurred. She worked as a sales clerk until she was diagnosed with breast cancer and forced to quit. She was active and happy before the accidents.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7" w:name="Holdings of Court_4"/>
            <w:bookmarkEnd w:id="37"/>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 den Hemel did not fail to mitigate her loss.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Van den Hemel would not have suffered from soft tissue damage to the neck, shoulders and back resulting in chronic pain which continued to the trial. Van den Hemel was awarded $75,000 in non-pecuniary damages, $40,000 for past loss of opportunity to earn wages, $100,000 for loss of earning capacity, $8,000 for costs of future care, $10,000 for loss of housekeeping ability and $820 for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8" w:name="Legislation Cited_4"/>
      <w:bookmarkEnd w:id="3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1"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11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9" w:name="Counsel_4"/>
      <w:bookmarkEnd w:id="3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2" style="position:absolute;z-index:2517657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J.M. Cameron, D.W. Kolb.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S.P. Grey.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0" w:name="Judgment_4"/>
      <w:bookmarkEnd w:id="40"/>
      <w:r>
        <w:pict>
          <v:line id="_x0000_s1053" style="position:absolute;z-index:2518169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1" w:name="A.M. STEWART J."/>
            <w:bookmarkEnd w:id="41"/>
            <w:r>
              <w:rPr>
                <w:rFonts w:ascii="arial" w:eastAsia="arial" w:hAnsi="arial" w:cs="arial"/>
                <w:b/>
                <w:color w:val="000000"/>
                <w:sz w:val="30"/>
                <w:lang w:val="en-US" w:eastAsia="en-US" w:bidi="ar-SA"/>
              </w:rPr>
              <w:t>A.M. STEWART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claims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Two actions were tried together. The first action is the plaintiff versus Kugathasan. That action arises out of a motor vehicle accident in Richmond, British Columbia April 21, 2006. Liability is admitted. The second action is the plaintiff versus Mo. That action arises out of a motor vehicle accident in Richmond, British Columbia on July 18, 2006. Liability is admitted. One counsel acts for both defendants. In each action, the defendant pled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both actions that pleading was abandoned. I must assess the damages. The case proceeded on the assumption that no thought need be given to apportioning (so to speak) the award of damages between defendants. Nor could it be in the circumstances that obtain here for the evidence reveals injuries which are, for the purposes of the law, indivisible: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burden of proof on bottom issues is on the plaintiff to prove her case on a balance of probabilities. The defendants allege a failure by the plaintiff to mitigate her loss. On that issue, the burden of proof is on the defendants to prove their case on a balance of probabilities. I note here that with respect to causation the "but for" test is the applicable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each of the two motor vehicle accidents the plaintiff was a passenger in a car being driven by her common law husband (hereafter simply "her husband") when the vehicle in which she was sitting was struck by a vehicle driven by a defendant. In the first motor vehicle accident the vehicle in which the plaintiff was seated was stopped at an intersection when it was hit from the rear by a vehicle driven by the defendant Kugathasan. In the second motor vehicle accident the vehicle in which the plaintiff was seated was in motion when it was struck ("T-boned") towards the front of the driver's side by a vehicle driven by the defendant Mo.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to each of the two motor vehicle accidents, the evidence is a jumble as to how much force was applied to the vehicle in which the plaintiff was seated. In each case the defendant testified to the effect that the impact was next to nothing. In each case the plaintiff and her witnesses - her husband and a daughter, both of whom were in the car on both occasions - testified to the effect that the impact was significant. Exhibits 1 and 2 reveal that the cost of repairing the vehicle driven by the plaintiff's husband was $665.19 in the case of the first motor vehicle accident and $1,421.00 in the case of the second motor vehicle accident. No engineering or other scientific evidence was placed before me in an attempt to give meaning to those bare figures. I note that the defendant Kugathasan was a singularly unimpressive witness. Stating the ridiculous and then, when questioned about that, simply recognizing that it was ridiculous was a feature of his testimony. I find the evidence of the plaintiff and of her witnesses as to both motor vehicle accidents convincing. In the result, I find that in each case there was a significant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 have considered the whole of the defendants' attack on the plaintiff's credibility and I reject it. I will explain. But I will do so in the terminology of testimonial reliability. This is not a mere playing with words. "Credibility" has become a confusing term as its elements are not particularized and whether it encompasses accuracy is in the eye of the beholder. (See </w:t>
      </w:r>
      <w:r>
        <w:rPr>
          <w:rFonts w:ascii="arial" w:eastAsia="arial" w:hAnsi="arial" w:cs="arial"/>
          <w:i/>
          <w:color w:val="000000"/>
          <w:sz w:val="20"/>
          <w:lang w:val="en-US" w:eastAsia="en-US" w:bidi="ar-SA"/>
        </w:rPr>
        <w:t>Reddoch v. Yukon Medical Council</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2001 YKCA 13</w:t>
        </w:r>
      </w:hyperlink>
      <w:r>
        <w:rPr>
          <w:rFonts w:ascii="arial" w:eastAsia="arial" w:hAnsi="arial" w:cs="arial"/>
          <w:color w:val="000000"/>
          <w:sz w:val="20"/>
          <w:lang w:val="en-US" w:eastAsia="en-US" w:bidi="ar-SA"/>
        </w:rPr>
        <w:t xml:space="preserve"> para. 29 as opposed to </w:t>
      </w:r>
      <w:r>
        <w:rPr>
          <w:rFonts w:ascii="arial" w:eastAsia="arial" w:hAnsi="arial" w:cs="arial"/>
          <w:i/>
          <w:color w:val="000000"/>
          <w:sz w:val="20"/>
          <w:lang w:val="en-US" w:eastAsia="en-US" w:bidi="ar-SA"/>
        </w:rPr>
        <w:t>R. v. Morrisey</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(1995), 97 C.C.C. (3d) 193</w:t>
        </w:r>
      </w:hyperlink>
      <w:r>
        <w:rPr>
          <w:rFonts w:ascii="arial" w:eastAsia="arial" w:hAnsi="arial" w:cs="arial"/>
          <w:color w:val="000000"/>
          <w:sz w:val="20"/>
          <w:lang w:val="en-US" w:eastAsia="en-US" w:bidi="ar-SA"/>
        </w:rPr>
        <w:t xml:space="preserve"> at 205.) The more precise "testimonial reliability" and its elements - perception, recollection, narration and sincerity - offers up a better analytical tool. (</w:t>
      </w:r>
      <w:r>
        <w:rPr>
          <w:rFonts w:ascii="arial" w:eastAsia="arial" w:hAnsi="arial" w:cs="arial"/>
          <w:i/>
          <w:color w:val="000000"/>
          <w:sz w:val="20"/>
          <w:lang w:val="en-US" w:eastAsia="en-US" w:bidi="ar-SA"/>
        </w:rPr>
        <w:t>R. v. Khelawon</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2006 SCC 57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will not replicate the defendants' scattergun attack on the plaintiff's testimonial reliability. I emphasize that I considered the whole of it before rejecting it. I will note here only some of its more important elements.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attack on the plaintiff's testimonial reliability focused on her sincerity.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Amongst other things, the defendants point to the fact that at the request of the defendants their witness, Dr. Shojania, examined the plaintiff on June 9, 2010 (Exhibit 13). As will become clear later in these Reasons for Judgment, I find the evidence of the plaintiff's expert Dr. Armstrong convincing on the central medical issues in the case at bar. I find that what Dr. Armstrong had to say when he testified before me in rebuttal at the very least neutralized what might otherwise be the effect of Dr. Shojania's evidence as to the exaggerating of her pain by the plaintiff when examined on June 9,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Another wing of the defendants' attack on the plaintiff's testimonial reliability - more particularly sincerity - focused on what the defendants say is the disparity between the plaintiff's telling me, in effect, that her pain and suffering in the neck, shoulders and back has been present, persistent and continuous since the first motor vehicle accident in April 2006 and what the defendants describe as telling temporal gaps in what the plaintiff complained of when she was seen by her family doctor, Dr. Sun, over the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in effect, told me that on any given occasion when she saw Dr. Sun and had her few minutes in the examining room that she went straight to only what was her most significant problem or complaint that day. I accept that. It makes sense in light of how our medical system functions today. Also I infer from the whole of Dr. Sun's testimony that it was her practice to let the patient take the initiative and that she did not invite the patient to lodge a bill of complaints. Last, I note that - as will become clear later in these Reasons for Judgment - throughout the four years in question in the case at bar the plaintiff has been a woman beset with a myriad of problems for which she sought help or advice from caregivers, only some of which were neck, back and shoulder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Another wing of the defendants' attack on the plaintiff's testimonial reliability - more particularly, sincerity - focused on her statements both in the courtroom and in the presence of doctors that she is in great pain, all the while exhibiting none of the observable indications of pain. Two things in the evidence took the sting out of that submission by the defendants. First, it became clear to me that the plaintiff uses the term "pain" to encompass much more than what is usually thought encompassed by that word. Second, and of much greater importance, as will become clear later in these Reasons for Judgment, I accept that portion of Dr. Armstrong's opinion to the effect that the plaintiff is one who through her chronic pain has been sensitized to pain thus altering her perception or appreciation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last bit of the defendants' attack on the plaintiff's testimonial reliability that I choose to deal with in these Reasons for Judgment brings together the attack on the plaintiff's testimonial reliability and the defendants' pleading of a failure by the plaintiff to mitigate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a nutshell, counsel for the defendants was candid and admitted that the whole of the pleading of a failure to mitigate is grounded on an assertion that the plaintiff has failed to exercise over the years as her caregivers have advised her to do and that the success of the defendants on that issue rests entirely on my finding that the plaintiff is not to be believed when she tells me that she has in fact conscientiously undertaken exercises directed at strengthening her core. And the defendants submit that I should make just such a finding because Dr. Armstrong (Exhibit 5) found that on May 31, 2010, the plaintiff was in a condition inconsistent with her having so exercised over the last four year. The obverse, says counsel, is that if I accept that she did exercise as she tells me she did, then the de-conditioning and core weakness fundamental to Dr. Armstrong's opinion did not exist and the bottom falls out of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my opinion, the defendants' submission assumes that what the plaintiff says she undertook by way of exercises, including strengthening of her core, is the same as what Dr. Armstrong says is needed. And there is no basis in the record for such a finding by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Armstrong was not asked to detail the exercises he says are essential so that I could compare that description to the description given by the plaintiff of what she says she has in fact been doing. Dr. Armstrong was not confronted with a question drawing to his attention a certain course of exercise (that which happens to be the course of exercise described by the plaintiff) and asked whether his findings are inconsistent with an individual having so exercised or an individual having so exercised means that the basis for his opinion has vanished. And I note here that the fact that the plaintiff testified after Dr. Armstrong had left the box is neither here nor there. In the first place, the plaintiff was examined for discovery on April 12, 2010 and just what exercising she had done over the years was of interest then because of the nature of her claim. If the subject was not touched upon, so be it. A basis for formulating a question for Dr. Armstrong was lost. In addition, it was open to the defendants to ask that Dr. Armstrong be placed back in the witness box for further cross-examination after the plaintiff had testified. That was not done. And I do note that Dr. Armstrong did take the box once again - during the calling of rebuttal evidence - but no attempt was made to explore with him then what is under discussion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find nothing in the alleged conflict between the evidence of the plaintiff and the evidence of Dr. Armstrong that tends to undermine her testimonial reliability. It also follows that the defendants' allegation of a failure by the plaintiff to mitigate her loss has not been established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I said at the outset of this portion of my Reasons for Judgment, I reject the defendants attack on the plaintiff's testimonial reliability focused as it was on the plaintiff's sincerity. However, I must speak to a problem with the plaintiff's powers of narration and recollection. As to the latter, it became clear to me that the plaintiff is good at recalling the order in which things occurred or appeared in her life, but has great difficulty with the "when" of it all. I have kept that in mind. As to the former, and of much greater significance, I say as the finder of fact, that the plaintiff's power of narration is compromised by the fact, as I find it to be, that she is either an actress worthy of an Academy Award or a simple, unintelligent individual lacking in both imagination and guile and manifestly inhibited by feelings of inadequacy, all of which result in her presenting as a witness with respect to whom it must be said that what she is testifying to - and often of more importance, not testifying to - can be gauged by the trier of fact only after what falls from her lips is looked at in the light of her bearing, demeanour and body language as she says it. The record will reveal that at one point during the plaintiff's testimony I, in effect, put what is but an aspect of all of this on the record. I emphasize that assessing just what the plaintiff is testifying to involves much, much more than simply recording the words that fall from her lips. I have kept this overarching fact front and centre in my role as the trier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know this is a case in which the plaintiff asserts that she is one of that small percentage of whiplash victims whose pain and suffering continues long after the flesh must have healed and that the law demands that I be slow and cautious before accepting the proposition that she is such a one, (</w:t>
      </w:r>
      <w:r>
        <w:rPr>
          <w:rFonts w:ascii="arial" w:eastAsia="arial" w:hAnsi="arial" w:cs="arial"/>
          <w:i/>
          <w:color w:val="000000"/>
          <w:sz w:val="20"/>
          <w:lang w:val="en-US" w:eastAsia="en-US" w:bidi="ar-SA"/>
        </w:rPr>
        <w:t>Maslen v. Rubenstein</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(1993), 83 B.C.L.R. (2d) 131</w:t>
        </w:r>
      </w:hyperlink>
      <w:r>
        <w:rPr>
          <w:rFonts w:ascii="arial" w:eastAsia="arial" w:hAnsi="arial" w:cs="arial"/>
          <w:color w:val="000000"/>
          <w:sz w:val="20"/>
          <w:lang w:val="en-US" w:eastAsia="en-US" w:bidi="ar-SA"/>
        </w:rPr>
        <w:t xml:space="preserve"> at paras. 15 and 8). But I find as the trier of fact that she is just such a one, that what began as simple and anticipated-to-be transitory pain and suffering resulting from soft tissue damage to the neck, shoulders and back became chronic pain persisting to this very day. As will become clear later in these reasons when I deal with the import of my accepting, as I do, the heart of the opinion and analysis offered up by the plaintiff's expert as to the diagnosis and management of chronic pain, Dr. Armstrong, the evidence throws up what amounts to an explanation of the mechanics of an aspect of the plaintiff's chronic pain and, in addition, an explanation for the worsening of the plaintiff's </w:t>
      </w:r>
      <w:r>
        <w:rPr>
          <w:rFonts w:ascii="arial" w:eastAsia="arial" w:hAnsi="arial" w:cs="arial"/>
          <w:color w:val="000000"/>
          <w:sz w:val="20"/>
          <w:u w:val="single"/>
          <w:lang w:val="en-US" w:eastAsia="en-US" w:bidi="ar-SA"/>
        </w:rPr>
        <w:t>perception</w:t>
      </w:r>
      <w:r>
        <w:rPr>
          <w:rFonts w:ascii="arial" w:eastAsia="arial" w:hAnsi="arial" w:cs="arial"/>
          <w:color w:val="000000"/>
          <w:sz w:val="20"/>
          <w:lang w:val="en-US" w:eastAsia="en-US" w:bidi="ar-SA"/>
        </w:rPr>
        <w:t xml:space="preserve"> of her pain and suffering as the years have gone 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 turn to the evidence of Dr. Armstrong and whether the plaintiff, on whom the onus lies, has proved on a balance of probabilities that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in April and July 2006 she would not now be burdened with a large portion of her chronic pain. She has. The short point is that I accept as accurate the core of what Dr. Armstrong had to tell me. But my referring to a "large portion" of the plaintiff's chronic pain rather than simply her "chronic pain" flows from the fact that:</w:t>
      </w:r>
      <w:r>
        <w:rPr>
          <w:rFonts w:ascii="arial" w:eastAsia="arial" w:hAnsi="arial" w:cs="arial"/>
          <w:sz w:val="20"/>
          <w:lang w:val="en-US" w:eastAsia="en-US" w:bidi="ar-SA"/>
        </w:rPr>
        <w:cr/>
      </w:r>
    </w:p>
    <w:p>
      <w:pPr>
        <w:numPr>
          <w:numId w:val="1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 Armstrong recognized that the plaintiff is burdened with physical problems that are unrelated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w:t>
      </w:r>
    </w:p>
    <w:p>
      <w:pPr>
        <w:numPr>
          <w:numId w:val="1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accepted the core of Dr. Armstrong's evidence I am not prepared to accept some of what I view to be the outer reaches of that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will now descend to the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heart of what Dr. Armstrong had to tell me as to causation can be gleaned from this excerpt from his Rule 11 report (Exhibit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CONCLUSIONS BASED ON THE PRECEDING FACTS, ASSUMPTIONS AND OPINIONS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A. Factors present before, at the time of, and after the MVAs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my review of the Documents and my assessment of Ms. van den Hemel, it appeared to me that, at the time of each MVA, she had significant pre-existing issues related to her physical and mental health that would likely have influenced the impact of each MVA on her body and mind. At the time of MVA- 1, her mental and physical health was clearly compromised following the diagnosis and treatment of her breast cancer as well as by the psychosocial challenges she faced as an unemployed single parent of three children with inadequate financial support and unstable housing.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treatment of her breast cancer, her physical difficulties were related primarily to the right shoulder, chest and upper extremity. As well, she likely had previously begun to experience the onset of plantar fascitis in her left foot, a condition she was prone to develop owing to excessive ankle pronation.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Previous childbirth and a tendency to joint laxity possibly rendered her more susceptible to sacroiliac joint injury.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B. Understanding her condition and diagnoses relative to her injuries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Chronic axial (neck and back) myofascial disorder</w:t>
      </w:r>
      <w:r>
        <w:rPr>
          <w:rFonts w:ascii="arial" w:eastAsia="arial" w:hAnsi="arial" w:cs="arial"/>
          <w:color w:val="000000"/>
          <w:sz w:val="20"/>
          <w:lang w:val="en-US" w:eastAsia="en-US" w:bidi="ar-SA"/>
        </w:rPr>
        <w:t xml:space="preserve">, a soft tissue condition (also involving her TMJs, shoulders and her pelvic girdle) that is (i) </w:t>
      </w:r>
      <w:r>
        <w:rPr>
          <w:rFonts w:ascii="arial" w:eastAsia="arial" w:hAnsi="arial" w:cs="arial"/>
          <w:color w:val="000000"/>
          <w:sz w:val="20"/>
          <w:u w:val="single"/>
          <w:lang w:val="en-US" w:eastAsia="en-US" w:bidi="ar-SA"/>
        </w:rPr>
        <w:t>associated with</w:t>
      </w:r>
      <w:r>
        <w:rPr>
          <w:rFonts w:ascii="arial" w:eastAsia="arial" w:hAnsi="arial" w:cs="arial"/>
          <w:color w:val="000000"/>
          <w:sz w:val="20"/>
          <w:lang w:val="en-US" w:eastAsia="en-US" w:bidi="ar-SA"/>
        </w:rPr>
        <w:t xml:space="preserve"> shortening of muscles and ligaments (stiffness), increased and unbalanced resting and active muscle tensions, muscle and ligament discomfort and irritability (pain, tenderness, spasm and trigger point activity), and muscular weakness and fatigue; (ii) </w:t>
      </w:r>
      <w:r>
        <w:rPr>
          <w:rFonts w:ascii="arial" w:eastAsia="arial" w:hAnsi="arial" w:cs="arial"/>
          <w:color w:val="000000"/>
          <w:sz w:val="20"/>
          <w:u w:val="single"/>
          <w:lang w:val="en-US" w:eastAsia="en-US" w:bidi="ar-SA"/>
        </w:rPr>
        <w:t>aggravated by</w:t>
      </w:r>
      <w:r>
        <w:rPr>
          <w:rFonts w:ascii="arial" w:eastAsia="arial" w:hAnsi="arial" w:cs="arial"/>
          <w:color w:val="000000"/>
          <w:sz w:val="20"/>
          <w:lang w:val="en-US" w:eastAsia="en-US" w:bidi="ar-SA"/>
        </w:rPr>
        <w:t xml:space="preserve"> abnormal spinal postures and muscular deconditioning related to the coping tactic of pain avoidance and by increased tension in the muscles of the TMJs, neck, shoulders and back secondary to periods of heightened anxiety that help to sustain an increase in the activity of the sympathetic nervous system (adrenaline drive for "fight or flight"); and (iii) </w:t>
      </w:r>
      <w:r>
        <w:rPr>
          <w:rFonts w:ascii="arial" w:eastAsia="arial" w:hAnsi="arial" w:cs="arial"/>
          <w:color w:val="000000"/>
          <w:sz w:val="20"/>
          <w:u w:val="single"/>
          <w:lang w:val="en-US" w:eastAsia="en-US" w:bidi="ar-SA"/>
        </w:rPr>
        <w:t>perpetuated by</w:t>
      </w:r>
      <w:r>
        <w:rPr>
          <w:rFonts w:ascii="arial" w:eastAsia="arial" w:hAnsi="arial" w:cs="arial"/>
          <w:color w:val="000000"/>
          <w:sz w:val="20"/>
          <w:lang w:val="en-US" w:eastAsia="en-US" w:bidi="ar-SA"/>
        </w:rPr>
        <w:t xml:space="preserve"> by core weakness and by sacroiliac joint dysfunction, the effects of which conditions are. felt not only in the low back but are also transmitted up the spine through the continuum created by the axial bony and soft tissues. It is unlikely this condition was present before MVA-1.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following complications of (1) have arisen: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Myofascial tension headaches</w:t>
      </w:r>
      <w:r>
        <w:rPr>
          <w:rFonts w:ascii="arial" w:eastAsia="arial" w:hAnsi="arial" w:cs="arial"/>
          <w:color w:val="000000"/>
          <w:sz w:val="20"/>
          <w:lang w:val="en-US" w:eastAsia="en-US" w:bidi="ar-SA"/>
        </w:rPr>
        <w:t xml:space="preserve"> likely caused by shortening and residual (but latent) myofascial trigger point activity in her trapezius muscles which are located at the back and base of the neck, across the shoulders and down the back as far as the 12th thoracic vertebra, and in her suboccipital, semispinalis cervicis, and splenius cervicis muscles at the back of her neck. Because of her daily use of short-acting analgesic medication, her headaches are likely complicated and perpetuated, at least in part, by rebound phenomena related to medication use, so-called medication-induced headache.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(ii) A myofascial tension myalgia</w:t>
      </w:r>
      <w:r>
        <w:rPr>
          <w:rFonts w:ascii="arial" w:eastAsia="arial" w:hAnsi="arial" w:cs="arial"/>
          <w:color w:val="000000"/>
          <w:sz w:val="20"/>
          <w:lang w:val="en-US" w:eastAsia="en-US" w:bidi="ar-SA"/>
        </w:rPr>
        <w:t xml:space="preserve"> with pain, tenderness, tightness and spasm in the muscles of the TMJs, neck, upper chest, shoulders, and upper, mid- and low back. This complication has likely had an aggravating effect on the pain and stiffness in her right shoulder, chest and upper extremity that was caused previously by the treatment of her breast cancer.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chronic axial myofascial disorder has improved somewhat over time but she has yet to return to her condition as it was before MVA-1. Her residual complaints and findings related to the chronic axial myofascial disorder were worse after MVA-2 and have been sustained overall by (a) inadequately restored core strength which has likely been diminished for several years now since MVA-1 and (b) by previously undiagnosed and untreated sacroiliac joint dysfunction.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the MVAs, she has been plateaued in her recovery for a lengthy time because, as far as I could tell, her rehabilitation has been inadequate in the absence of a full and comprehensive diagnosis including sacroiliac joint dysfunction. In my opinion, absent targeted active therapy, she has yet to reach maximum medical improvement.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I examined her, I found no active myofascial trigger points but this does not rule out that her muscles are harboring latent ones that likely become active only under certain conditions, for example, when she is more active, fatigued or stressed.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Sacroiliac joint dysfunction</w:t>
      </w:r>
      <w:r>
        <w:rPr>
          <w:rFonts w:ascii="arial" w:eastAsia="arial" w:hAnsi="arial" w:cs="arial"/>
          <w:color w:val="000000"/>
          <w:sz w:val="20"/>
          <w:lang w:val="en-US" w:eastAsia="en-US" w:bidi="ar-SA"/>
        </w:rPr>
        <w:t>, causing spinopelvic instability and misalignment that have retarded the recovery of core strength. It is unlikely this condition was present before MVA-1.</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Patellofemoral pain syndrome</w:t>
      </w:r>
      <w:r>
        <w:rPr>
          <w:rFonts w:ascii="arial" w:eastAsia="arial" w:hAnsi="arial" w:cs="arial"/>
          <w:color w:val="000000"/>
          <w:sz w:val="20"/>
          <w:lang w:val="en-US" w:eastAsia="en-US" w:bidi="ar-SA"/>
        </w:rPr>
        <w:t xml:space="preserve"> (PFPS) affecting both knees, owing to weakness in the quadriceps muscles from deconditioning related to pain avoidance, for example use of a cane.. This condition was likely not present before MVA-1.</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Bilateral plantar fascitis</w:t>
      </w:r>
      <w:r>
        <w:rPr>
          <w:rFonts w:ascii="arial" w:eastAsia="arial" w:hAnsi="arial" w:cs="arial"/>
          <w:color w:val="000000"/>
          <w:sz w:val="20"/>
          <w:lang w:val="en-US" w:eastAsia="en-US" w:bidi="ar-SA"/>
        </w:rPr>
        <w:t xml:space="preserve"> likely present to a mild degree before the MVAs, especially in the left foot, but likely worse thereafter owing to further overall deconditioning.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 Pain in the wrists, hands and fingers</w:t>
      </w:r>
      <w:r>
        <w:rPr>
          <w:rFonts w:ascii="arial" w:eastAsia="arial" w:hAnsi="arial" w:cs="arial"/>
          <w:color w:val="000000"/>
          <w:sz w:val="20"/>
          <w:lang w:val="en-US" w:eastAsia="en-US" w:bidi="ar-SA"/>
        </w:rPr>
        <w:t xml:space="preserve"> likely secondary to the early onset of osteoarthropathy unrelated to the MVAs.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 Pain at the back of both elbows</w:t>
      </w:r>
      <w:r>
        <w:rPr>
          <w:rFonts w:ascii="arial" w:eastAsia="arial" w:hAnsi="arial" w:cs="arial"/>
          <w:color w:val="000000"/>
          <w:sz w:val="20"/>
          <w:lang w:val="en-US" w:eastAsia="en-US" w:bidi="ar-SA"/>
        </w:rPr>
        <w:t>, likely caused by shortening of the triceps tendons as part of (1).</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 Status post-partial right-sided mastectomy, axillary lymph node dissection and radiation for breast cancer</w:t>
      </w:r>
      <w:r>
        <w:rPr>
          <w:rFonts w:ascii="arial" w:eastAsia="arial" w:hAnsi="arial" w:cs="arial"/>
          <w:color w:val="000000"/>
          <w:sz w:val="20"/>
          <w:lang w:val="en-US" w:eastAsia="en-US" w:bidi="ar-SA"/>
        </w:rPr>
        <w:t xml:space="preserve"> with somatic and neuropathic pain restricting movement in the right shoulder present before the MVAs, the restriction of movement shifting to the left shoulder as well as being aggravated overall by the further development of chronic myofascial pain after the MVAs.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8. Chronic pain and its complications</w:t>
      </w:r>
      <w:r>
        <w:rPr>
          <w:rFonts w:ascii="arial" w:eastAsia="arial" w:hAnsi="arial" w:cs="arial"/>
          <w:color w:val="000000"/>
          <w:sz w:val="20"/>
          <w:lang w:val="en-US" w:eastAsia="en-US" w:bidi="ar-SA"/>
        </w:rPr>
        <w:t xml:space="preserve"> including a possible increase in sensitivity to pain (peripheral and/or central nervous system sensitization) and a likely increase in emotional distress (depression and anxiety) and further interference with sleep, the latter likely resulting in increased daytime fatigue and some cognitive difficulties. The overall pain experience and the speed of recovery are often adversely affected by these complications but this should not be misconstrued in a way that suggests the pain is somehow psychological or the patient is malingering. Currently, it would appear that she is coping better and likely no longer meets the criteria for an Adjustment Disorder although she continues to exhibit cognitive distortions that are likely getting in the way of her recovery.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increased sensitivity to pain occurs in susceptible individuals who are exposed to persistent pain and likely results from functional and structural neuroplastic changes that alter the way pain signals are initiated and processed in the nervous system. In many patients these neuroplastic changes appear to be maintained and to be irreversible so that pain actually becomes a neurological disease, meaning the prospects for the individual ever becoming pain-free are very guarded.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extreme example of such neuroplastic change is FMS which, although it has been suggested by others as a diagnosis, Ms. van den Hemel, in my opinion, appears fortunately not to have developed. Except when clinical features of neuropathic pain are present, it is difficult, in the current state of our knowledge, to know for certain if a person suffering from chronic pain is or will be susceptible to neuroplastic change and the development of an increased neurological sensitivity to pain. In my opinion, the pain she experienced following treatment for her breast cancer had a neuropathic component so I would say that she likely is susceptible to developing neuroplastic change. It is hoped that, in future, MRI may help to determine this susceptibility and demonstrate such changes.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C. Causation in respect to the MVAs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forces applied in MVA-1 to her neck, back, shoulders and pelvic girdle were likely sufficiently severe to overload her axial soft tissues and her sacroiliac joints (her injuries) and to establish an acute axial myofascial disorder that became chronic owing largely to the aggravating effect of MVA-2 and the perpetuating effects of sacroiliac joint dysfunction, the development of increased muscle tension secondary to the increased emotional distress related to the MVAs, and the abnormal posturing and physical deconditioning consequent to pain avoidance. Her pain that was occasioned by her injuries sustained in the MVAs has become persistent and has been added to her pre-existing burden of chronic pain that followed her treatment for breast cancer. Owing to the MVAs there has been a material aggravation of the complications of chronic pain I have described.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it is likely that sacroiliac joint dysfunction was (a) initiated by the MVA-1 and was materially aggravated by the MVA-2.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Absent the MVAs or other similar trauma, it is my opinion that, on a balance of probabilities, Ms. van den Hemel, would not have developed a chronic axial myofascial disorder, sacroiliac joint dysfunction, an increase in her pre-existing chronic pain or an augmentation of its complications I have described. Nor would she have been likely to develop elbow pain or PFPS.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defendants had the plaintiff examined by an expert of their choosing, a rheumatologist, Dr. Shojania, on June 9, 2010. The essentials of what he had to say on the point under discussion now is revealed by the following excerpt from his Rule 11 report, Exhibit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Opinion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Van Den Hemel was involved in two motor vehicle accidents (April 21, 2006 and July 18, 2006). Prior to the motor vehicle accidents she had right-sided breast cancer a year prior treated with lumpectomy, lymph node dissection and radiation. She had pain in the right shoulder and was unable to work due to right arm and shoulder dysfunction. Subsequent to the first motor vehicle accident she complains of pain approximately 8/10 in severity and subsequent to the second motor vehicle accident she complains of pain 9/10 in severity. On my assessment I find a few objective findings: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seems to be osteoarthritis possibly of the knees and of the 1st MTP joints (bunions).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some subjective (self-reported) symptoms of soft tissue aches and pains. This is difficult to assess because I also detected an element of exaggeration in that her pain is described as 9/10 in severity while she is sitting and talking with me without typical objective features of severe pain (diaphoresis, tachycardia, hypertension). Also she has demonstrated some of the findings of pain exaggeration such as general pain with light stroking or touching with a tissue paper, inconsistent straight leg raising, inconsistent back range of movement and non-organic signs of axial compression and block turning.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Having said the above I did find some features of joint inflammation in some of the MTP joints (ball of the foot) on the right side, her history of plantar fascitis, her history of right 2 MCP (index finger knuckle) inflammation, her history of a rash in the gluteal cleft (possible psoriasis) and a family history of psoriasis in her mother. Along with her elevated erythrocyte sedimentation rate (ESR) of 35 noted previously this brings to mind a diagnosis of psoriatic arthritis.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Psoriatic arthritis would be unrelated to her motor vehicle accident. Psoriatic arthritis is an inflammatory arthritis associated with psoriasis. It is a distinct clinical entity that occurs in approximately 10 to 15% of people with psoriasis. There is often a family history of psoriasis. Typical age of onset can vary from childhood to elderly onset. Typically there is a symmetric distribution of joints but there is also inflammation at tendon insertions typically at the Achilles (it sounds like she has had this in the past). She has had plantar fascitis diagnosed in the past. Plantar fascitis is a common feature of psoriatic arthritis. Psoriasis can often be present in the gluteal cleft (she describes a rash in her gluteal cleft previously though she did not have one at the time of my examination. A bone scan showed inflammation that could be in keeping with psoriatic arthritis.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answer the questions noted earlier: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History and complaints have been noted.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Diagnosis has been noted above - Osteoarthritis, subjective symptoms of soft tissue aches and pains and possibly psoriatic arthritis. The prognosis of her osteoarthritis is good. This may result in very slow progression of deformity in her toes, possibly some increasing knee pain but the majority of people with osteoarthritis continue to function at a relatively high level. With regards to her psoriatic arthritis, this is a tentative diagnosis and I have recommended that she see her primary care physician and follow-up with Dr. Kherani to review the possibility of psoriatic arthritis. If this is indeed present then she needs to be on anti-inflammatory medications and possibly disease modifying anti-rheumatic drug (DMARDS) to prevent damage and reduce inflammation.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prior/existing problem was her right breast cancer with subsequent right arm and shoulder pain resulting in work disability. A previous diagnosis of depression may contribute to her work disability however this is out of my area of expertise.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regards to time off work due to the motor vehicle accidents, it may be that she would need weeks to a maximum of two months off work subsequent to each motor vehicle accident due to possible soft tissue pain and injury. I do not find at the time of my examination that she had features of any soft tissue injuries related to the motor vehicle accident.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permanent disability with relation to the motor vehicle accident and the length of temporary disability would be approximately a maximum of two months after each motor vehicle accident.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investigations should be for psoriatic arthritis. A review by a rheumatologist would be appropriate. I have sent a separate note to her family physician recommending a review for the possibility of psoriatic arthritis.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will be no need for surgery with relation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Without ignoring anything in the evidence that bears on the question of causation and keeping firmly in hand that the law abhors simple "after this therefore because of this" reasoning, I note that:</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Armstrong made a positive finding of sacroiliac joint dysfunction on May 31, 2010;</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nowhere in the record is there evidence that another doctor ever looked for but did not find sacroiliac joint dysfunction;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Shojania made no diagnosis of psoriatic arthritis;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common ground on the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testimony of Dr. Armstrong and of Dr. Shojania that both sacroiliac joint dysfunction - its existence, significance and investigation (the Faber test, the Gillet test) - and chronic pain's sensitizing of the patient to pain are topics about which knowledgeable and reasonable medical experts differ;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Armstrong was an impressive and convincing witness and the fact is that he is one who has come down firmly on one side on each issue;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assertion that the absence of immediate, persistent and consistent complaints of </w:t>
      </w:r>
      <w:r>
        <w:rPr>
          <w:rFonts w:ascii="arial" w:eastAsia="arial" w:hAnsi="arial" w:cs="arial"/>
          <w:color w:val="000000"/>
          <w:sz w:val="20"/>
          <w:u w:val="single"/>
          <w:lang w:val="en-US" w:eastAsia="en-US" w:bidi="ar-SA"/>
        </w:rPr>
        <w:t>low</w:t>
      </w:r>
      <w:r>
        <w:rPr>
          <w:rFonts w:ascii="arial" w:eastAsia="arial" w:hAnsi="arial" w:cs="arial"/>
          <w:color w:val="000000"/>
          <w:sz w:val="20"/>
          <w:lang w:val="en-US" w:eastAsia="en-US" w:bidi="ar-SA"/>
        </w:rPr>
        <w:t xml:space="preserve"> back pain is fatal to Dr. Armstrong's opinion was met and set at nought by Dr. Armstrong's evidence to the effect that the absence of immediate, persistent and consistent </w:t>
      </w:r>
      <w:r>
        <w:rPr>
          <w:rFonts w:ascii="arial" w:eastAsia="arial" w:hAnsi="arial" w:cs="arial"/>
          <w:color w:val="000000"/>
          <w:sz w:val="20"/>
          <w:u w:val="single"/>
          <w:lang w:val="en-US" w:eastAsia="en-US" w:bidi="ar-SA"/>
        </w:rPr>
        <w:t>low</w:t>
      </w:r>
      <w:r>
        <w:rPr>
          <w:rFonts w:ascii="arial" w:eastAsia="arial" w:hAnsi="arial" w:cs="arial"/>
          <w:color w:val="000000"/>
          <w:sz w:val="20"/>
          <w:lang w:val="en-US" w:eastAsia="en-US" w:bidi="ar-SA"/>
        </w:rPr>
        <w:t xml:space="preserve"> back pain is not inconsistent with what eventually became sacroiliac joint dysfunction having been set in train by the forces applied to the plaintiff's body during the two motor vehicle accidents in question in the case at bar;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than the two motor vehicle accidents that bottom the litigation in the case at bar the record is devoid of any mention of a source of trauma that could result in significant force being applied to the plaintiff's sacroiliac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Accepting, as I do, the heart of Dr. Armstrong's opinion and analysis, but not being prepared to adopt what I view as the outer reaches of his opinion, the net result for present purposes is that I find that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the plaintiff would not have suffered from soft tissue damage to the neck, shoulders and back resulting in chronic pain which continues to this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turn to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guiding principal is this: "... the essential purpose of tort law ... is to restore the plaintiff to the position he or she would have enjoyed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need is great in this particular case to keep firmly in hand that each assessment of damages is peculiar to a particular plaintiff and that it is the difference between what that particular individual was and what he or she became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is 49 years of age. She was 45 years of age when the two motor vehicle accidents in question in the case at bar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was born in Holland. She came to Canada at the age of 12. Her schooling ended at Grade 9. Attempts thereafter to add to her education came to nothing.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From 1989 to 1994, the plaintiff worked as a salesperson at a Sears store. Before that she had had various jobs. Those jobs included working in restaurants as a bus person or a server and as a telemarketer.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May 2004, the plaintiff began working as a sales clerk at Home Depot. She was employed there until August 2005 when she had to quit because of the onset of cancer. What both the plaintiff and her Home Depot witnesses told me makes it clear that the plaintiff enjoyed her job in the Seasonal department, was good at her job, got along well with both the customers and her fellow workers and was a real asset to her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and her future husband met in 1992. They began living together in 1994. They have three daughters. Shaslin was born in 1995 and is now 15; Kasja was born in 1997 and is now 13; Tehnica was born in 1999 and is now 11 years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and her husband have had a rocky relationship. That they have separated for long periods of time over the years is obvious. His evidence as to just when they were separated clouded the picture. I have decided to look to the plaintiff's evidence for something of a chronology. I took it that they were living separate and apart from call it 2000 until August 2005. There is precision about the fact that they lived separate and apart from August 2006 until February 2009. As of the date of the trial they were still living together. Their periods of separation threw up a strange blend of court orders directed at keeping the husband away from the plaintiff, her living in shelters, and his being helpful both with the children (who had remained with the plaintiff) and household chores.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was diagnosed with breast cancer in June 2005, quit her job at the end of August, underwent surgery in September and radiation treatment in (as best I can tell) December and January 2006. She emerged from this experience with what was referred to as "frozen shoulder", i.e., a permanent defect which prevents her from making full use of her right arm. And I note that she is right-handed.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stated elsewhere, the plaintiff was involved in motor vehicle accident #1 on April 26, 2006 and motor vehicle #2 on July 18,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has not been gainfully employed outside the home since August 2005. She began receiving some form of disability payment in March 2010. Clarity exists only as to her receiving $1,449 per month and the present term of the payments being two years from March 2010. The source of the disability payments was referred to as the Provincial government. That her family doctor, Dr. Sun, endorsed the proposition that she was sufficiently disabled from working to receive the payment is clear on the evidence. Precision about exactly what level of disability was necessary to receive the payments is lacking. That something less than total disability would suffice seems to be all that one can 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As of May 2005, the plaintiff was a relatively happy and upbeat woman, happy in her job and good at it. She was the mother of three children and caring for them while separated from her husband. The plaintiff was very active. She swam, road a bike, took long walks and played Frisbee, badminton and tennis. In addition, the keeping of her house, the cooking and the cleaning largely fell to her. There was nothing of interest in her medical history. Any suggestion that while being interviewed by one Dr. Kherani the plaintiff admitted that beginning in 2004 she began to have pain over large portions of her body is rejected. The combined effect of what appears on the face of an examination for discovery conducted on April 12, 2010 (Questions 341-343) and what I took from what flowed from her cross-examination on this episode when she testified before me is that this doctor - who neither testified before me nor appeared before me by way of a Rule 11 report - simply got it wrong. The plaintiff had said no such thing. And the fact is, I find, that nothing had occurred in connection with her health that is relevant to this case prior to June 2005. And as to that what is relevant is simply that she was diagnosed with cancer and that the aftermath of her experience and treatment was with her on April 21, 2006 when the first of the two motor vehicle accidents that bottom the litigation in the case at bar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downward spiral of the plaintiff's health began with the diagnosis of cancer in June 2005. A frozen right shoulder was one of the results of the surgery in September 2005. Depression entered the picture. In April and July 2006, the plaintiff suffered soft tissue damage which resulted in pain and suffering which pain and suffering became chronic as dealt with earlier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But the plague did not stop there. She developed plantar-fascitis, pain behind both kneecaps, pain in the wrist, hand and fingers, and pain at the back of the elbows. And as to none of this do I say that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it would not have been her lot. As to some of this it is common ground that her problems cannot be driven home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as to others I am simply not convinced by Dr. Armstrong's evidence that causation has been made out. In connection with the latter, I note both simple failure by the trier of fact to find the proposition in the evidence convincing on a balance of probabilities and the lurking presence of a relevant alternative cause - Osteoarthritis - in the testimony of Dr. Shojania.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results for the plaintiff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have included, but are not limited to: pain and suffering, the ingestion of pain killers and anti-inflammatories, multiple sessions of physiotherapy in 2006, 2007 and 2010, multiple visits to her family doctor and an assessment by two treating physiatrists, and a treating rheumatologist.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results for the plaintiff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have been </w:t>
      </w:r>
      <w:r>
        <w:rPr>
          <w:rFonts w:ascii="arial" w:eastAsia="arial" w:hAnsi="arial" w:cs="arial"/>
          <w:color w:val="000000"/>
          <w:sz w:val="20"/>
          <w:u w:val="single"/>
          <w:lang w:val="en-US" w:eastAsia="en-US" w:bidi="ar-SA"/>
        </w:rPr>
        <w:t>a</w:t>
      </w:r>
      <w:r>
        <w:rPr>
          <w:rFonts w:ascii="arial" w:eastAsia="arial" w:hAnsi="arial" w:cs="arial"/>
          <w:color w:val="000000"/>
          <w:sz w:val="20"/>
          <w:lang w:val="en-US" w:eastAsia="en-US" w:bidi="ar-SA"/>
        </w:rPr>
        <w:t xml:space="preserve"> cause of the worsening of her pre-existing depression, </w:t>
      </w:r>
      <w:r>
        <w:rPr>
          <w:rFonts w:ascii="arial" w:eastAsia="arial" w:hAnsi="arial" w:cs="arial"/>
          <w:color w:val="000000"/>
          <w:sz w:val="20"/>
          <w:u w:val="single"/>
          <w:lang w:val="en-US" w:eastAsia="en-US" w:bidi="ar-SA"/>
        </w:rPr>
        <w:t>a</w:t>
      </w:r>
      <w:r>
        <w:rPr>
          <w:rFonts w:ascii="arial" w:eastAsia="arial" w:hAnsi="arial" w:cs="arial"/>
          <w:color w:val="000000"/>
          <w:sz w:val="20"/>
          <w:lang w:val="en-US" w:eastAsia="en-US" w:bidi="ar-SA"/>
        </w:rPr>
        <w:t xml:space="preserve"> cause of her subsequently developed, growing and debilitating chronic pain, </w:t>
      </w:r>
      <w:r>
        <w:rPr>
          <w:rFonts w:ascii="arial" w:eastAsia="arial" w:hAnsi="arial" w:cs="arial"/>
          <w:color w:val="000000"/>
          <w:sz w:val="20"/>
          <w:u w:val="single"/>
          <w:lang w:val="en-US" w:eastAsia="en-US" w:bidi="ar-SA"/>
        </w:rPr>
        <w:t>a</w:t>
      </w:r>
      <w:r>
        <w:rPr>
          <w:rFonts w:ascii="arial" w:eastAsia="arial" w:hAnsi="arial" w:cs="arial"/>
          <w:color w:val="000000"/>
          <w:sz w:val="20"/>
          <w:lang w:val="en-US" w:eastAsia="en-US" w:bidi="ar-SA"/>
        </w:rPr>
        <w:t xml:space="preserve"> cause of her loss of mobility, sleep disturbance, fatigue, emotional and cognitive distress, loss of capacity for lifting, sitting or standing and </w:t>
      </w:r>
      <w:r>
        <w:rPr>
          <w:rFonts w:ascii="arial" w:eastAsia="arial" w:hAnsi="arial" w:cs="arial"/>
          <w:color w:val="000000"/>
          <w:sz w:val="20"/>
          <w:u w:val="single"/>
          <w:lang w:val="en-US" w:eastAsia="en-US" w:bidi="ar-SA"/>
        </w:rPr>
        <w:t>a</w:t>
      </w:r>
      <w:r>
        <w:rPr>
          <w:rFonts w:ascii="arial" w:eastAsia="arial" w:hAnsi="arial" w:cs="arial"/>
          <w:color w:val="000000"/>
          <w:sz w:val="20"/>
          <w:lang w:val="en-US" w:eastAsia="en-US" w:bidi="ar-SA"/>
        </w:rPr>
        <w:t xml:space="preserve"> cause of her having developed, in all likelihood I find, a lowered pain threshold. As to the last, what is somewhat tentative in Dr. Armstrong's evidence is found to be fact by me after considering not just Dr. Armstrong's evidence in isolation, but the whole of the evidence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 turn to the assessment of damages for non-pecuniary loss. I have outlined some of the past from April 2006 until now. What about the future? In a nutshell, in so far as recovery from the effects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concerned the thrust of Dr. Armstrong's report is that until what he says must be done - "targeted active therapy" including </w:t>
      </w:r>
      <w:r>
        <w:rPr>
          <w:rFonts w:ascii="arial" w:eastAsia="arial" w:hAnsi="arial" w:cs="arial"/>
          <w:color w:val="000000"/>
          <w:sz w:val="20"/>
          <w:u w:val="single"/>
          <w:lang w:val="en-US" w:eastAsia="en-US" w:bidi="ar-SA"/>
        </w:rPr>
        <w:t>active</w:t>
      </w:r>
      <w:r>
        <w:rPr>
          <w:rFonts w:ascii="arial" w:eastAsia="arial" w:hAnsi="arial" w:cs="arial"/>
          <w:color w:val="000000"/>
          <w:sz w:val="20"/>
          <w:lang w:val="en-US" w:eastAsia="en-US" w:bidi="ar-SA"/>
        </w:rPr>
        <w:t xml:space="preserve"> not passive therapy, </w:t>
      </w:r>
      <w:r>
        <w:rPr>
          <w:rFonts w:ascii="arial" w:eastAsia="arial" w:hAnsi="arial" w:cs="arial"/>
          <w:color w:val="000000"/>
          <w:sz w:val="20"/>
          <w:u w:val="single"/>
          <w:lang w:val="en-US" w:eastAsia="en-US" w:bidi="ar-SA"/>
        </w:rPr>
        <w:t>supervised</w:t>
      </w:r>
      <w:r>
        <w:rPr>
          <w:rFonts w:ascii="arial" w:eastAsia="arial" w:hAnsi="arial" w:cs="arial"/>
          <w:color w:val="000000"/>
          <w:sz w:val="20"/>
          <w:lang w:val="en-US" w:eastAsia="en-US" w:bidi="ar-SA"/>
        </w:rPr>
        <w:t xml:space="preserve"> stretching and posture improvement, aligning and stabilizing exercise, the use of a sacral belt and bio feedback - is done, and done for at least a year, improvement remains (for the purposes of the law) but a real and substantial possibility. It is my opinion that for this determined woman who has, in Dr. Armstrong, found someone who believes he knows what may well improve her lot substantially, the prognosis is not bleak but guarded.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 have considered the case law placed before me by counsel. I have kept front and center the fact that the plaintiff is entitled to no more than to be placed in the position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 have kept front and center both the state of the plaintiff's physical and mental health before the advent of the motor vehicle accidents and the onset after the date of the first motor vehicle accident of problems with her health that are unrelated to the motor vehicle accident. The diverse sources of the downward spiral of the plaintiff's health since the summer of 2005 means that there is a measurable risk approaching certainty that even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significant degree of pain, suffering, discomfort, loss of mobility and all the rest of it would have been, and would continue to be, the plaintiff's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Having considered the whole of what was placed before me during the trial, and applying the applicable law, I award the plaintiff $75,000 by way of non-pecuniary damages. And I note that in arriving at that figure I did not forget that apart from all else the plaintiff hurt her hand during one of the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turn to the assessment of damages for loss of the value of the work that the plaintiff would have performed but was unable to perform because of the plaintiff's injuries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Because the plaintiff was not employed after August 2005, had restricted mobility of the right arm resulting from her breast cancer surgery in September 2005, suffered the onset of depression by early 2006, was at least partially disabled from working by January 2006 in the opinion of her family physician, Dr. Sun, had debilitating setbacks which are unrelated to the motor vehicle accident, was found to be sufficiently disabled from working in Dr. Sun's opinion that by March 2010 she was receiving time-restricted disability payments and was, as of August 2005, a person whose lack of education and training restricted her to entry-level jobs in which the ability to stand on one's feet for hours on end (or sit at a desk with telephone in hand for hours on end) and be pleasant and helpful with customers is essential, the fact that proof on a balance of probabilities of the plaintiff's claim is not in issue looms large.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Real and substantial possibilities - both pro and con - must be taken into consideration and given weight according to their relative likelihood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paras. 23-38). That is so because albeit I am dealing with the past I must consider what might have occurred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plaintiff's capacity to earn income as of August 2005 may be got at by beginning with her income while working for Home Depot in 2004-2005. The plaintiff told me she worked at Home Depot from May 2004 until the end of August 2005. Exhibit 8 reveals 2004 income of $11,965. Exhibit 9 reveals 2005 income of $12,238. On a 12-month basis her income was call it $18,000 ($1,512 x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Were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responsible for all of the plaintiff's problems the plaintiff would be entitled to an award of damages for past lost opportunity to earn income of $78,000 ($1,512 x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But the law demands that I ignore none of the factors that bear on lost capacity to earn income because of the over-arching need to restrict the award of damages to only what was lost to the plaintiff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What is afoot is an assessment based on judgment after the weighing of all that bears on the issue. In my opinion an award of $40,000 is fair to both the plaintiff and the defendants. That is the award for past, lost opportunity to earn income, i.e.,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If counsel cannot agree on the result, for this case, of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and the need for notional income tax to be deducted from the gross award for past lost income, they will have to get back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turn to the assessment of damages for loss of or diminishing of the capacity to earn income in the future. I note at the outset that no vocational or work capacity assessment has been placed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will not repeat here what I have said elsewhere. I will simply add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 noted above, the prognosis may be summarized as not hopeless but guarded. In addition, I am satisfied from all I saw of the plaintiff that her desire to do whatever she can by way of making a contribution to her family's well being is great.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is 49. Assuming that absent all of her problems the plaintiff would have worked until age 65, 16 years are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 have considered the familiar case law that has application to the assessing of damages for loss of or diminution of the capacity to earn income in the future. More particularly, I have considered the cases cited by counsel: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Pallos v. ICBC</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All approaches to arriving at an award are arbitrary. Pure calculation is eschewed by the law. An economist's multiplier (Exhibit 11) is only an aid, a place to perhaps begin.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If the whole of the plaintiff's problem with her capacity to earn income in the future would not be hers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an award in the area of $200,000 would be in order. In my opinion, in the case at bar an award of $100,000 would be fair to the plaintiff and to the defendants. In the result, that is the award for loss of or diminution of the capacity to earn income in the future i.e.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turn to the assessment of damages for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must focus on what is medically necessary and likely to be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evidence of Dr. Armstrong supports a conclusion that an award that encompasses the cost of a sacral belt, physiotherapy, counselling and a pedometer is - as the plaintiff submits - in order. A figure that emerges from the evidence is call it $8,000. That is the award, $8,000.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turn to the assessment of damages for loss of the capacity to undertake housekeeping. The case at bar falls into that basket of cases in which members of the family fill in for the plaintiff and there is no hiring of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That the plaintiff's capacity has been severely undermined is clear from the evidence of herself, her husband and, very usefully, her daughter Shaslin.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There is a paucity of evidence on which to base the quantum of an award. On the other hand, in </w:t>
      </w:r>
      <w:r>
        <w:rPr>
          <w:rFonts w:ascii="arial" w:eastAsia="arial" w:hAnsi="arial" w:cs="arial"/>
          <w:i/>
          <w:color w:val="000000"/>
          <w:sz w:val="20"/>
          <w:lang w:val="en-US" w:eastAsia="en-US" w:bidi="ar-SA"/>
        </w:rPr>
        <w:t>Campbell v. Banman</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2009 BCCA 484</w:t>
        </w:r>
      </w:hyperlink>
      <w:r>
        <w:rPr>
          <w:rFonts w:ascii="arial" w:eastAsia="arial" w:hAnsi="arial" w:cs="arial"/>
          <w:color w:val="000000"/>
          <w:sz w:val="20"/>
          <w:lang w:val="en-US" w:eastAsia="en-US" w:bidi="ar-SA"/>
        </w:rPr>
        <w:t>, the Court of Appeal makes plain that what really matters is not arithmetic based on figures thrown up by the evidence but an assessment of the loss keeping in mind both the need for judgment and the fact that there has not been any actual expenditure.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Having considered the whole of it it is my opinion that an award of $10,000 given under this discrete head of damages would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That is the amount of damages for loss of housekeeping capacity,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turn to the plaintiff's claim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evidence in this area is sparse. The plaintiff's claim is correspondingly modest, i.e., $820.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award $820 by way of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As demanded by the case law I "step away" and look at the overall award for reasonableness in the circumstances. In my opinion it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If counsel are not able to agree on any ancillary matters they will have to get back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A.M. STEWART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4"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05" w:history="1">
        <w:r>
          <w:rPr>
            <w:rFonts w:ascii="arial" w:eastAsia="arial" w:hAnsi="arial" w:cs="arial"/>
            <w:b/>
            <w:bCs/>
            <w:i/>
            <w:color w:val="0077CC"/>
            <w:kern w:val="32"/>
            <w:sz w:val="28"/>
            <w:szCs w:val="32"/>
            <w:u w:val="single"/>
            <w:shd w:val="clear" w:color="auto" w:fill="FFFFFF"/>
            <w:lang w:val="en-US" w:eastAsia="en-US" w:bidi="ar-SA"/>
          </w:rPr>
          <w:t>Wong v. South Coast British Columbia Transportation Authority (c.o.b. Translink), [2013] B.C.J. No. 1358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J.A. Power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5-9, 2012; May 3,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25,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M104364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1358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1118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229 A.C.W.S. (3d) 586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47 M.V.R. (6th) 289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CarswellBC 1924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Yin Kung Wong, Plaintiff, and South Coast British Columbia Transportation Authority doing business as Translink, Coast Mountain Bus, Company Ltd., and Kristopher Pinnell,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5"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2" w:name="Keywords_5"/>
      <w:bookmarkEnd w:id="42"/>
      <w:r>
        <w:rPr>
          <w:rFonts w:ascii="arial" w:eastAsia="arial" w:hAnsi="arial" w:cs="arial"/>
          <w:b/>
          <w:color w:val="000000"/>
          <w:sz w:val="20"/>
          <w:lang w:val="en-US" w:eastAsia="en-US" w:bidi="ar-SA"/>
        </w:rPr>
        <w:t xml:space="preserve">Damages — Physical and psychological injuries — Physical injuries — Body injuries — Considerations impacting on award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Wong for damages arising from fall that was caused when defendant bus driver pulled abruptly into traffic allowed in part — Driver failed to ensure 81-year-old Wong was at her seat or securely standing before he set bus in motion — Wong 25 per cent contributorily negligent for entering bus through rear doors and not holding on as she made her way to her seat — Wong broke hip from fall — Following fall, Wong unable to live independently — Wong awarded $67,500 in general damages, $30,000 in future care costs and $17,107 in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Special damages — Expenses and expenditures — Non-pecuniary loss — Pain and suffering — Action by Wong for damages arising from fall that was caused when defendant bus driver pulled abruptly into traffic allowed in part — Driver failed to ensure 81-year-old Wong was at her seat or securely standing before he set bus in motion — Wong 25 per cent contributorily negligent for entering bus through rear doors and not holding on as she made her way to her seat — Wong broke hip from fall — Following fall, Wong unable to live independently — Wong awarded $67,500 in general damages, $30,000 in future care costs and $17,107 in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Motor vehicles — Liability of driver — Action by Wong for damages arising from fall that was caused when defendant bus driver pulled abruptly into traffic allowed in part — Driver breached standard of care by failing to ensure 81-year-old Wong was at her seat or securely standing before he set bus in motion — Wong 25 per cent contributorily negligent for entering bus through rear doors and not holding on as she made her way to her seat — Wong suffered broken hip from fall and was no longer able to live independently — Wong awarded damages of $114,607.</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3" w:name="Case Summary_5"/>
            <w:bookmarkEnd w:id="4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Wong for damages arising from a fall she alleged was caused by the defendant bus driver, Pinnell. Wong had broken her hip when she fell on a city bus. At trial, two different versions of what happened emerged. According to Wong, who was 81 years old at the time of the incident, she was travelling with her sister and husband and boarded through the rear doors. She then went to the front of the bus to have her husband's ticket time stamped. At that time she also asked the driver if she could get off at a particular street. The bus was stationary at that point. As she turned to go back to her seat, she took about two steps when without warning to her the driver pulled out into traffic in an abrupt motion. Wong did not have sufficient time to return to her seat and was not holding on to anything when she fell. According to the driver, he said that he had not seen Wong prior to hearing a thud and seeing her lying on the floor. He said it was his usual practice to check to see if anyone was standing prior to pulling into traffic, which he did on this date. One other passenger from the bus testified. Aspects of his evidence corroborated the driver's version of events. Wong required surgery on her hip following the fall. She had previously been a very active senior and lived independently. Following the accident, she could no longer travel independently and moved into a senior's residence that provided a higher level of care than in her previous senior's residence. The issues before the Court were (1) whether the injuries suffered by Wong had been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Pinnell, (2) if so, whether Wong had been contributorily negligent, and (3) the amount of damages to which she was entitled.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4" w:name="Holdings of Court_5"/>
            <w:bookmarkEnd w:id="44"/>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preferred Wong's version of events as to how the fall occurred. Her version accorded with common sense and with the preponderance of the probabilities evident from the evidence at trial. With respect to the driver's evidence, there were numerous internal inconsistencies that arose at trial in direct and cross-examination, and inconsistencies between the trial evidence and what the driver had recorded in his incident report. As such, the Court afforded little weight to his evidence. In the circumstances, the Court found that the driver should have been aware that Wong was elderly and not yet at her seat before he abruptly pulled out into traffic. The driver breached the standard of care of a reasonably prudent bus driver when he pulled into traffic without warning Wong that he was about to do so and without doing an adequate visual check to ensure that Wong had returned to her seat or was securely standing. However, the Court also found Wong negligent in entering through the rear doors and in not holding on to anything as she returned to her seat. Accordingly, Wong was held 25 per cent liable and the driver was held 75 per cent liable. In terms of damages, Wong was awarded $67,500 in general damages, $30,000 in future care costs and $17,107 in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5" w:name="Counsel_5"/>
      <w:bookmarkEnd w:id="4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6"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J.M. Cameron and D.M. Mah.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G.S. Sandhu.</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6" w:name="Judgment_5"/>
      <w:bookmarkEnd w:id="46"/>
      <w:r>
        <w:pict>
          <v:line id="_x0000_s1057" style="position:absolute;z-index:2517667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7" w:name="J.A. POWER J."/>
            <w:bookmarkEnd w:id="47"/>
            <w:r>
              <w:rPr>
                <w:rFonts w:ascii="arial" w:eastAsia="arial" w:hAnsi="arial" w:cs="arial"/>
                <w:b/>
                <w:color w:val="000000"/>
                <w:sz w:val="30"/>
                <w:lang w:val="en-US" w:eastAsia="en-US" w:bidi="ar-SA"/>
              </w:rPr>
              <w:t>J.A. POWER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Yin Kung Wong ("Ms. Wong") fell and broke her hip, while riding a city bus in Vancouver on August 31, 2009. She alleges that the bus accelerated abruptly and without warning before she had a chance to be seated. She was 81 years old at the time of the incident. Ms. Wong seeks damages for pain and suffering, future care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bus was driven by the defendant Kristopher Pinnell and was operated by South Coast British Columbia Transportation Authority doing business as Translink, Coast Mountain Bus Company Ltd. The defendants deny that any incident which could be characterized as abrupt or unexpected occurred. They deny any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 the alternative argue that Ms. Wong was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following issues arise in this case:</w:t>
      </w:r>
      <w:r>
        <w:rPr>
          <w:rFonts w:ascii="arial" w:eastAsia="arial" w:hAnsi="arial" w:cs="arial"/>
          <w:sz w:val="20"/>
          <w:lang w:val="en-US" w:eastAsia="en-US" w:bidi="ar-SA"/>
        </w:rPr>
        <w:cr/>
      </w:r>
    </w:p>
    <w:p>
      <w:pPr>
        <w:numPr>
          <w:numId w:val="1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injuries suffered by Ms. Wong were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Pinnell and if so;</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Ms. Wong was contributorily negligent;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damages (if any) that should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part of the analysis of the issues, the fact finding process is important since there are two distinct accounts of how the accident occurred. The first version is the account of the incident by the plaintiff and her husband Robert Tang. The defence argues in contrast that the version of the defendant Mr. Pinnell is supported by the independent witness Mr. Kirkey and should be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undertaking the fact-finding process, I must keep in mind the guidance from the Court of Appeal in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at para.11, that I must consider the preponderance of the probabilities evident in the circumstances and that I must consider the evidence as a whole. I must also keep in mind that truthfulness and reliability are not necessarily synonymous which is particularly important in a case like this since it is my view that all of the witnesses were doing their best to be truthful.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Ms.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Wong and her husband Robert testified with the aid of a Cantonese interpreter. Ms. Wong was 84 years of age at the time of trial and 81 years of age at the time of the fall. She was an articulate woman who appeared younger than her 84 years. Ms. Wong testified that everyone told her that "... she didn't look 80". I would agree, however it is clear from her appearance that she is a senior citizen.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Wong was an experienced rider of the bus system in Vancouver. She had an annual pass and rode the bus about three times per week. In her testimony, Ms. Wong noted that in twenty to thirty years of riding the bus she had never experienced a similar event nor suffered any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the day of the fall, August 31, 2009, Ms. Wong was coming from Richmond where she had dim sum with her husband and her younger sister. She was travelling with both her husband and her sister at the time of the incident. She had taken the Canada Line from Richmond and exited at the City Hall stop located at the southeast corner of West Broadway and Cambie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Wong crossed the street to the northwest corner of the intersection and boarded a double length 99 B-line bus. She boarded through the rear doors of the bus. She acknowledged in cross-examination that she was aware that the best way to access courtesy seats reserved for elderly and disabled passengers was to enter the front of the bus. As she entered the back doors, she assisted her husband in getting settled in a seat close to the door. She described the bus as being quite empty with about twenty people on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Once her husband was seated, Ms. Wong took her husband's ticket book to the front of the bus to get his ticket time stamped. Since Ms. Wong and her sister had passes, the passes did not need to be stamped. Ms. Wong described the bus as absolutely stationary when she went to the front. As she stamped her husband's ticket, Ms. Wong checked with the bus driver that she could get off at MacDonald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Wong turned to go back to her husband, and took about two steps, when without warning to her the bus driver pulled out into traffic in an abrupt motion. Ms. Wong did not have sufficient time to return to her seat prior to the bus entering traffic. She was not holding on to anything when she fell. Ms. Wong fractured her hip in the fall. Various passengers called out to the bus driver to stop the bus and he stopped the bus which was proceeding westbound on Broadway. As a result of the braking Ms. Wong slid forward from the point where she fell to the front of the bus near the fare box.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Ultimately an ambulance attended. Ms. Trinkhaus, a paramedic testified at trial. She confirmed that the ambulance was dispatched at 3:20 and arrived at Broadway and Ash where the bus was stopped almost immediately. That location was less than one city block from the location where Ms. Wong boarded. A stamped ticket was retrieved from the floor of the bus and marked as an exhibit at trial. It is stamped at 3:13. Ms. Wong was taken to VGH and surgery was done on September 2,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Mr. Tang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Wong's husband Robert Tang testified at trial. He confirmed that after they boarded the bus, his wife went forward to get his ticket stamped prior to the bus being put in motion. He was 95 years at the time of trial. In my view, there was no clear evidence that can assist in determining how his wife fell. It was unclear whether he was testifying from his own memory or was testifying about the incident as described to him by his wife. It does not appear from the evidence that he was in a position to see anything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Jeff Kirkey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Kirkey is 41 years old and was presented as an independent witness by defence. He was sitting at the back of the bus when he saw an elderly Asian lady get up and move towards the front of the bus. He recalled ten to twenty passengers on the bus. He did not see the elderly lady board the bus. He said the bus was "travelling as far as I remember" meaning that the Asian lady was moving towards the front of the bus while the bus was in motion. Mr. Kirkey observed or felt a jerk on the bus that he did not know how to describe at trial. When asked in direct examination he described it as the kind of jerk that a travelling passenger would ordinarily expect. The passenger fell while making her way down the aisle.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When Mr. Kirkey observed the lady fall, he moved to the front of the bus to assist. He said that everyone else got off the bus and that he wrote his contact information on a transfer as a possible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cross-examination Mr. Kirkey indicated that he had no idea whether the lady had her ticket stamped before she fell. He recalled a strong jerk prior to the fall that could have occurred for a number of reasons. He did not know whether the jerk was strong enough to knock over the women if she was hanging on. He also did not recall telling a female paramedic that the driver had swerved to avoid an accident nor did he recall that the driver had rebutted his account in front of the paramedic. He acknowledged that both of those events could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Kristopher Pinnell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Pinnell was the bus driver operating the bus at the time of the incident. He has worked for Coast Mountain Bus Company since 2007 and was hired after a challenging hiring process which included a written application and video test. He had been driving since he completed his training in April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the day of the incident Mr. Pinnell had worked a split shift and had just recommenced his shift at 2:37. He picked up his bus in the yard and did a pre-trip inspection for safety. He did not note any problems with steering, acceleration or braking of his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Pinnell described his usual practice with respect to visual checks prior to setting the bus in motion from Broadway and Cambie. He indicated that if a person was standing, or visibly disabled for any reason he would ask the person to safeguard himself or sit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the day of the incident, Mr. Pinnell indicated that he followed his usual practice and did not note anyone standing so he proceeded into traffic. He described being in Lane 2 when he suddenly heard a thud after he crossed Broadway and Ash. He looked down and saw a lady laying on the floor. He had not seen that lady prior to that. He testified that there was nothing out of the ordinary in terms of the bus operation at the time of the "thud", however he had taken his foot off the accelerator.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Pinnell testified that as soon as he heard the "thud" and noted the lady on the floor he stopped the bus, applied the parking brake and tried to assist the fallen passenger. It was clear that the lady was vocalizing that she was unwell and another lady was assisting her. He took steps to call via the transit communication system and returned to the fallen passenger.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While he was waiting for Emergency Health Services (EHS) he had bus passengers demanding that he let them off. He did not open the doors until the EHS arrived. He described "an ocean of people" staring at him. He then moved the bus forward to curbside. He did not obtain any names of possible witnesses to the incident and described that issue in cross-examination as "secondary".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Pinnell was cross-examined extensively on an incident report which he filled out for his employer the day after the incident (Exhibit 14). A number of inconsistencies between his evidence at trial, and the incident report were brought out. Mr. Pinnell stated that he thought the bus was at least three-quarters full at trial, even though he acknowledged that he estimated 10 passengers on the incident report. He had ticked the box on the incident report indicating the passenger was holding on, even though he stated at trial that he had never seen her. Mr. Pinnell testified that he did not tick the box that the passenger was elderly because he did not see her that way. He ticked off the box indicating that Ms. Wong was carrying items, even though he did not know if the items on the floor were 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cross-examination, Mr. Pinnell denied trying to change the witness Mr. Kirkey's version of the incident, but acknowledged that he tried to discourage Mr. Kirkey from trying too hard to help by speculating as to what happened. He also conceded that he ticked the box "seated load", even though it is clear that Ms. Wong was not seated at the time of the fall. He also described the notation in the incident report indicating the accident location as between Heather/Willow as an unfortunate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cross-examination, Mr. Pinnell conceded that "it was surprising" that Ms. Wong fell one foot from the fare box and that in the time prior to the fall, he never saw anyone coming down the aisle. He acknowledged that if he had seen Ms. Wong, he would have told her to sit down. He agreed that there is a policy and procedures manual for bus drivers and that there is a policy to allow elderly people a chance to sit before moving from a stopped location. He acknowledged that at examination for discovery he did not think such a policy was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Finally, and significantly, in his description of the incident in the incident report Mr. Pinnell stated "I saw a women out of the corner of my eye come up to use the fare box" whereas at trial he stated that just past Broadway and Ash he "heard a thump next to me and saw a lady laying on the floor" and that the first time he saw her was when he looked down and saw the woman laying on the floor. He stated at trial that there was no change in the bus speed at the time of the fall and that the thump happened independent of any movement of the bus. He was not able to explain why in the incident report he had ticked the box "changing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is clear from the evidence at trial that the impact of the incident both at the time and subsequently has been significant for Mr. Pinnell. In cross-examination he confirmed that he felt he was facing termination at the time of the fall but stated that concern related to his being the victim of two prior assaults. Mr. Pinnell confirmed that after the incident he called a union steward because he was alone and that the union steward was also a friend. He stayed on the phone with the union steward even after his supervisor arrived because he was more comfortable talking to his 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Having considered all of the evidence relating to the background to the incident, I have determined that I prefer the evidence of Ms. Wong over the evidence of Mr. Pinnell and Mr. Kirkey as to how the fall occurred. As I have indicated, I am of the view that all of the witnesses were attempting to be truthful in their evidence. However, I accept the plaintiff's counsel submissions that Ms. Wong was in the best position to know what occurred prior to her fall. It is my view that her version of the incident accords with common sense and with the preponderance of the probabilities evident from the evidence at trial. There is no evidence to suggest that the fall occurred for any medical reason as suggested by the defence, and that the only explanation that makes sense is that there was an abrupt acceleration into traffic which was not expected by Ms.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defence submits that Mr. Pinnell's evidence is corroborated on all material points, however there are a number of difficulties with the defence evidence of Mr. Pinnell and Mr. Kirkey. It is my view that Mr. Kirkey's evidence is not of great assistance because of his opportunity to observe and his attention is only drawn to Ms. Wong after the fall. In addition, Mr. Kirkey's evidence is inconsistent with Mr. Pinnell's on a significant point. Mr. Pinnell stated that there were no sudden movements on the bus which could explain the fall, whereas Mr. Kirkey stated there was a sudden jolt on the bus and then Ms. Wong fell. It is my view that Mr. Kirkey's evidence is more consistent with the evidence of Ms. Wong because she describes the incident as sudden acceleration followed by sudden braking when the passengers called out to Mr. Pinnell. That is when she slid forward to the fare box.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is my view that Mr. Kirkey was not paying attention to what Ms. Wong was doing prior to the fall, nor was there any reason for him to be paying attention. It is not clear from his evidence what the cause of the sudden jolt was. It was Ms. Wong's fall which drew his attention to the incident. I am of the view that while Mr. Kirkey was trying to be helpful, his evidence is not sufficiently reliable to accord it any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Similarly, in assessing Mr. Pinnell's evidence, there are numerous internal inconsistencies that arose at trial in direct and cross-examination, and inconsistencies between the trial evidence and what Mr. Pinnell recorded in the incident report. While some inconsistencies in an incident such as this can be expected, there are so many inconsistencies present that I cannot place a great deal of weight on Mr. Pinnell's evidence. As I have indicated, I am not suggesting that Mr. Pinnell deliberately attempted to mislead the court. However, his evidence is limited because in large part he is reconstructing the event after it occurred. It is my view that his evidence was based more on his usual practice than any independent recollection of the incident. It is also clear that Mr. Pinnell was shaken and upset from the incident and other passenger's reaction to the delay which may have affected his recollection of what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Accordingly, I make the following findings based on the evidence at trial:</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Wong boarded double length 99 B-line bus from the rear doors. Ms. Wong was an experienced bus rider and she knew the best way to access seats for elderly and disabled passengers was to enter via the front doors.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Once she had her husband seated she proceeded to the front of the bus to have her husband's ticket stamped.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bus was stationary when Ms. Wong proceeded to the front of the bus.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to stamping her husband's ticket, she asked the bus driver Mr. Pinnell whether the bus stopped at MacDonald Street.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Wong turned and had taken about two steps from the fare box when the bus driver pulled into Broadway traffic in an abrupt motion.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Wong fell and passengers called out to alert Mr. Pinnell to the incident.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Pinnell abruptly braked and Ms. Wong slid forward to the fare box.</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Wong fractured her hip in the incident.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Wong was not holding onto anything at the time that she fell.</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bus stopped near Broadway and Ash, approximately one block from where the bus was boarded by Ms. Wong. Mr. Pinnell stopped the bus after passengers alerted his attention to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Principles -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Prempeh v. Boisvert</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2012 BCSC 304</w:t>
        </w:r>
      </w:hyperlink>
      <w:r>
        <w:rPr>
          <w:rFonts w:ascii="arial" w:eastAsia="arial" w:hAnsi="arial" w:cs="arial"/>
          <w:color w:val="000000"/>
          <w:sz w:val="20"/>
          <w:lang w:val="en-US" w:eastAsia="en-US" w:bidi="ar-SA"/>
        </w:rPr>
        <w:t>, Dardi J. provided a helpful summary of the standard of care owed by a public carrier. In that case, the plaintiff had just got up from her seated position in order to prepare to disembark the bus. The bus driver in that case made a "hard stop" and the plaintiff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At paras. 15 - 20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principles that govern the disposition of this case are uncontroversial. The reasonable foreseeability test informs the analysis of liability. The standard of care owed to a plaintiff passenger by a defendant bus driver is the conduct or behaviour that would be expected of a reasonably prudent bus driver in the circumstances. This is an objective test that takes into consideration both the experience of the average bus driver and anything the defendant driver knew or should have known: </w:t>
      </w:r>
      <w:r>
        <w:rPr>
          <w:rFonts w:ascii="arial" w:eastAsia="arial" w:hAnsi="arial" w:cs="arial"/>
          <w:i/>
          <w:color w:val="000000"/>
          <w:sz w:val="20"/>
          <w:lang w:val="en-US" w:eastAsia="en-US" w:bidi="ar-SA"/>
        </w:rPr>
        <w:t>Wang v. Horrod</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(1998), 48 B.C.L.R. (3d) 199</w:t>
        </w:r>
      </w:hyperlink>
      <w:r>
        <w:rPr>
          <w:rFonts w:ascii="arial" w:eastAsia="arial" w:hAnsi="arial" w:cs="arial"/>
          <w:color w:val="000000"/>
          <w:sz w:val="20"/>
          <w:lang w:val="en-US" w:eastAsia="en-US" w:bidi="ar-SA"/>
        </w:rPr>
        <w:t xml:space="preserve"> at para. 39 (C.A.); </w:t>
      </w:r>
      <w:r>
        <w:rPr>
          <w:rFonts w:ascii="arial" w:eastAsia="arial" w:hAnsi="arial" w:cs="arial"/>
          <w:i/>
          <w:color w:val="000000"/>
          <w:sz w:val="20"/>
          <w:lang w:val="en-US" w:eastAsia="en-US" w:bidi="ar-SA"/>
        </w:rPr>
        <w:t>Patoma v. Clarke</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2009 BCSC 1069</w:t>
        </w:r>
      </w:hyperlink>
      <w:r>
        <w:rPr>
          <w:rFonts w:ascii="arial" w:eastAsia="arial" w:hAnsi="arial" w:cs="arial"/>
          <w:color w:val="000000"/>
          <w:sz w:val="20"/>
          <w:lang w:val="en-US" w:eastAsia="en-US" w:bidi="ar-SA"/>
        </w:rPr>
        <w:t xml:space="preserve"> at para. 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It is well-settled on the authorities that the standard of care imposed on a public carrier is a high one. However the principle to be derived from the authorities is that the standard to be applied to the bus driver is not one of perfection nor is a defendant bus driver effectively to be an insurer for every fall or mishap that occurs on a bus: </w:t>
      </w:r>
      <w:r>
        <w:rPr>
          <w:rFonts w:ascii="arial" w:eastAsia="arial" w:hAnsi="arial" w:cs="arial"/>
          <w:i/>
          <w:color w:val="000000"/>
          <w:sz w:val="20"/>
          <w:lang w:val="en-US" w:eastAsia="en-US" w:bidi="ar-SA"/>
        </w:rPr>
        <w:t>Patoma</w:t>
      </w:r>
      <w:r>
        <w:rPr>
          <w:rFonts w:ascii="arial" w:eastAsia="arial" w:hAnsi="arial" w:cs="arial"/>
          <w:color w:val="000000"/>
          <w:sz w:val="20"/>
          <w:lang w:val="en-US" w:eastAsia="en-US" w:bidi="ar-SA"/>
        </w:rPr>
        <w:t xml:space="preserve"> at para. 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w:t>
      </w:r>
      <w:r>
        <w:rPr>
          <w:rFonts w:ascii="arial" w:eastAsia="arial" w:hAnsi="arial" w:cs="arial"/>
          <w:i/>
          <w:color w:val="000000"/>
          <w:sz w:val="20"/>
          <w:lang w:val="en-US" w:eastAsia="en-US" w:bidi="ar-SA"/>
        </w:rPr>
        <w:t>Day v. Toronto Transportation Commission</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[1940] S.C.R. 433</w:t>
        </w:r>
      </w:hyperlink>
      <w:r>
        <w:rPr>
          <w:rFonts w:ascii="arial" w:eastAsia="arial" w:hAnsi="arial" w:cs="arial"/>
          <w:color w:val="000000"/>
          <w:sz w:val="20"/>
          <w:lang w:val="en-US" w:eastAsia="en-US" w:bidi="ar-SA"/>
        </w:rPr>
        <w:t>, is the seminal case dealing with the liability of public carriers. The plaintiff, a passenger in a street car owned by the defendant, while standing and picking up a parcel in preparation to disembark, was thrown to the floor and injured by the sudden application of the emergency brake. The articulation of the standard of care was stated as follows by Hudson J. at 441: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the carrier of passengers is not an insurer, yet if an accident occurs and the passenger is injured, there is a heavy burden on the defendant carrier to establish that he had used all due, proper and reasonable care and skill to avoid or prevent injury to the passenger. The care required is of a very high degree: 4 Hals., p. 60, paras. 92 and 95. In an old case of </w:t>
      </w:r>
      <w:r>
        <w:rPr>
          <w:rFonts w:ascii="arial" w:eastAsia="arial" w:hAnsi="arial" w:cs="arial"/>
          <w:i/>
          <w:color w:val="000000"/>
          <w:sz w:val="20"/>
          <w:lang w:val="en-US" w:eastAsia="en-US" w:bidi="ar-SA"/>
        </w:rPr>
        <w:t>Jackson v. Tollett</w:t>
      </w:r>
      <w:r>
        <w:rPr>
          <w:rFonts w:ascii="arial" w:eastAsia="arial" w:hAnsi="arial" w:cs="arial"/>
          <w:color w:val="000000"/>
          <w:sz w:val="20"/>
          <w:lang w:val="en-US" w:eastAsia="en-US" w:bidi="ar-SA"/>
        </w:rPr>
        <w:t xml:space="preserve"> (1817) 2 Starkie 37, the rule was stated by Lord Ellenborough, at p. 38,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Every person who contracts for conveyance of others, is bound to use the utmost care and skill, and if, through any erroneous judgment on his part, any mischief is occasioned, he must answer for the consequences.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The principles articulated in </w:t>
      </w:r>
      <w:r>
        <w:rPr>
          <w:rFonts w:ascii="arial" w:eastAsia="arial" w:hAnsi="arial" w:cs="arial"/>
          <w:i/>
          <w:color w:val="000000"/>
          <w:sz w:val="20"/>
          <w:lang w:val="en-US" w:eastAsia="en-US" w:bidi="ar-SA"/>
        </w:rPr>
        <w:t>Day</w:t>
      </w:r>
      <w:r>
        <w:rPr>
          <w:rFonts w:ascii="arial" w:eastAsia="arial" w:hAnsi="arial" w:cs="arial"/>
          <w:color w:val="000000"/>
          <w:sz w:val="20"/>
          <w:lang w:val="en-US" w:eastAsia="en-US" w:bidi="ar-SA"/>
        </w:rPr>
        <w:t xml:space="preserve"> have been interpreted by the courts in this province as endorsing the following analytical approach -- once a passenger on a public carrier has been injured in an accident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raised and it is for the public carrier to establish that the passenger's injuries were occasioned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or that it resulted from a cause for which the carrier was not responsible: </w:t>
      </w:r>
      <w:r>
        <w:rPr>
          <w:rFonts w:ascii="arial" w:eastAsia="arial" w:hAnsi="arial" w:cs="arial"/>
          <w:i/>
          <w:color w:val="000000"/>
          <w:sz w:val="20"/>
          <w:lang w:val="en-US" w:eastAsia="en-US" w:bidi="ar-SA"/>
        </w:rPr>
        <w:t>Planidin v. Dykes</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[1984] B.C.J. No. 907</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Visanji v. Eaton and Coast Mountain Bus Co. Ltd.</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2006 BCSC 656</w:t>
        </w:r>
      </w:hyperlink>
      <w:r>
        <w:rPr>
          <w:rFonts w:ascii="arial" w:eastAsia="arial" w:hAnsi="arial" w:cs="arial"/>
          <w:color w:val="000000"/>
          <w:sz w:val="20"/>
          <w:lang w:val="en-US" w:eastAsia="en-US" w:bidi="ar-SA"/>
        </w:rPr>
        <w:t xml:space="preserve"> at para. 26.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However it must be noted that in </w:t>
      </w:r>
      <w:r>
        <w:rPr>
          <w:rFonts w:ascii="arial" w:eastAsia="arial" w:hAnsi="arial" w:cs="arial"/>
          <w:i/>
          <w:color w:val="000000"/>
          <w:sz w:val="20"/>
          <w:lang w:val="en-US" w:eastAsia="en-US" w:bidi="ar-SA"/>
        </w:rPr>
        <w:t>Fontaine v. British Columbia (Official Administrator)</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[1998] 1 S.C.R. 424</w:t>
        </w:r>
      </w:hyperlink>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46 B.C.L.R. (3d) 1</w:t>
        </w:r>
      </w:hyperlink>
      <w:r>
        <w:rPr>
          <w:rFonts w:ascii="arial" w:eastAsia="arial" w:hAnsi="arial" w:cs="arial"/>
          <w:color w:val="000000"/>
          <w:sz w:val="20"/>
          <w:lang w:val="en-US" w:eastAsia="en-US" w:bidi="ar-SA"/>
        </w:rPr>
        <w:t xml:space="preserve">, Major J. in discussing the doctrine of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in the context of a single car accident, observed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It would appear that the law would be better served if the maxim was treated as expired and no longer used as a separate component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After all, it was nothing more than an attempt to deal with circumstantial evidence. That evidence is more sensibly dealt with by the trier of fact, who should weigh the circumstantial evidence with the direct evidence, if any, to determine whether the plaintiff has established on a balance of probabilities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Once the plaintiff has done so, the defendant must present evidence negating that of the plaintiff or necessarily the plaintiff will succeed.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In </w:t>
      </w:r>
      <w:r>
        <w:rPr>
          <w:rFonts w:ascii="arial" w:eastAsia="arial" w:hAnsi="arial" w:cs="arial"/>
          <w:i/>
          <w:color w:val="000000"/>
          <w:sz w:val="20"/>
          <w:lang w:val="en-US" w:eastAsia="en-US" w:bidi="ar-SA"/>
        </w:rPr>
        <w:t>Visanji</w:t>
      </w:r>
      <w:r>
        <w:rPr>
          <w:rFonts w:ascii="arial" w:eastAsia="arial" w:hAnsi="arial" w:cs="arial"/>
          <w:color w:val="000000"/>
          <w:sz w:val="20"/>
          <w:lang w:val="en-US" w:eastAsia="en-US" w:bidi="ar-SA"/>
        </w:rPr>
        <w:t xml:space="preserve">, the court after canvassing the pertinent authorities provides the following helpful formulation of the principles which govern the determination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 public carrier: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Whether the burden upon a public carrier in cases of injury or accident sustained by a passenger can be referred to as the shifting of the burden as in </w:t>
      </w:r>
      <w:r>
        <w:rPr>
          <w:rFonts w:ascii="arial" w:eastAsia="arial" w:hAnsi="arial" w:cs="arial"/>
          <w:i/>
          <w:color w:val="000000"/>
          <w:sz w:val="20"/>
          <w:lang w:val="en-US" w:eastAsia="en-US" w:bidi="ar-SA"/>
        </w:rPr>
        <w:t>Day</w:t>
      </w:r>
      <w:r>
        <w:rPr>
          <w:rFonts w:ascii="arial" w:eastAsia="arial" w:hAnsi="arial" w:cs="arial"/>
          <w:color w:val="000000"/>
          <w:sz w:val="20"/>
          <w:lang w:val="en-US" w:eastAsia="en-US" w:bidi="ar-SA"/>
        </w:rPr>
        <w:t xml:space="preserve">, or a matter of inferences to be drawn from the evidence once the plaintiff has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carrier as articulated in </w:t>
      </w:r>
      <w:r>
        <w:rPr>
          <w:rFonts w:ascii="arial" w:eastAsia="arial" w:hAnsi="arial" w:cs="arial"/>
          <w:i/>
          <w:color w:val="000000"/>
          <w:sz w:val="20"/>
          <w:lang w:val="en-US" w:eastAsia="en-US" w:bidi="ar-SA"/>
        </w:rPr>
        <w:t>Fontaine</w:t>
      </w:r>
      <w:r>
        <w:rPr>
          <w:rFonts w:ascii="arial" w:eastAsia="arial" w:hAnsi="arial" w:cs="arial"/>
          <w:color w:val="000000"/>
          <w:sz w:val="20"/>
          <w:lang w:val="en-US" w:eastAsia="en-US" w:bidi="ar-SA"/>
        </w:rPr>
        <w:t xml:space="preserve">, it is for the defendant to present evidence to answer, or be found negligent: </w:t>
      </w:r>
      <w:r>
        <w:rPr>
          <w:rFonts w:ascii="arial" w:eastAsia="arial" w:hAnsi="arial" w:cs="arial"/>
          <w:i/>
          <w:color w:val="000000"/>
          <w:sz w:val="20"/>
          <w:lang w:val="en-US" w:eastAsia="en-US" w:bidi="ar-SA"/>
        </w:rPr>
        <w:t>Nice v. Calgary (City)</w:t>
      </w:r>
      <w:r>
        <w:rPr>
          <w:rFonts w:ascii="arial" w:eastAsia="arial" w:hAnsi="arial" w:cs="arial"/>
          <w:color w:val="000000"/>
          <w:sz w:val="20"/>
          <w:lang w:val="en-US" w:eastAsia="en-US" w:bidi="ar-SA"/>
        </w:rPr>
        <w:t xml:space="preserve"> (2000), </w:t>
      </w:r>
      <w:hyperlink r:id="rId212" w:history="1">
        <w:r>
          <w:rPr>
            <w:rFonts w:ascii="arial" w:eastAsia="arial" w:hAnsi="arial" w:cs="arial"/>
            <w:i/>
            <w:color w:val="0077CC"/>
            <w:sz w:val="20"/>
            <w:u w:val="single"/>
            <w:shd w:val="clear" w:color="auto" w:fill="FFFFFF"/>
            <w:lang w:val="en-US" w:eastAsia="en-US" w:bidi="ar-SA"/>
          </w:rPr>
          <w:t>83 Alta. L.R. (3d) 1</w:t>
        </w:r>
      </w:hyperlink>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2000 ABCA 221</w:t>
        </w:r>
      </w:hyperlink>
      <w:r>
        <w:rPr>
          <w:rFonts w:ascii="arial" w:eastAsia="arial" w:hAnsi="arial" w:cs="arial"/>
          <w:color w:val="000000"/>
          <w:sz w:val="20"/>
          <w:lang w:val="en-US" w:eastAsia="en-US" w:bidi="ar-SA"/>
        </w:rPr>
        <w:t xml:space="preserve">, at para. 46, leave to appeal to S.C.C. ref'd, </w:t>
      </w:r>
      <w:hyperlink r:id="rId213" w:history="1">
        <w:r>
          <w:rPr>
            <w:rFonts w:ascii="arial" w:eastAsia="arial" w:hAnsi="arial" w:cs="arial"/>
            <w:i/>
            <w:color w:val="0077CC"/>
            <w:sz w:val="20"/>
            <w:u w:val="single"/>
            <w:shd w:val="clear" w:color="auto" w:fill="FFFFFF"/>
            <w:lang w:val="en-US" w:eastAsia="en-US" w:bidi="ar-SA"/>
          </w:rPr>
          <w:t>[2000] S.C.C.A. No. 483</w:t>
        </w:r>
      </w:hyperlink>
      <w:r>
        <w:rPr>
          <w:rFonts w:ascii="arial" w:eastAsia="arial" w:hAnsi="arial" w:cs="arial"/>
          <w:color w:val="000000"/>
          <w:sz w:val="20"/>
          <w:lang w:val="en-US" w:eastAsia="en-US" w:bidi="ar-SA"/>
        </w:rPr>
        <w:t xml:space="preserve"> (S.C.C. Mar. 29,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Prempeh</w:t>
      </w:r>
      <w:r>
        <w:rPr>
          <w:rFonts w:ascii="arial" w:eastAsia="arial" w:hAnsi="arial" w:cs="arial"/>
          <w:color w:val="000000"/>
          <w:sz w:val="20"/>
          <w:lang w:val="en-US" w:eastAsia="en-US" w:bidi="ar-SA"/>
        </w:rPr>
        <w:t xml:space="preserve">, the court found that the bus driver's sudden and vigorous application of the brakes in context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(para. 24) and the court was not satisfied that the defendants established that the bus driver conducted himself in a reasonable and careful manner consistent with the high duty of care imposed on those engaged in public transit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Patoma v. Clark</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2009 BCSC 1069</w:t>
        </w:r>
      </w:hyperlink>
      <w:r>
        <w:rPr>
          <w:rFonts w:ascii="arial" w:eastAsia="arial" w:hAnsi="arial" w:cs="arial"/>
          <w:color w:val="000000"/>
          <w:sz w:val="20"/>
          <w:lang w:val="en-US" w:eastAsia="en-US" w:bidi="ar-SA"/>
        </w:rPr>
        <w:t>, the 68 year old plaintiff fell when the defendant bus driver put the bus in motion before the plaintiff was seated. The court in that case found that there was nothing negligent about the bus driver's failure to warn Mr. Patoma that the bus was about to start.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so finding the court said at paras. 16 and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There is no magic portal one passes through at age 65 that transforms a person from able-bodied to frail elderly. Mr. Patoma is one of those fortunate people who remains fit and healthy well past 65. As noted by Mr. Justice Barrow in </w:t>
      </w:r>
      <w:r>
        <w:rPr>
          <w:rFonts w:ascii="arial" w:eastAsia="arial" w:hAnsi="arial" w:cs="arial"/>
          <w:i/>
          <w:color w:val="000000"/>
          <w:sz w:val="20"/>
          <w:lang w:val="en-US" w:eastAsia="en-US" w:bidi="ar-SA"/>
        </w:rPr>
        <w:t>McNaught v. Alblas</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2006 BCSC 535</w:t>
        </w:r>
      </w:hyperlink>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[2006] B.C.J. No. 764</w:t>
        </w:r>
      </w:hyperlink>
      <w:r>
        <w:rPr>
          <w:rFonts w:ascii="arial" w:eastAsia="arial" w:hAnsi="arial" w:cs="arial"/>
          <w:color w:val="000000"/>
          <w:sz w:val="20"/>
          <w:lang w:val="en-US" w:eastAsia="en-US" w:bidi="ar-SA"/>
        </w:rPr>
        <w:t>, in addressing a similar case involving a fall on a bus of a 77-year-old plaintiff at para. 30: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[T]here was nothing about the plaintiff that would put a reasonable bus operator on notice that it was necessary to take any particular cautions other than those extended to every passenger prior to putting the bus in motion. The mere fact that she was elderly is not determinative of the issue. Many elderly people are able to manage safely on a bus without assistance, or without the driver being required, in order to exercise reasonable care, to allow them to be seated before putting the bus in motion.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 went on at paragraph 35: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was nothing to draw the attention of the driver to the need to take any particular precautions in relation to the plaintiff. I come to that conclusion recognizing that she was obviously elderly. She was, however, obviously, also spry and reasonably fit.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The policy that requires bus drivers to refrain from setting the bus in motion until a passenger is seated, or until they have been given a warning, is directed at passengers whose ability to hold on and remain upright is impaired by physical disability, which can include the frail elderly, or people who are inebriated, or carrying burdens, such as children or parcels. It is the degree of impairment which is determinative, not simply the age of the passenger.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my view, the </w:t>
      </w:r>
      <w:r>
        <w:rPr>
          <w:rFonts w:ascii="arial" w:eastAsia="arial" w:hAnsi="arial" w:cs="arial"/>
          <w:i/>
          <w:color w:val="000000"/>
          <w:sz w:val="20"/>
          <w:lang w:val="en-US" w:eastAsia="en-US" w:bidi="ar-SA"/>
        </w:rPr>
        <w:t>Patoma</w:t>
      </w:r>
      <w:r>
        <w:rPr>
          <w:rFonts w:ascii="arial" w:eastAsia="arial" w:hAnsi="arial" w:cs="arial"/>
          <w:color w:val="000000"/>
          <w:sz w:val="20"/>
          <w:lang w:val="en-US" w:eastAsia="en-US" w:bidi="ar-SA"/>
        </w:rPr>
        <w:t xml:space="preserve"> case is distinguishable from the case at bar. Although I find that Ms. Wong was fit and healthy for her 81 years, she was nevertheless clearly a senior citizen with some mobility impairment by reason of her advanced years. In addition, in this case, Ms. Wong had just prior to the fall spoken to Mr. Pinnell and had sought his assistance in determining whether the bus stopped at MacDonald Street. She had just left the fare box and was returning to her seat when Mr. Pinnell abruptly pulled out into traffic. In these circumstances, Mr. Pinnell should have had a heightened awareness that Ms. Wong was not yet in her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McNaught v. Alblas</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2006 BCSC 535</w:t>
        </w:r>
      </w:hyperlink>
      <w:r>
        <w:rPr>
          <w:rFonts w:ascii="arial" w:eastAsia="arial" w:hAnsi="arial" w:cs="arial"/>
          <w:color w:val="000000"/>
          <w:sz w:val="20"/>
          <w:lang w:val="en-US" w:eastAsia="en-US" w:bidi="ar-SA"/>
        </w:rPr>
        <w:t>, the court stated at paras. 3 and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 The parties do not disagree as to the applicable law. It is appropriate to first note the comments of Hudson J. in </w:t>
      </w:r>
      <w:r>
        <w:rPr>
          <w:rFonts w:ascii="arial" w:eastAsia="arial" w:hAnsi="arial" w:cs="arial"/>
          <w:i/>
          <w:color w:val="000000"/>
          <w:sz w:val="20"/>
          <w:lang w:val="en-US" w:eastAsia="en-US" w:bidi="ar-SA"/>
        </w:rPr>
        <w:t>Day v. Toronto Transportation Commission</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[1940] 4 D.L.R. 484</w:t>
        </w:r>
      </w:hyperlink>
      <w:r>
        <w:rPr>
          <w:rFonts w:ascii="arial" w:eastAsia="arial" w:hAnsi="arial" w:cs="arial"/>
          <w:color w:val="000000"/>
          <w:sz w:val="20"/>
          <w:lang w:val="en-US" w:eastAsia="en-US" w:bidi="ar-SA"/>
        </w:rPr>
        <w:t xml:space="preserve"> (S.C.C.) where he wrote: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Although the carrier of passengers is not an insurer, yet if an accident occurs and the passenger is injured, there is a heavy burden on the defendant carrier to establish that he had used all due, proper and reasonable care and skill to avoid or prevent injury to the passenger. The care required is of a very high degree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The most recent statement of the law from the Court of Appeal in this province is found in </w:t>
      </w:r>
      <w:r>
        <w:rPr>
          <w:rFonts w:ascii="arial" w:eastAsia="arial" w:hAnsi="arial" w:cs="arial"/>
          <w:i/>
          <w:color w:val="000000"/>
          <w:sz w:val="20"/>
          <w:lang w:val="en-US" w:eastAsia="en-US" w:bidi="ar-SA"/>
        </w:rPr>
        <w:t>Wang v. Harrod</w:t>
      </w:r>
      <w:r>
        <w:rPr>
          <w:rFonts w:ascii="arial" w:eastAsia="arial" w:hAnsi="arial" w:cs="arial"/>
          <w:color w:val="000000"/>
          <w:sz w:val="20"/>
          <w:lang w:val="en-US" w:eastAsia="en-US" w:bidi="ar-SA"/>
        </w:rPr>
        <w:t xml:space="preserve"> [sic] </w:t>
      </w:r>
      <w:hyperlink r:id="rId207" w:history="1">
        <w:r>
          <w:rPr>
            <w:rFonts w:ascii="arial" w:eastAsia="arial" w:hAnsi="arial" w:cs="arial"/>
            <w:i/>
            <w:color w:val="0077CC"/>
            <w:sz w:val="20"/>
            <w:u w:val="single"/>
            <w:shd w:val="clear" w:color="auto" w:fill="FFFFFF"/>
            <w:lang w:val="en-US" w:eastAsia="en-US" w:bidi="ar-SA"/>
          </w:rPr>
          <w:t>(1998), 48 B.C.L.R. (3d) 199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Wang</w:t>
      </w:r>
      <w:r>
        <w:rPr>
          <w:rFonts w:ascii="arial" w:eastAsia="arial" w:hAnsi="arial" w:cs="arial"/>
          <w:color w:val="000000"/>
          <w:sz w:val="20"/>
          <w:lang w:val="en-US" w:eastAsia="en-US" w:bidi="ar-SA"/>
        </w:rPr>
        <w:t xml:space="preserve"> ]. The law as there explained was conveniently summarized by Humphries J. in </w:t>
      </w:r>
      <w:r>
        <w:rPr>
          <w:rFonts w:ascii="arial" w:eastAsia="arial" w:hAnsi="arial" w:cs="arial"/>
          <w:i/>
          <w:color w:val="000000"/>
          <w:sz w:val="20"/>
          <w:lang w:val="en-US" w:eastAsia="en-US" w:bidi="ar-SA"/>
        </w:rPr>
        <w:t>Lawson v. British Columbia Transit Authority</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[2002] B.C.J. No. 2297</w:t>
        </w:r>
      </w:hyperlink>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2002 BCSC 1438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Lawson</w:t>
      </w:r>
      <w:r>
        <w:rPr>
          <w:rFonts w:ascii="arial" w:eastAsia="arial" w:hAnsi="arial" w:cs="arial"/>
          <w:color w:val="000000"/>
          <w:sz w:val="20"/>
          <w:lang w:val="en-US" w:eastAsia="en-US" w:bidi="ar-SA"/>
        </w:rPr>
        <w:t xml:space="preserve"> ]. There at para. 18 she said this: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once an accident has occurred, the defendant must meet the heavy burden of establishing that he used all proper and reasonable care and skill to avoid or prevent injury to the passenger. The standard of care imposed is the conduct expected of a reasonably prudent bus driver in the circumstances. The court must consider the experience of an average bus driver, as well as anything that the particular driver knew or should have known about the passenger. The standard of care required is higher when the driver knew or ought to have known that the passenger was handicapped or elderly.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all of the circumstances of the case at bar, I am of the view that Mr. Pinnell breached the standard of care of a reasonably prudent bus driver by entering traffic without warning Ms. Wong that he was about to enter traffic and without doing an adequate visual check to ensure that Ms. Wong had returned to her seat or was securely standing. In so doing he was also in breach of the Operators Policy and Procedures Manual, para 6.11.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 turn now to the question of whether or not the plaintiff was contributorily negligent. As noted in </w:t>
      </w:r>
      <w:r>
        <w:rPr>
          <w:rFonts w:ascii="arial" w:eastAsia="arial" w:hAnsi="arial" w:cs="arial"/>
          <w:i/>
          <w:color w:val="000000"/>
          <w:sz w:val="20"/>
          <w:lang w:val="en-US" w:eastAsia="en-US" w:bidi="ar-SA"/>
        </w:rPr>
        <w:t>Prempeh v. Boisvert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The essential inquiry is whether the plaintiff failed to take reasonable care for her own safety and whether the failure was one of the causes of the incident: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Each case must be considered on its own facts and in this case I accept the defendant's submission that it was negligent of Ms. Wong, as an experienced bus rider, to enter via the rear doors when she knew that she required directional assistance and she knew that she needed to validate her husband's ticket. Had she entered via the front doors, Mr. Pinnell would have been more aware of her presence and of her age and circumstances. It was also negligent for Ms. Wong not to hold onto the many bars and seat holds available to her as she returned to her seat. I find it probable that holding onto something would have prevented the fall or reduced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However, it is also my view that the plaintiff was entitled to expect some warning of the need for caution in light of the imminent departure of the bus. In the circumstances, the degree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Pinnell as the bus driver was greater than that of Ms.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 am of the view that the degree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similar to </w:t>
      </w:r>
      <w:r>
        <w:rPr>
          <w:rFonts w:ascii="arial" w:eastAsia="arial" w:hAnsi="arial" w:cs="arial"/>
          <w:i/>
          <w:color w:val="000000"/>
          <w:sz w:val="20"/>
          <w:lang w:val="en-US" w:eastAsia="en-US" w:bidi="ar-SA"/>
        </w:rPr>
        <w:t>Wang</w:t>
      </w:r>
      <w:r>
        <w:rPr>
          <w:rFonts w:ascii="arial" w:eastAsia="arial" w:hAnsi="arial" w:cs="arial"/>
          <w:color w:val="000000"/>
          <w:sz w:val="20"/>
          <w:lang w:val="en-US" w:eastAsia="en-US" w:bidi="ar-SA"/>
        </w:rPr>
        <w:t>, where the trial judge found the defendant bus driver 75% liable for the injuries suffered and the plaintiff 25%. In that case, the plaintiff stood up at a red light to remove her coat and fell when the light changed and the defendant put the bus in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all of the circumstances of this case, I apportion liability 75% to the defendant and 25%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Wong's general practitioner Dr. Cham-Wah Yuen testified at trial and was cross-examined. In his medical report dated November 29, 2010 (Exhibit 6), Dr. Yuen summarized Ms. Wong's injury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Ms. Wong apparently fell in a bus and sustained fracture to the neck of her right femur. She had received surgery by Dr. Broekhuyse, an orthopedic surgeon. She recovered quite uneventfully, received rehabilitation program in Holy Family Hospital and received further home physiotherapy after discharge from Holy Family Hospital. She had some pain in her right hip from January to March of 2010 and required some Tylenol #3 tablets for pain control. She now walks with a cane and has been quite mobile. Her prognosis is good though she may have some pain in the fracture site from time to time. She needs to use a cane to give support on walking. Apparently she can perform her usual housework.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her letter dated March 5, 2012 (Exhibit 8), Theresa Wong, Occupational Therapist, summarized the impact of the accident on Ms. Wong's life: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bus incident, Ms. Wong was living in the Chinese Freemason Manor. It was a seniors' complex that offered no additional support services. Ms. Wong was independent with personal care, meal preparation, grocery shopping, and house cleaning.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the incident, Ms. Wong presents with limitations in functional mobility that affect her ability to complete daily activities. She had hired assistance for meal preparation and cleaning shortly following her discharge from the rehabilitation facility. She subsequently moved into the Icelandic Care Home, a care facility where meals and weekly cleaning services are provided. Ms. Wong's relocation to this facility would appear appropriate given her limitations in functional mobility.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Horlick is an expert orthopedic surgeon. He prepared a report which summarized the injury and noted that he would not anticipate "... that Mrs. Wong would require more extensive assistance with her mobility needs or with basic activities of daily living as a direct consequence of her right hip fracture or residua of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At the time of the fall Ms. Wong was in good health. She lived a very active life and was able to walk without aids, swim two to three times per week, and shop for groceries and other necessities. She travelled frequently and in the words of her son, Samson Wong was "sociable", "a very busy lady" and had "lots of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is clear from all of the evidence including the evidence of Samson Wong, that the impact of the fall was significant. Samson Wong indicated that his care for his mother had increased "about ten times more than before" and that the impact had not just impacted her physically, but mentally. She can no longer travel independently and walks with a cane.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Wong sought an award of $95,000 to compensate her for pain, suffering and loss of amenities. The defence argues that an appropriate amount for pain and suffering is in the range of $60,000 to $70,000.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 was referred to </w:t>
      </w:r>
      <w:r>
        <w:rPr>
          <w:rFonts w:ascii="arial" w:eastAsia="arial" w:hAnsi="arial" w:cs="arial"/>
          <w:i/>
          <w:color w:val="000000"/>
          <w:sz w:val="20"/>
          <w:lang w:val="en-US" w:eastAsia="en-US" w:bidi="ar-SA"/>
        </w:rPr>
        <w:t>Irvine v. Cara Operations Ltd</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2002 BCSC 1581</w:t>
        </w:r>
      </w:hyperlink>
      <w:r>
        <w:rPr>
          <w:rFonts w:ascii="arial" w:eastAsia="arial" w:hAnsi="arial" w:cs="arial"/>
          <w:color w:val="000000"/>
          <w:sz w:val="20"/>
          <w:lang w:val="en-US" w:eastAsia="en-US" w:bidi="ar-SA"/>
        </w:rPr>
        <w:t xml:space="preserve">, in which the 84 year old female plaintiff was awarded $60,000; </w:t>
      </w:r>
      <w:r>
        <w:rPr>
          <w:rFonts w:ascii="arial" w:eastAsia="arial" w:hAnsi="arial" w:cs="arial"/>
          <w:i/>
          <w:color w:val="000000"/>
          <w:sz w:val="20"/>
          <w:lang w:val="en-US" w:eastAsia="en-US" w:bidi="ar-SA"/>
        </w:rPr>
        <w:t>Simon v. Strata Plan KAS2093</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2007 BCSC 1592</w:t>
        </w:r>
      </w:hyperlink>
      <w:r>
        <w:rPr>
          <w:rFonts w:ascii="arial" w:eastAsia="arial" w:hAnsi="arial" w:cs="arial"/>
          <w:color w:val="000000"/>
          <w:sz w:val="20"/>
          <w:lang w:val="en-US" w:eastAsia="en-US" w:bidi="ar-SA"/>
        </w:rPr>
        <w:t xml:space="preserve">, in which the plaintiff was awarded $100,000 (discounted to $50,000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Etson v. Loblaw</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2010 BCSC 1865</w:t>
        </w:r>
      </w:hyperlink>
      <w:r>
        <w:rPr>
          <w:rFonts w:ascii="arial" w:eastAsia="arial" w:hAnsi="arial" w:cs="arial"/>
          <w:color w:val="000000"/>
          <w:sz w:val="20"/>
          <w:lang w:val="en-US" w:eastAsia="en-US" w:bidi="ar-SA"/>
        </w:rPr>
        <w:t xml:space="preserve">, where the 76 year old plaintiff was awarded $90,000. In </w:t>
      </w:r>
      <w:r>
        <w:rPr>
          <w:rFonts w:ascii="arial" w:eastAsia="arial" w:hAnsi="arial" w:cs="arial"/>
          <w:i/>
          <w:color w:val="000000"/>
          <w:sz w:val="20"/>
          <w:lang w:val="en-US" w:eastAsia="en-US" w:bidi="ar-SA"/>
        </w:rPr>
        <w:t>Etson</w:t>
      </w:r>
      <w:r>
        <w:rPr>
          <w:rFonts w:ascii="arial" w:eastAsia="arial" w:hAnsi="arial" w:cs="arial"/>
          <w:color w:val="000000"/>
          <w:sz w:val="20"/>
          <w:lang w:val="en-US" w:eastAsia="en-US" w:bidi="ar-SA"/>
        </w:rPr>
        <w:t xml:space="preserve">, the court referenced the golden years doctrine that for a person in advancing years an impairment in movement is even more profound since as one advances in age one's pleasures and activities become more limited so any further limitation becomes even more serious (para 66). I was also referred by the defence to </w:t>
      </w:r>
      <w:r>
        <w:rPr>
          <w:rFonts w:ascii="arial" w:eastAsia="arial" w:hAnsi="arial" w:cs="arial"/>
          <w:i/>
          <w:color w:val="000000"/>
          <w:sz w:val="20"/>
          <w:lang w:val="en-US" w:eastAsia="en-US" w:bidi="ar-SA"/>
        </w:rPr>
        <w:t>Falconer v. Le</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2003 BCSC 1434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Having considered the general principles, the cases referenced and the non-exhaustive list of factors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(para. 46), I am of the view that an award for general damages of $90,000 is appropriate in this case. That amount should be discounted by 25%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resulting in a sum of $67,500.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the court noted the approach to be taken in determining future care costs at paras. 55 and 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The law is settled as to the appropriate approach to be taken in assessing future care costs. In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paras. 21-22, </w:t>
      </w:r>
      <w:hyperlink r:id="rId71" w:history="1">
        <w:r>
          <w:rPr>
            <w:rFonts w:ascii="arial" w:eastAsia="arial" w:hAnsi="arial" w:cs="arial"/>
            <w:i/>
            <w:color w:val="0077CC"/>
            <w:sz w:val="20"/>
            <w:u w:val="single"/>
            <w:shd w:val="clear" w:color="auto" w:fill="FFFFFF"/>
            <w:lang w:val="en-US" w:eastAsia="en-US" w:bidi="ar-SA"/>
          </w:rPr>
          <w:t>[2002] 1 S.C.R. 205</w:t>
        </w:r>
      </w:hyperlink>
      <w:r>
        <w:rPr>
          <w:rFonts w:ascii="arial" w:eastAsia="arial" w:hAnsi="arial" w:cs="arial"/>
          <w:color w:val="000000"/>
          <w:sz w:val="20"/>
          <w:lang w:val="en-US" w:eastAsia="en-US" w:bidi="ar-SA"/>
        </w:rPr>
        <w:t>, referred to by the trial judge, the Court articulated the test: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Damages for cost of future care are a matter of prediction. No one knows the future. Yet the rule that damages must be assessed once and for all at the time of trial (subject to modification on appeal) requires courts to peer into the future and fix the damages for future care as best they can. </w:t>
      </w:r>
      <w:r>
        <w:rPr>
          <w:rFonts w:ascii="arial" w:eastAsia="arial" w:hAnsi="arial" w:cs="arial"/>
          <w:color w:val="000000"/>
          <w:sz w:val="20"/>
          <w:u w:val="single"/>
          <w:lang w:val="en-US" w:eastAsia="en-US" w:bidi="ar-SA"/>
        </w:rPr>
        <w:t>In doing so, courts rely on the evidence as to what care is likely to be in the injured person's best interest</w:t>
      </w:r>
      <w:r>
        <w:rPr>
          <w:rFonts w:ascii="arial" w:eastAsia="arial" w:hAnsi="arial" w:cs="arial"/>
          <w:color w:val="000000"/>
          <w:sz w:val="20"/>
          <w:lang w:val="en-US" w:eastAsia="en-US" w:bidi="ar-SA"/>
        </w:rPr>
        <w:t>. Then they calculate the present cost of providing that care and may make an adjustment for the contingency that the future may differ from what the evidence at trial indicates.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w:t>
      </w:r>
      <w:r>
        <w:rPr>
          <w:rFonts w:ascii="arial" w:eastAsia="arial" w:hAnsi="arial" w:cs="arial"/>
          <w:color w:val="000000"/>
          <w:sz w:val="20"/>
          <w:u w:val="single"/>
          <w:lang w:val="en-US" w:eastAsia="en-US" w:bidi="ar-SA"/>
        </w:rPr>
        <w:t>The resulting award may be said to reflect the reasonable or normal expectations of what the injured person will require</w:t>
      </w:r>
      <w:r>
        <w:rPr>
          <w:rFonts w:ascii="arial" w:eastAsia="arial" w:hAnsi="arial" w:cs="arial"/>
          <w:color w:val="000000"/>
          <w:sz w:val="20"/>
          <w:lang w:val="en-US" w:eastAsia="en-US" w:bidi="ar-SA"/>
        </w:rPr>
        <w:t xml:space="preserve">. Jane Stapleton, "The Normal Expectancies Measure in Tort Damages" (1997), 113 L.Q.R. 257, thus suggests, at pp. 257-58, that the tort measure of compensatory damages may be described as the "'normal expectancies' measure", a term which "more clearly describes the aim of awards of compensatory damages in tort: namely, to re-position the plaintiff to the destination he would normally have reached ... had it not been for the tort". </w:t>
      </w:r>
      <w:r>
        <w:rPr>
          <w:rFonts w:ascii="arial" w:eastAsia="arial" w:hAnsi="arial" w:cs="arial"/>
          <w:color w:val="000000"/>
          <w:sz w:val="20"/>
          <w:u w:val="single"/>
          <w:lang w:val="en-US" w:eastAsia="en-US" w:bidi="ar-SA"/>
        </w:rPr>
        <w:t>The measure is objective, based on the evidence</w:t>
      </w:r>
      <w:r>
        <w:rPr>
          <w:rFonts w:ascii="arial" w:eastAsia="arial" w:hAnsi="arial" w:cs="arial"/>
          <w:color w:val="000000"/>
          <w:sz w:val="20"/>
          <w:lang w:val="en-US" w:eastAsia="en-US" w:bidi="ar-SA"/>
        </w:rPr>
        <w:t xml:space="preserve">. This method produces a result fair to both the claimant and the defendant. The claimant receives damages for future losses, as best they can be ascertained. The defendant is required to compensate for those losses. To award less than what may </w:t>
      </w:r>
      <w:r>
        <w:rPr>
          <w:rFonts w:ascii="arial" w:eastAsia="arial" w:hAnsi="arial" w:cs="arial"/>
          <w:color w:val="000000"/>
          <w:sz w:val="20"/>
          <w:u w:val="single"/>
          <w:lang w:val="en-US" w:eastAsia="en-US" w:bidi="ar-SA"/>
        </w:rPr>
        <w:t>reasonably be expected to be required</w:t>
      </w:r>
      <w:r>
        <w:rPr>
          <w:rFonts w:ascii="arial" w:eastAsia="arial" w:hAnsi="arial" w:cs="arial"/>
          <w:color w:val="000000"/>
          <w:sz w:val="20"/>
          <w:lang w:val="en-US" w:eastAsia="en-US" w:bidi="ar-SA"/>
        </w:rPr>
        <w:t xml:space="preserve"> is to give the plaintiff too little and unfairly advantage the defendant. To award more is to give the plaintiff a windfall and require the defendant to pay more than is fair.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Further, as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makes clear, "[a] future or hypothetical possibility will be taken into consideration as long as it is a real and substantial possibility and not mere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this case, I am satisfied based on the report and evidence of Theresa Wong, along with all of the evidence, that the plaintiff has established future care costs on the balance of probabilities. Specifically, I am of the view that Ms. Wong moved into the Icelandic Care Home that provided increased support levels as a direct consequence of the accident. I am satisfied that there is an evidential link between Theresa Wong's recommendations and the accident. I prefer Theresa Wong's evidence where it conflicts with Dr. Yuen and Dr. Horlick since Ms. Wong's report and recommendations specifically considers the needs of Ms. Wong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have considered the report of Kevin Turnbull, economist, and note that his report merely provides a guide by which to assess these costs and a means to calculate them. Mr. Turnbull notes that the increased cost of care in present value may be estimated at $63,765 for the assisted living portion of the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 am also of the view that it is probable that Ms. Wong would have required additional care by virtue of her own needs or those of her husband, and therefore would have moved into a higher care facility at some future point even if the accident had not occurred. Further, she may have required some of the rehabilitation and support services recommended by Theresa Wong even without the accident. In all of the circumstances, (and considering the adjusted monthly rate the assisting living) I am assessing a present value of $40,000 for all future care costs. That sum should be discounted by 25%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resulting in an award of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plaintiff claims $22,810.40 based on the schedule at Exhibit 5. I am satisfied on the evidence that those costs were incurred as a result of the accident. The special costs should be reduced by 25% as a result of my finding on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the result I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1987"/>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General Damages ($90,000.00 x75%)</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$ 67,500.00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124"/>
        <w:gridCol w:w="1568"/>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Care Costs ($40,000.00 x 75%)</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2510"/>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 ($22,810.40 x 75%)</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 xml:space="preserve"> 17,107.80</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3"/>
        <w:gridCol w:w="4392"/>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430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$114,607.80</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Costs may be spoken to if they cannot be agreed to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J.A. POWER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8" style="position:absolute;z-index:251817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227" w:history="1">
        <w:r>
          <w:rPr>
            <w:rFonts w:ascii="arial" w:eastAsia="arial" w:hAnsi="arial" w:cs="arial"/>
            <w:b/>
            <w:bCs/>
            <w:i/>
            <w:color w:val="0077CC"/>
            <w:kern w:val="32"/>
            <w:sz w:val="28"/>
            <w:szCs w:val="32"/>
            <w:u w:val="single"/>
            <w:shd w:val="clear" w:color="auto" w:fill="FFFFFF"/>
            <w:lang w:val="en-US" w:eastAsia="en-US" w:bidi="ar-SA"/>
          </w:rPr>
          <w:t>Morrison v. Gauthier, [2009] B.C.J. No. 1860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A.M. Stewart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August 31 and September 1-4, 2009.</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September 17, 2009.</w:t>
      </w:r>
    </w:p>
    <w:p>
      <w:pPr>
        <w:spacing w:before="120" w:line="260" w:lineRule="atLeast"/>
        <w:jc w:val="center"/>
        <w:rPr>
          <w:lang w:val="en-US" w:eastAsia="en-US" w:bidi="ar-SA"/>
        </w:rPr>
      </w:pPr>
      <w:r>
        <w:rPr>
          <w:rFonts w:ascii="arial" w:eastAsia="arial" w:hAnsi="arial" w:cs="arial"/>
          <w:color w:val="000000"/>
          <w:sz w:val="20"/>
          <w:lang w:val="en-US" w:eastAsia="en-US" w:bidi="ar-SA"/>
        </w:rPr>
        <w:t>Docket: M081446</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[2009] B.C.J. No. 1860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2009 BCSC 1271</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2009 CarswellBC 2499</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181 A.C.W.S. (3d) 476</w:t>
        </w:r>
      </w:hyperlink>
    </w:p>
    <w:p>
      <w:pPr>
        <w:spacing w:before="120" w:line="260" w:lineRule="atLeast"/>
        <w:rPr>
          <w:lang w:val="en-US" w:eastAsia="en-US" w:bidi="ar-SA"/>
        </w:rPr>
      </w:pPr>
      <w:r>
        <w:rPr>
          <w:rFonts w:ascii="arial" w:eastAsia="arial" w:hAnsi="arial" w:cs="arial"/>
          <w:color w:val="000000"/>
          <w:sz w:val="20"/>
          <w:lang w:val="en-US" w:eastAsia="en-US" w:bidi="ar-SA"/>
        </w:rPr>
        <w:t>Between Liz Anne Morrison, Plaintiff, and Christian Albert Joseph Gauthier,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(45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59" style="position:absolute;z-index:25166540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48" w:name="Keywords_6"/>
      <w:bookmarkEnd w:id="48"/>
      <w:r>
        <w:rPr>
          <w:rFonts w:ascii="arial" w:eastAsia="arial" w:hAnsi="arial" w:cs="arial"/>
          <w:b/>
          <w:color w:val="000000"/>
          <w:sz w:val="20"/>
          <w:lang w:val="en-US" w:eastAsia="en-US" w:bidi="ar-SA"/>
        </w:rPr>
        <w:t xml:space="preserve">Damages — Physical and psychological injuries — Physical injuries — Body injuries — Back and spine — Action by Morrison for damages for personal injuries sustained in a motor vehicle accident allowed — Gauthier's vehicle slammed into the rear of Morrison's vehicle with great force — Morrison continued to suffer from lower back pain — The Defence submitted that Gauthier's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was not a significant contributing factor to Morrison's ongoing pain — However, prior to the accident Morrison did not suffer from back problems and was a highly active athlete — Therefore, Gauthier's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was a significant contributing factor and Morrison's life had been impacted dramatically — Morrison awarded $90,380 in damages.</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Damages — Types of damages — For personal injuries — Special damages — Non-pecuniary loss — Action by Morrison for damages for personal injuries sustained in a motor vehicle accident allowed — Gauthier's vehicle slammed into the rear of Morrison's vehicle with great force — Morrison continued to suffer from lower back pain — The Defence submitted that Gauthier's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was not a significant contributing factor to Morrison's ongoing pain — However, prior to the accident Morrison did not suffer from back problems and was a highly active athlete — Therefore, Gauthier's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was a significant contributing factor and Morrison's life had been impacted dramatically — Morrison awarded $90,380 in damages.</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Damages — Assessment of damages — Action by Morrison for damages for personal injuries sustained in a motor vehicle accident allowed — Gauthier's vehicle slammed into the rear of Morrison's vehicle with great force — Morrison continued to suffer from lower back pain — The Defence submitted that Gauthier's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was not a significant contributing factor to Morrison's ongoing pain — However, prior to the accident Morrison did not suffer from back problems and was a highly active athlete — Therefore, Gauthier's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was a significant contributing factor and Morrison's life had been impacted dramatically — Morrison awarded $90,380 in damages.</w:t>
      </w:r>
    </w:p>
    <w:p>
      <w:pPr>
        <w:jc w:val="both"/>
        <w:rPr>
          <w:lang w:val="en-US" w:eastAsia="en-US" w:bidi="ar-SA"/>
        </w:rPr>
      </w:pPr>
      <w:bookmarkStart w:id="49" w:name="Counsel_6"/>
      <w:bookmarkEnd w:id="49"/>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60" style="position:absolute;z-index:25171660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A.E. Maragos and F. Butt.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E.A. Burgess.</w:t>
      </w:r>
      <w:r>
        <w:rPr>
          <w:lang w:val="en-US" w:eastAsia="en-US" w:bidi="ar-SA"/>
        </w:rPr>
        <w:cr/>
      </w:r>
    </w:p>
    <w:p>
      <w:pPr>
        <w:spacing w:after="240"/>
        <w:rPr>
          <w:lang w:val="en-US" w:eastAsia="en-US" w:bidi="ar-SA"/>
        </w:rPr>
      </w:pPr>
      <w:bookmarkStart w:id="50" w:name="Judgment_6"/>
      <w:bookmarkEnd w:id="50"/>
      <w:r>
        <w:pict>
          <v:line id="_x0000_s1061" style="position:absolute;z-index:251767808"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51" w:name="A.M. STEWART J._0"/>
            <w:bookmarkEnd w:id="51"/>
            <w:r>
              <w:rPr>
                <w:rFonts w:ascii="arial" w:eastAsia="arial" w:hAnsi="arial" w:cs="arial"/>
                <w:b/>
                <w:color w:val="000000"/>
                <w:sz w:val="30"/>
                <w:lang w:val="en-US" w:eastAsia="en-US" w:bidi="ar-SA"/>
              </w:rPr>
              <w:t>A.M. STEWART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action against the defendant is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motor vehicle accident which bottoms the plaintiff's action occurred on September 27, 2006 at Johnston Street and Barnett Highway in Coquitlam. The plaintiff's vehicle (a 2006 Infiniti G35) was stopped as she looked to her left as she prepared to turn right. Without warning, the defendant's vehicle (a 2003 Honda Civic) slammed into the rear of the plaintiff's car. That the defendant was negligent is admitted.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caused injury and loss to the plaintiff is accepted by counsel for the defendant. I must assess -- not calculate -- the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It is obvious that great force was applied to the plaintiff's body during the collision. The impact was very heavy. That is obvious from the cumulative effect of the fact the defendant was travelling at 30 kph when his vehicle struck the plaintiff's vehicle (Exhibit 14), the damage done to the plaintiff's vehicle (Exhibit 9), the damage done to the defendant's vehicle (Exhibit 8), the plaintiff's description of the nature and extent of the damage to the rear of her vehicle, and the state of the plaintiff's car when it was photographed after the motor vehicle accident (Exhibit 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wearing a seatbelt and the car's headrest was properly adjusted. In the collision she was, amongst other things, thrown forward. Her injuries make it clear that a knee and her head struck parts of the car. She was knocked out by the force of the blow to her head. Her loss of memory is of events of perhaps a minute -- the time it took the defendant to make his way to her driver's window and tap on the window. That her cognitive skills were disrupted is also evidenced by the fact, as I find it to be, that the plaintiff laid down no memory of the fact that her partner, Charlotte Gulayets, made her way to the scene of the accident shortly after the collision had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That the results for the plaintiff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included a sore back, a stiff neck, persistent headaches, a bruise to the knee and a bruise/bump on the forehead is accepted by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conventional "but for" test is of interest in the case at bar. The live issue is whether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significant contributing cause of the plaintiff's ongoing problems with her low back with pain extending, at times, down the back of a leg. In other words, is there proof of a substantial connection between the injury and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Court of Appeal recently gathered together the various phrases employed in this connection: </w:t>
      </w:r>
      <w:r>
        <w:rPr>
          <w:rFonts w:ascii="arial" w:eastAsia="arial" w:hAnsi="arial" w:cs="arial"/>
          <w:b/>
          <w:i/>
          <w:color w:val="000000"/>
          <w:sz w:val="20"/>
          <w:lang w:val="en-US" w:eastAsia="en-US" w:bidi="ar-SA"/>
        </w:rPr>
        <w:t>Chambers v. Goertz</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2009 BCCA 358</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Central to the live issue just noted is that it is common ground that an MRI taken March 29, 2007 and a CT scan conducted on October 3, 2008 reveal the presence of an L4-5 disc herniation.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find that not always but from time to time the disc puts pressure on an L4 nerve root and that the result for the plaintiff is pain not just in the low back -- which is always her lot -- but intense pain that, amongst other things, travels down the back of the leg.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case is one in which the defendant pleads (Statement of Defence paragraph 7) that "the injuries were not caused by the alleged motor vehicle accident but are attributable to previous and/or subsequent incidents involving the plaintiff or to congenital defects and the Defendant says that the motor vehicle accident did not aggravate any pre-existing injury if such is alleged".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this point it is important to note that the only expert opinion evidence relevant to the live issue is that of Dr. Sahjpaul, a neurosurgeon.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Sahjpaul was retained by counsel for the plaintiff. He is not one of the plaintiff's treating physicians. His evidence came before me by way of three written statements (Exhibit 13, Rule 40A(2)) and his testimony before 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is trite law that the evidence of an expert is simply evidence in the case to be taken into account by the trier of fact along with all of the other evidence in deciding whether the party on whom the onus lies on the issue in question has made out 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the case at bar the result of the cumulative effect of the three statements (Exhibit 13) and the doctor's viva voce testimony before me is a body of medical information which, depending upon which part is found to be of significant help by the trier of fact, can form the underpinning for any of a number of conclusions by the trier of fact as to what the plaintiff's medical condition was on September 26, 2006 (the day before the motor vehicle accident in question) and what the relationship is between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pain and suffering of the plaintiff on and after September 27, 2006 and into the future. The fact that the trier of fact's conclusions do not track the expert's conclusions is, in law, of no moment.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this case I find as a fact that it is more likely than not that the L4-5 disc herniation referred to above was not present on September 26, 2006 (the day before the motor vehicle accident), was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September 27, 2006, and did and does contribute in a significant way to the plaintiff's ongoing condition, that is to say pain in the low back that at times extends into the buttock and down into the leg.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make that finding of fact because of the cumulative effect of the following: the absence from the plaintiff's medical history over the two years before September 27, 2006 of anything indicative of an L4-5 disc herniation; the results for the plaintiff of two motor vehicle accidents -- one in 1994 and the other in 2003 -- being minor and a thing of the past by September 27, 2006; the presence in the plaintiff's life over the two years before September 27, 2006 of a regimen of intense physical activity -- including gym training, running and golf played at a very high level -- that might reasonably be expected to combine with an L4-5 disc herniation to visit on any individual significant problems of the kind encountered by the plaintiff only after September 27, 2006; and the fact -- as I find it to be -- that both a late onset of impinging of the bulging disc on a nerve root and pain extending into the upper calf being the result of an L4-5 disc herniation impinging on an L4 nerve root rather than on an L5 nerve root may be unusual but are contemplated by the medical evidence placed before 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That the plaintiff's problem with the low back is at least in part the result of soft tissue injury is common ground. The plaintiff is obviously one of that small percentage of people for whom the results of soft tissue injury are ongoing long after one would expect the tissue to have healed.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My finding with respect to the relationship between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L4-5 disc bulge lays at the defendant's door the results of that injury for the plaintiff, that is to say pain that waxes and wanes and during "flare-ups" extends into the buttock and down the leg.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September 27, 2006 the plaintiff suffered a blow to the forehead which resulted in a bump and/or bruise, a bruise to the knee, loss of consciousness at the scene of the motor vehicle accident, absence of memory, headaches, reduced cognitive skills, pain and stiffness in the neck and pain in the low back extending at times into the buttock and down the leg.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After the motor vehicle accident the plaintiff's car was wrestled into shape so that she could drive the three miles from the scene of the accident to her home. The plaintiff took three days off work and then returned to work half time for a week. She went to a walk-in clinic the day after the motor vehicle accident and visited her general practitioner, Dr. MacInnes, on the first available date, October 2. She has taken prescription drugs for the relief of pain and for the relaxing of the muscles. She has also taken non-prescription drugs. Physiotherapy, massage and acupuncture -- amongst other things -- have been made use of by her. She has seen a neurologist, a back specialist and a rehabilitation specialist. A chiropractor, Dr. Case, has brought about temporary relief through ART, that is to say, active release therapy. I note that the evidence reveals that that therapy is very painful.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bump/bruise to the forehead disappeared after two or three weeks as did the bruise to the knee. The headaches abated over time but persisted for roughly 9 to 12 months. The plaintiff noted during the course of her work that her memory and ability to make mathematical calculations had temporarily been reduced. The neck was painful and stiff for about three months after the motor vehicle accident. The pain in the back is with the plaintiff still, has been with her since the motor vehicle accident, has never been absent, waxes and wanes and will be with her in the future. On the whole of the evidence I conclude that there has been some improvement but the flare-ups, as the plaintiff refers to them, continue to occur and that when they do occur they are debilitating. There is a real and substantial possibility that the plaintiff's problems with her low back will continue to improve but persist for years. The evidence does not grapple with the question of the likelihood of this being a case for surgery being undertaken with a view to eliminating or substantially reducing the plaintiff's pain and suffering. The evidence merely reveals that surgery is an option in this kind of case and that further investigation is necessary before the role, if any, of surgery in the case of the plaintiff can be assessed by the doctors.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effect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plaintiff's life was dramatic.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is simply a fact that for some people the drive to excel is almost pathological in nature. I am convinced that the plaintiff is one such individual.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the case of the plaintiff -- who was 43 years of age at the date of the motor vehicle accident -- her drive to excel found its outlet in her employment, her high standards for the look and cleanliness of her work and home environment and, most significantly, physical activity.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As for her work, the plaintiff has managed to continue working at the same high level as before the motor vehicle accident in her job as a sales representative in the world of container shipping. Her switching employers in October 2008 and, in the result, working from home rather than out of an office is unrelated to the results for the plaintiff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As for the plaintiff's high standards with respect to cleanliness and orderliness at work and at home, I accept that although both before September 27, 2006 and after the plaintiff's partner was the homemaker and the plaintiff the breadwinner, the fact is that before the motor vehicle accident the plaintiff kept her work environment in order and imposed her standards of cleanliness and orderliness at home on her partner by regularly -- one might say obsessively -- cleaning the home and ordering its contents. I find that her capacity to so conduct herself has been severely reduced by the results for the plaintiff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the result is not relief at not having to undertake the work involved but frustration.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turn to the plaintiff's physical activities.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It is here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crippled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find as a fact that before September 27, 2006 the plaintiff's drive to excel found its greatest and most complete expression in her functioning at an amazingly high level as an athlete.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Before September 27, 2006 the plaintiff was a person who was capable of competing in ironman competitions and marathon running events, had equipped her home with a professional level gym, worked out at a YWCA gym on workdays, ran long distances -- usually with her partner -- just for the pleasure of it, cross-country skied, snow shoed, hiked, swam, cycled and played golf often and extremely well. The point is that for this plaintiff the object of life was to be physically active and to excel at athletics. And she did. The result was a woman who on the basis of the evidence placed before me, I can only describe as a dynamo. The picture painted by her brother, Blair Morrison, her sister, Paula Cooper, her partner Charlotte Gulayets, her friends, Eric Eikeland and Tania Forde, and a work acquaintance, Nancy Meek, is of a woman who was pleasant, highly energetic, involved in whatever was afoot and happy with herself, her home, her partner, her friends and her social life. And all of that was destroyed or seriously undermined by the results for the plaintiff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September 27, 2006.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find as a fact that all of the activities noted above are for the plaintiff a thing of the past. Certainly she plays golf from time to time for pleasure and for business purposes but her golfing now is wholly unlike her golfing before the motor vehicle accident. She enters a pool now from time to time but I gather that a strong swimmer has been reduced to what I would refer to as a paddler. Yes, she can walk. But there is nothing in her life now that equates to the hiking, running, snow shoeing, etc., noted above.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 find that as a result of the effect on the plaintiff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changed dramatically. She became, to use my word, ornery. She withdrew from her friends. She became moody and -- stunning for her -- one who sat idly watching television and gaining unwelcome weight. To some extent she became -- utterly new for her -- a chronic complainer.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work -- whether in an office before she changed employers or at home after she changed employers -- she has had to adapt her work environment to fit her physical limitations. Exhibit 11 is a letter dated April 19, 2007 which reveals the results of an "ergonomic assessment for Liz Morrison" that resulted in drastic changes to the plaintiff's office at work. The changes included her making use of a kneeling chair and an altered method of employing her computer. At home, amongst other things, she sits on a ball while working. I note here that the witness Meek told me of the plaintiff's altering her habits at work by failing to order her work environment as she did before the motor vehicle accident and walking about the office in an obvious attempt to find relief from her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disruption of the plaintiff's life by the results for the plaintiff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exemplified by her and her partner's decision to sell their home in Coquitlam and move to Bowen Island. I accept the plaintiff's evidence that absent the motor vehicle accident she and her partner would have had every reason to stay in Coquitlam for they were living in a home they loved and had modified to fit their energetic lifestyle. In making this finding of fact I did not lose sight of the fact that the plaintiff's previous moves revealed a pattern of moving every five years and -- a different point -- that the plaintiff's answers to a series of questions at her examination for discovery on December 23, 2008 are troubling. But at the end of the day having considered the whole of it I accept the testimony of the plaintiff and of her partner to the effect that the decision to move was prompted by the plaintiff's frustration at looking each and every day at a golf course -- albeit not her golf course -- and at having familiar lakes and trails at hand which could no longer be employed by her as they had been employed before the motor vehicle accident. The fact that the plaintiff finds Bowen Island a pleasant place to live and that her current situation is good is determinative of nothing. What the defendant took from the plaintiff was the life she wanted to live, a life far different from her life now.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turn to the assessing of damages. (Counsel have agreed that special damages should be assessed in the amount of $5,380.90. So ordered.)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seeks an award of damages for the loss of the use of a lifetime family membership at the Swaneset Golf Club, as I will refer to it. The amount sought is $28,911.50. That reflects a $26,500 initial fee and $2,411.50 expended on monthly fees after September 27, 2006. The plaintiff and her partner joined Swaneset in April 2005. The evidence did not focus on in whose name the membership was taken out. (As I put it to counsel, "If the monthly fees were not paid, who would the golf club sue?") I infer from all that I was told about the family finances and from the way in which the plaintiff and her partner spoke of the obtaining of the membership that it was the plaintiff who purchased the membership and that the right in law to enforce the contract is hers. The membership was upgraded to a life membership from a term of years not long before September 27, 2006. On May 16, 2007 the plaintiff had her family doctor, Dr. MacInnes, write the necessary letter (Exhibit 3) to the golf club so that her membership might be suspended. The golf club complied and, in the result, the plaintiff no longer had to pay the monthly fees.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 find that the plaintiff made significant use of her membership before September 27, 2006, that it was rendered useless to her for all practical purposes by the results for the plaintiff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September 27, 2006, and that the plaintiff's not being aware of the fact that a request for suspension could be made as early as she should have been is irrelevant because this woman would not, in my opinion, have touched that membership until the reality of her situation had come home to her. It came home to her only in the spring of 2007.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find that there is no real and substantial possibility to be taken into account that the plaintiff will recover sufficiently so that she can make use of her membership. For all intents and purposes the membership has no value, now or in the future. Yes the fact she had use of the membership prior to September 27, 2006 must reduce the award made. Yes the plaintiff is entitled to the monthly fees thrown away from September 27, 2006 to May 2007. At the end of the day on the whole of what is placed before me I assess the damages to be awarded to the plaintiff in this connection at $25,000.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seeks an award of damages under the discreet heading "Loss of domestic capacity". Whether a discreet award should be made under this heading or the plaintiff's loss, if any, taken into account elsewhere is a function of the state of the evidence in a given case (</w:t>
      </w:r>
      <w:r>
        <w:rPr>
          <w:rFonts w:ascii="arial" w:eastAsia="arial" w:hAnsi="arial" w:cs="arial"/>
          <w:b/>
          <w:i/>
          <w:color w:val="000000"/>
          <w:sz w:val="20"/>
          <w:lang w:val="en-US" w:eastAsia="en-US" w:bidi="ar-SA"/>
        </w:rPr>
        <w:t>Foran v. Nguyen</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2006 BCSC 605</w:t>
        </w:r>
      </w:hyperlink>
      <w:r>
        <w:rPr>
          <w:rFonts w:ascii="arial" w:eastAsia="arial" w:hAnsi="arial" w:cs="arial"/>
          <w:color w:val="000000"/>
          <w:sz w:val="20"/>
          <w:lang w:val="en-US" w:eastAsia="en-US" w:bidi="ar-SA"/>
        </w:rPr>
        <w:t>, para. 115).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the case at bar the absence of precision in the evidence combines with the fact, as I find it to be, that the plaintiff's real loss is her frustration at having to live with lower standards than she did before the motor vehicle accident and convinces me that yes the plaintiff has a compensable loss but that loss should be reflected in the award for non-pecuniary damages. In the result the award I make later for non-pecuniary damages is higher than it would otherwise have been (see </w:t>
      </w:r>
      <w:r>
        <w:rPr>
          <w:rFonts w:ascii="arial" w:eastAsia="arial" w:hAnsi="arial" w:cs="arial"/>
          <w:b/>
          <w:i/>
          <w:color w:val="000000"/>
          <w:sz w:val="20"/>
          <w:lang w:val="en-US" w:eastAsia="en-US" w:bidi="ar-SA"/>
        </w:rPr>
        <w:t>Travis v. Kwon</w:t>
      </w:r>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2009 BCSC 63</w:t>
        </w:r>
      </w:hyperlink>
      <w:r>
        <w:rPr>
          <w:rFonts w:ascii="arial" w:eastAsia="arial" w:hAnsi="arial" w:cs="arial"/>
          <w:color w:val="000000"/>
          <w:sz w:val="20"/>
          <w:lang w:val="en-US" w:eastAsia="en-US" w:bidi="ar-SA"/>
        </w:rPr>
        <w:t>, paras. 125-128).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claims damages for the cost of future care. The plaintiff seeks an award of $10,000. There is a paucity of evidence that bears on this question. The plaintiff's case in this connection is actually based on the proposition that past is often prologue.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am satisfied that there is a real and substantial possibility -- approaching a certainty -- that the plaintiff will expend funds in the future on medically justified treatment. I assume that if her lot is to include surgery that that surgery will not result in any expenditures by the plaintiff. But her need for help -- be it acupuncture, physiotherapy, "boot camps", pilates, use of a personal trainer, or anything else -- especially when she has a "flare-up" -- will be very real. An award must be made. I settle on the figure of $5,000.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 turn to the heading "non-pecuniary damages". I take into account -- without repeating it here -- all that I have said thus far. I add only that the defendant's luck was very bad. He must take the plaintiff as he found her. And, purely by chance, by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September 27, 2006 he managed to reduce a woman operating at an athletic level undreamt of by 99% of the population to a woman who must now, often, be helped out of a chair. That woman's compensable loss is overwhelming.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have considered all of the cases brought to my attention by counsel. Each case is different and all are of limited assistance. Counsel for the plaintiff submitted that the applicable range of damages is $80,000 to $100,000. Counsel for the defendant submitted that the applicable range of damages is $40,000 to $50,000. I am satisfied that the facts of this case combine with the case law to result in a proper award being $55,000.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 failure by the plaintiff to mitigate her loss was pled by the defendant. There is no basis in the evidence for a discussion of this topic.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As the law demands, I step back and look at the award of damages as a whole ($90,380.90) in light of the results for this plaintiff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Is it reasonable? In my opinion it 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Counsel may arrange, if necessary, to speak to the issue of costs or any other ancillary matter.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A.M. STEWART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8190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Tabor v. Bridge, [2013] I.L.R. para. M-2711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Cohen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August 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M116952</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[2013] I.L.R. para. M-2711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[2013] B.C.J. No. 1737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2013 BCSC 1427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Judy Radford and Timothy Tabor Plaintiffs v. James Bridge and Roadway Towing Ltd. Defendants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3"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2" w:name="Keywords_7"/>
      <w:bookmarkEnd w:id="52"/>
      <w:r>
        <w:rPr>
          <w:rFonts w:ascii="arial" w:eastAsia="arial" w:hAnsi="arial" w:cs="arial"/>
          <w:b/>
          <w:color w:val="000000"/>
          <w:sz w:val="20"/>
          <w:lang w:val="en-US" w:eastAsia="en-US" w:bidi="ar-SA"/>
        </w:rPr>
        <w:t xml:space="preserve">Tort, motor vehicle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Plaintiffs were injured while riding in their vehicle as it was being towed — Plaintiffs alleged tow truck driver was negligent in attaching vehicle to tow truck and in speeding during tow — Defendant driver and towing company denied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alternatively argued that plaintiffs were contributory negligent — Court agreed defendant driver was negligent — Evidence indicated driver error in assembling dolly and in speeding — However, plaintiffs appreciated risk associated with riding in towed vehicle — Whether or not driver gave them assurance as to safety, plaintiffs were required to assess risk and act reasonably — Tow truck driver 75% responsible, and plaintiffs 25% contributorily negligent.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3" w:name="Case Summary_6"/>
            <w:bookmarkEnd w:id="53"/>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issue was liability for the accident. The circumstances of the accident were unusual. The plaintiffs were a couple who worked for the same employer, and they had two children. The male plaintiff and the children were involved in an accident in the plaintiffs' BMW vehicle. Subsequently, the female plaintiff drove him and their children back to the accident scene in their Ford Explorer in order to retrieve the registration papers for the BMW. At the scene, the police noticed that the insurance on the plaintiffs' Ford Explorer had expired, and the police decided that the tow truck that came for the BMW should instead be used to tow the Ford Explorer. Because the plaintiffs had no vehicle to drive, they requested a ride to their place of work so that they could report the situation to their employer. The police told them they could ride in the tow truck, but the defendant tow truck driver told them they had to ride in the Ford Explorer as it was being towed. It was alleged that the tow truck driver told them it was safe to do so. During the tow, the dolly on which the Explorer's rear wheels rested fell apart, and the plaintiffs and their children were tossed around inside the vehicle. The plaintiffs alleged that the dolly was improperly assembled and/or the driver was speeding. The defendants denied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in the alternative, argued that the plaintiffs were contributorily negligent.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4" w:name="Holdings of Court_6"/>
            <w:bookmarkEnd w:id="54"/>
            <w:r>
              <w:rPr>
                <w:rFonts w:ascii="arial" w:eastAsia="arial" w:hAnsi="arial" w:cs="arial"/>
                <w:color w:val="000000"/>
                <w:sz w:val="20"/>
                <w:lang w:val="en-US" w:eastAsia="en-US" w:bidi="ar-SA"/>
              </w:rPr>
              <w:t>HELD: The action was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7.07(6) of the </w:t>
            </w:r>
            <w:r>
              <w:rPr>
                <w:rFonts w:ascii="arial" w:eastAsia="arial" w:hAnsi="arial" w:cs="arial"/>
                <w:i/>
                <w:color w:val="000000"/>
                <w:sz w:val="20"/>
                <w:lang w:val="en-US" w:eastAsia="en-US" w:bidi="ar-SA"/>
              </w:rPr>
              <w:t>Motor Vehicle Act Regulations</w:t>
            </w:r>
            <w:r>
              <w:rPr>
                <w:rFonts w:ascii="arial" w:eastAsia="arial" w:hAnsi="arial" w:cs="arial"/>
                <w:color w:val="000000"/>
                <w:sz w:val="20"/>
                <w:lang w:val="en-US" w:eastAsia="en-US" w:bidi="ar-SA"/>
              </w:rPr>
              <w:t xml:space="preserve"> provides that no person shall tow a motor vehicle if there is a person in or on the towed vehicle. There was no argument that this provision was breached, although the mere breach of a statute does not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per se. However, the Court found the evidence proved on a balance of probabilities that the defendant driver was negligent. After the incident, the driver was able to reassemble the dolly and continue with the tow, and this contradicted the argument that the dolly itself was defective. In addition, both plaintiffs gave evidence that they thought the driver was speeding; the Court preferred their evidence. Turning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Court found the plaintiffs 25 per cent liable. They appreciated the risk associated with riding in the towed vehicle, and they accepted the risk not only because of the driver's assurances, but also because that option was the most convenient in the circumstances. Regardless of what the driver advised them, the plaintiffs had an obligation to assess the risk and act reasonably. The associated risk was foreseeable. The driver was assessed as more blameworthy because he knew it was against the law and because he was in control of the situation.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5" w:name="Counsel_7"/>
      <w:bookmarkEnd w:id="5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4"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 Kennedy for the plaintiffs; I.D. MacKinnon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6" w:name="Judgment_7"/>
      <w:bookmarkEnd w:id="56"/>
      <w:r>
        <w:pict>
          <v:line id="_x0000_s1065" style="position:absolute;z-index:2517688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7" w:name="B.I. COHEN J."/>
            <w:bookmarkEnd w:id="57"/>
            <w:r>
              <w:rPr>
                <w:rFonts w:ascii="arial" w:eastAsia="arial" w:hAnsi="arial" w:cs="arial"/>
                <w:b/>
                <w:color w:val="000000"/>
                <w:sz w:val="30"/>
                <w:lang w:val="en-US" w:eastAsia="en-US" w:bidi="ar-SA"/>
              </w:rPr>
              <w:t>B.I. COHEN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trial about liability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December 16, 2006, the plaintiffs were involved in an accident while riding as passengers in their vehicle which was being towed by a truck driven by the defendant James Bridge (the "defendant driver"). The circumstances leading up to the accident are somewhat bizarre.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Timothy George Tabor (hereinafter called the "father") and Judy Doris Radford (hereinafter called the "mother") are members of the ILWU Local 502. They live in Surrey, British Columbia. They have a longstanding common law relationship and have two children, a son who was 12 years old and a daughter who was 8 years old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mother and father were both working shifts on December 16, 2006 at the Deltaport terminal in Tsawwassen, British Columbia (the "terminal"). The father's shift ended at 1:00 a.m., and the mother's shift commenced at 1:00 a.m. On the day of the accident, the plaintiffs' babysitter failed to show up. As a result, the mother decided that she would drive herself and the children in the plaintiffs' BMW vehicle to the terminal so that she could work her shift. She planned to transfer the children to the father when he came off shift so that he could then drive himself and the children home in the BMW. It should be mentioned here that the mother owns a Ford Explorer which had been driven to the terminal a couple of weeks earlier by the father and left in the terminal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any event, the mother drove herself and children to the terminal and had a brief meeting with the father after which the father started his drive home in the BMW with the children. Shortly after commencing her shift, the mother received a call notifying her that the father and the children had been in a motor vehicle accident and were in the first aid room at the terminal. She immediately attended the first aid room where she found the children crying and scared, and the father injured. She comforted the children, washed them and then made a plan with the father to drive him and the children in the Ford Explorer to the site on the Deltaport causeway (the "causeway") where the BMW had been in the accident. The BMW was left at the site after the accident, and the father and children were given a ride to the terminal first aid office by another longshoreman shift worker who was driving by the accident scene shortly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mother explained that she decided to drive back to the accident site in the Ford Explorer because the children would not leave her sight, and she did not wish the father to drive given his injury. Her plan was to retrieve the registration papers from the BMW so as to be able to report the details of the accident both to the plaintiffs' superintendent at work, and to the Insurance Corporation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When the plaintiffs arrived at the site of the accident, they discovered a half-naked bleeding man standing behind the BMW. Shortly thereafter, the CN Rail police showed up with the Delta police. The police questioned the plaintiffs about what they were doing on the causeway, and the plaintiffs explained about the accident and their intent to collect the registration papers from the BMW and return to the terminal. The plaintiffs were detained for about two hours while the police verified their identity and the fact that they were employed at the terminal and not part of a group of partygoers who the police had been pursuing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During the plaintiffs' detention by the police, the police checked the registration papers for the Ford Explorer and discovered that the insurance for the vehicle had expired. The police then decided that a tow truck, which they had summoned to be used to tow the BMW, would instead be used to tow the Ford Explorer back to the terminal. The mother testified that the plaintiffs asked the police to drive them and the children back to the terminal, but they told her that she and her family could go in the tow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was now about 3:00 a.m. on December 16th. According to the mother, the defendant driver told her that the plaintiffs and the children could not ride in the tow truck but they would ride in the Ford Explorer which was being towed. She said that her concern at the time was for her children, but she did not consider she was accepting any risk because the defendant driver assured her they would be safe. She did not give any thought to what the consequences might be of riding in the Ford Explorer while it was being towed because of the assurance she had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mother said that after the Ford Explorer was hooked up to the tow truck, the plaintiffs and the children, who were now all seated in the Ford Explorer, buckled up their seat belts for the ride to the terminal. She said that the tow truck drove over a bridge and was travelling pretty fast when she heard a "bang" after which the Ford Explorer started bouncing and swaying around the causeway. She said that there was a bit of a decline on a hill leading to the terminal.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mother was unable to estimate how far the tow truck travelled after she heard the bang. She said that as the Ford Explorer was moving back and forth sideways, her upper body was moving inside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cross-examination, the mother said that when the plaintiffs decided to take the Ford Explorer to the accident site she was unaware that the insurance had expired for that vehicle. The mother insisted that the defendant driver told the plaintiffs that they were safe riding in the Ford Explorer while it was being towed, but she could not quote his exact words to them. She said that her children had just been in a car accident and she wished to make sure they would be safe. She said she had this discussion with the defendant driver before the plaintiffs and the children got into the Ford Explorer, even though she had testified at her examination for discovery that she did not have any discussions with the defendant driver before she got into the Ford Explorer. Nevertheless, she insisted that she did ask the defendant driver if the children would be safe and the driver assured her that they would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mother testified that the father was having a conversation with the defendant driver and she was listening to the conversation while she was standing beside them with the children. She said she was indirectly part of the discussions that were taking place. When counsel asked the mother if she could estimate the speed of the tow truck, she replied, "no, it was fast". She said that the site of the BMW accident was about halfway distance-wise from the terminal along the causeway. She also explained that the plan was for the plaintiffs and the children to return to the terminal after collecting the registration papers from the BMW and then arrange for a taxi to drive them all home to Surrey. She explained that her employer routinely provides taxi rides at no cost to her at the end of a normal shift, but this was 3:00 a.m. so she needed the job superintendent to requisition a taxi given the extenuating circumstances. Her plan was to tell the superintendent exactly where the site of the BMW accident was, supply him with the registration papers and then have everyone travel home in a taxi from the terminal. She said that the superintendent needed all of the details so that he could requisition a taxi.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mother said that she takes a taxi to and from her employment 70% of the time. When asked why the plaintiffs did not call a taxi from the BMW accident site she replied that the police had told them to get into the tow truck and the tow truck would drive them back to the terminal. The police said they would not drive the plaintiffs back, and the plaintiffs did not argue with them. Thus, at the time, the plaintiffs did not consider the option of calling a taxi. The mother also said that it was the defendant driver who told the plaintiffs to get into the Ford Explorer with the children for the ride back to the terminal. She said that, given the time of day, there was no traffic on the causeway.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mother conceded that before the date of the accident she had never seen persons riding in vehicles that were being towed. She agreed that the circumstances were unique, but said it was a short distance to the terminal from the accident site, on a private road with no other traffic and she had been assured by the defendant driver that it was safe to ride in the Ford Explorer. She said she would have not done it if the vehicle was being towed on the busy King George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mother said that after the tow truck came to a stop and the driver reassembled the towing equipment to tow the Ford Explorer, she and her daughter got into the tow truck to continue the drive to the terminal. She explained that she did not get into the tow truck at the BMW accident site because the defendant driver said they should all get into the Ford Explorer while he towed the vehicle back to the terminal.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mother said that at the BMW accident scene, the police, defendant driver, plaintiffs and their children were standing on the causeway in a group and the police would have heard the conversation between her and the defendant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father testified that he was driving home to Surrey from completing his shift at Deltaport when he was involved in an accident on the causeway. It was around 1:00 a.m. He was driving the plaintiffs' BMW. The children were in the car with him. He said that while he was proceeding on the causeway, a vehicle clipped his vehicle, which sent the BMW into a ditch. The other vehicle did not remain at the scene of the accident. He suffered some injuries and the children were shaken up. Another longshoreman was travelling on the causeway bound for the terminal and this person gave him and the children a ride back to the terminal. The first aid attendant at the terminal contacted the mother. After they got together, a decision was made for them all to return to the accident site to get the registration papers from the BMW as well as his front tooth plate, which he had left behind after the accident. He said they decided to take the Ford Explorer, which was owned by the mother but which he had used to get to work some weeks earlier and then left it parked in the terminal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After the father and mother arrived at the BMW accident scene, he was able to retrieve the registration papers for the BMW and his tooth plate. He said the police detained him and his family for quite a while to confirm that they were not part of the group that the police were pursuing, and to check their story about why they were at the BMW accident scene in the Ford Explorer.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father said that after he and his family were released by the police, the defendant driver directed all of them to get into the Ford Explorer. He said it was not walking distance back to the terminal, and in any case his knee was very sore and the children were hysterical. He said it was about a 10 to 15 minute drive back to the terminal, it was by then about 3:00 a.m. and there was no traffic on the causeway. He asked the defendant driver if it was safe for all of them to travel in the Ford Explorer while it was being towed and the driver assured him that it was safe. He said he was totally worn out given the time of day and the fact that he had been dealing with his children who were upset and scared.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father and the plaintiffs' son got into the front seats of the Ford Explorer, and the mother and the plaintiffs' daughter got into the back seats. They all had their seat belts on. In fact, his son asked him if he had his seat belt on. He said the Ford Explorer was hooked up to the tow truck with the front end on a hook and the rear wheels on a dolly. He said the tow truck was just coming off a bridge when he heard a "loud noise" and almost immediately thereafter the plaintiffs and their children were thrown around inside the Ford Explorer, which was bouncing from side to side. Specifically, he testified that he was restrained by a seat belt while he was violently thrown from side to side. He said it took the tow truck about 2 to 3 minutes to come to a stop after he heard the loud noise. He said the tow truck was moving pretty quickly and as far as he was concerned, was speeding. He said he hurt his face in the mouth area when he was being bounced from side to side and this loosened 12 of his teeth. However, he had no memory whatsoever of what transpired after the tow truck came to a stop, and did not even recall how they all got back to the terminal.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cross-examination, the father testified that he was not aware that the insurance had expired for the Ford Explorer. He only found out when the police attended at the BMW accident site. Counsel asked him why he did not take a taxi directly home once he got back to the terminal after the BMW accident. He said that it sometimes took an hour and a half for a taxi to arrive to this area, and in any case they decided to return to the scene of the BMW accident to retrieve the registration papers and his tooth plate. He also said he did not really have an explanation for why they took the Ford Explorer instead of a taxi, given that no matter what, they had to travel by the BMW accident scene to get back to their home in Surrey and the taxi could have stopped at the scene. He said that sometimes a taxi driver will not agree to pull over and stop so that a passenger can get out to do something. As for why he did not call a taxi from the BMW accident scene to take them all back to the terminal, he said that he did not have a phone and was directed by the police officer. He said he did what he was told.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father said that he takes a taxi to and from work about 80% of the time. He was not familiar with the telephone number of the taxi company because he had never called one himself to take him to or from work. He explained that the job superintendent is the only person authorized to call for a taxi. However, he agreed that he was capable of finding a phone number for a taxi to attend. He also said that he did not want to wait around at the scene of the BMW accident given the time of day and could not see him and his family waiting inside his vehicle for a taxi to arrive.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father testified that he has seen lots of tow trucks towing vehicles, but has never noticed anyone travelling inside a towed vehicle. He agreed that his situation was unique, but he saw no danger because he had been directed to do something by persons he trusted, especially the police, and he did not think there was any risk whatsoever. The police told him to get into the "truck" and the defendant driver told him to get into the Ford Explorer. When counsel asked him what he understood "truck" to mean, he said his first thought was the tow truck, but he was not thinking all that clearly at the time. Counsel suggested to him that the police were not part of his conversation with the defendant driver, and he disagreed stating that they were all standing together in a small group. Counsel pointed out that at his discovery, he testified that he did not recall any conversation between the defendant driver and the police about him getting into the Ford Explorer. He offered no explanation for why he gave this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father testified that shortly after the tow was underway, there was a noise and the Ford Explorer shook for 2 to 3 minutes, although it might have been less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 driver testified that at the time of the accident he had been driving a tow truck for roughly one year. As preparation for his job he had three weeks of training with multiple drivers on different pieces of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was approximately 3:00 a.m. when he got a call from his dispatcher to attend at the Deltaport causeway. He said the lighting at the scene of the BMW accident was very poor such that initially he did not even see the BMW, although he did see the Ford Explorer. When he arrived, he spoke with the police who told him about the BMW accident and that the owner had shown up in the Ford Explorer, but it was not insured. He said that when he had a conversation with the police about the plaintiffs and their children riding in the Ford Explorer for the tow to the terminal, he commented to the police officer that the officer would be the one to give him a ticket for towing a vehicle with persons inside.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 driver then hooked up the Ford Explorer to his truck. He said he could not recall at that point who in fact was in the Ford Explorer. He said that he did not recall having any conversations with the father or mother before he left the scene with the Ford Explorer in tow. He also said that he thought it was company policy that frowned upon having passengers inside a vehicle that was being towed. He said he learned that it was against the law to do so after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 driver said that when his tow truck left the scene of the BMW accident, the plaintiffs and the children were inside the Ford Explorer. When asked why he let them ride in the towed vehicle he said he was trying to be nice - they had had a "crappy" night and he was trying to help them out a little.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 driver said that he did not recall where the plaintiffs were when he was talking with the police. Counsel asked him if he told the plaintiffs that they could not ride in the tow truck, and he said it did not sound like something he would have said to them because it was company policy to permit passengers to ride in the tow truck, but he honestly could not recall.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 driver described the procedure to hook up a four-wheel-drive vehicle to the tow truck and said his description of the hook-up was his practice at the time of the accident for 99.9% of the vehicles he towed.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 said once the vehicle was hooked up, he started to move towards the terminal and as he crossed the overpass he heard or felt a noise or a jerk. He saw in his rear view mirror that the Ford Explorer was moving from side to side. He brought the tow truck to a stop, which took him no more than 20 seconds, although it felt to him like a lifetime. He said that he could not say how fast he was going from the time he left the BMW accident site to where he heard the noise, but said that in no way would he have been speeding. He could not actually explain why the dolly used to transport the Ford Explorer fell apart. He said that before this incident, nothing similar had happened to him. After he stopped, he checked to see if everyone in the Ford Explorer was alright. He then rebuilt the dolly and proceeded to the terminal with the mother and the plaintiffs' daughter riding with him in the tow truck. The father and the plaintiffs' son remained in the Ford Explorer.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position of the defendants is that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driver, or alternatively, if he is found to be negligent, then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plaintiffs must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Section 7.07(6)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26/58</w:t>
      </w:r>
      <w:r>
        <w:rPr>
          <w:rFonts w:ascii="arial" w:eastAsia="arial" w:hAnsi="arial" w:cs="arial"/>
          <w:color w:val="000000"/>
          <w:sz w:val="20"/>
          <w:lang w:val="en-US" w:eastAsia="en-US" w:bidi="ar-SA"/>
        </w:rPr>
        <w:t xml:space="preserve"> provides that no person shall tow a motor vehicle if there is a person in or on the towed motor vehicle. There is no doubt that provision was breached in this case. However, the law provides that mere breach of a statute, standing alone, does not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Van Tent v. Abbotsford (City)</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2013 BCCA 236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With respect to the issue in this case as to whether a breach of the standard of care could be inferred from the evidence - in other words, can the court conclude that the dolly broke apart because of improper assembly of the dolly, the defendant driver's speed or a combination of such factors - the law applicable to the court's analysis is set out at paras. 18-20 of </w:t>
      </w:r>
      <w:r>
        <w:rPr>
          <w:rFonts w:ascii="arial" w:eastAsia="arial" w:hAnsi="arial" w:cs="arial"/>
          <w:i/>
          <w:color w:val="000000"/>
          <w:sz w:val="20"/>
          <w:lang w:val="en-US" w:eastAsia="en-US" w:bidi="ar-SA"/>
        </w:rPr>
        <w:t>Michel v. Doe</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2009 BCCA 225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In </w:t>
      </w:r>
      <w:r>
        <w:rPr>
          <w:rFonts w:ascii="arial" w:eastAsia="arial" w:hAnsi="arial" w:cs="arial"/>
          <w:i/>
          <w:color w:val="000000"/>
          <w:sz w:val="20"/>
          <w:lang w:val="en-US" w:eastAsia="en-US" w:bidi="ar-SA"/>
        </w:rPr>
        <w:t>Fontaine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British Columbia (Official Administrator),</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[1998] 1 S.C.R. 424</w:t>
        </w:r>
      </w:hyperlink>
      <w:r>
        <w:rPr>
          <w:rFonts w:ascii="arial" w:eastAsia="arial" w:hAnsi="arial" w:cs="arial"/>
          <w:color w:val="000000"/>
          <w:sz w:val="20"/>
          <w:lang w:val="en-US" w:eastAsia="en-US" w:bidi="ar-SA"/>
        </w:rPr>
        <w:t xml:space="preserve">], the Supreme Court of Canada concluded that the "doctrine" of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in Canadian jurisprudence ought to be treated as "expired". In view of the arguments advanced in this case on the burden of proof, it may be helpful to refer to the reasoning of Major J. in reaching the conclusion that the legal maxim was unnecessary in deciding cases in which the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largely or wholly circumstantial. Mr. Justice Major began his analysis by noting that for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to arise, "the circumstances of the occurrence must permit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attributable to the defendant": 1) the defendant had sole management and control of the thing that inflicted the damage; and 2) the occurrence was such that it could not normally have happened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is, "whether, in the particular circumstances established by the evidence, the accident would ordinarily occur in the absence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apply, the strength or weakness of the resulting inference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will depend on the factual circumstances of the case (paras. 17-19, 22).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As to the effect of the application of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Major J.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As in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the plaintiff bears the burden of proving on a balance of probabilities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caused the plaintiff's injuries. </w:t>
      </w:r>
      <w:r>
        <w:rPr>
          <w:rFonts w:ascii="arial" w:eastAsia="arial" w:hAnsi="arial" w:cs="arial"/>
          <w:color w:val="000000"/>
          <w:sz w:val="20"/>
          <w:u w:val="single"/>
          <w:lang w:val="en-US" w:eastAsia="en-US" w:bidi="ar-SA"/>
        </w:rPr>
        <w:t xml:space="preserve">The invocation of </w:t>
      </w:r>
      <w:r>
        <w:rPr>
          <w:rFonts w:ascii="arial" w:eastAsia="arial" w:hAnsi="arial" w:cs="arial"/>
          <w:i/>
          <w:color w:val="000000"/>
          <w:sz w:val="20"/>
          <w:u w:val="single"/>
          <w:lang w:val="en-US" w:eastAsia="en-US" w:bidi="ar-SA"/>
        </w:rPr>
        <w:t>res ipsa loquitur</w:t>
      </w:r>
      <w:r>
        <w:rPr>
          <w:rFonts w:ascii="arial" w:eastAsia="arial" w:hAnsi="arial" w:cs="arial"/>
          <w:color w:val="000000"/>
          <w:sz w:val="20"/>
          <w:u w:val="single"/>
          <w:lang w:val="en-US" w:eastAsia="en-US" w:bidi="ar-SA"/>
        </w:rPr>
        <w:t xml:space="preserve"> does not shift the burden of proof to the defendant</w:t>
      </w:r>
      <w:r>
        <w:rPr>
          <w:rFonts w:ascii="arial" w:eastAsia="arial" w:hAnsi="arial" w:cs="arial"/>
          <w:color w:val="000000"/>
          <w:sz w:val="20"/>
          <w:lang w:val="en-US" w:eastAsia="en-US" w:bidi="ar-SA"/>
        </w:rPr>
        <w:t xml:space="preserve">. Rather, the effect of the application of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is as described in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xml:space="preserve"> (1992), by John Sopinka, Sidney N. Lederman and Alan W. Bryant, at p. 81:</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correctly understood, means that circumstantial evidence constitutes reasonable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w:t>
      </w:r>
      <w:r>
        <w:rPr>
          <w:rFonts w:ascii="arial" w:eastAsia="arial" w:hAnsi="arial" w:cs="arial"/>
          <w:color w:val="000000"/>
          <w:sz w:val="20"/>
          <w:u w:val="single"/>
          <w:lang w:val="en-US" w:eastAsia="en-US" w:bidi="ar-SA"/>
        </w:rPr>
        <w:t xml:space="preserve">If, at the conclusion of the case, it would be equally reasonable to infer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or no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the plaintiff will lose since he or she bears the legal burden on this issue</w:t>
      </w:r>
      <w:r>
        <w:rPr>
          <w:rFonts w:ascii="arial" w:eastAsia="arial" w:hAnsi="arial" w:cs="arial"/>
          <w:color w:val="000000"/>
          <w:sz w:val="20"/>
          <w:lang w:val="en-US" w:eastAsia="en-US" w:bidi="ar-SA"/>
        </w:rPr>
        <w:t>. Under this construction, the maxim is superfluous. It can be treated simply as a case of circumstantial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Should the trier of fact choose to draw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from the circumstances, that will be a factor in the plaintiff's favour. Whether that will be sufficient for the plaintiff to succeed will depend on the strength of the inference drawn and any explanation offered by the defendant to negate that inference. </w:t>
      </w:r>
      <w:r>
        <w:rPr>
          <w:rFonts w:ascii="arial" w:eastAsia="arial" w:hAnsi="arial" w:cs="arial"/>
          <w:color w:val="000000"/>
          <w:sz w:val="20"/>
          <w:u w:val="single"/>
          <w:lang w:val="en-US" w:eastAsia="en-US" w:bidi="ar-SA"/>
        </w:rPr>
        <w:t xml:space="preserve">If the defendant produces a reasonable explanation that is as consistent with no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as the </w:t>
      </w:r>
      <w:r>
        <w:rPr>
          <w:rFonts w:ascii="arial" w:eastAsia="arial" w:hAnsi="arial" w:cs="arial"/>
          <w:i/>
          <w:color w:val="000000"/>
          <w:sz w:val="20"/>
          <w:u w:val="single"/>
          <w:lang w:val="en-US" w:eastAsia="en-US" w:bidi="ar-SA"/>
        </w:rPr>
        <w:t>res ipsa loquitur</w:t>
      </w:r>
      <w:r>
        <w:rPr>
          <w:rFonts w:ascii="arial" w:eastAsia="arial" w:hAnsi="arial" w:cs="arial"/>
          <w:color w:val="000000"/>
          <w:sz w:val="20"/>
          <w:u w:val="single"/>
          <w:lang w:val="en-US" w:eastAsia="en-US" w:bidi="ar-SA"/>
        </w:rPr>
        <w:t xml:space="preserve"> inference is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this will effectively neutralize the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and the plaintiff's case must fail</w:t>
      </w:r>
      <w:r>
        <w:rPr>
          <w:rFonts w:ascii="arial" w:eastAsia="arial" w:hAnsi="arial" w:cs="arial"/>
          <w:color w:val="000000"/>
          <w:sz w:val="20"/>
          <w:lang w:val="en-US" w:eastAsia="en-US" w:bidi="ar-SA"/>
        </w:rPr>
        <w:t>. Thus, the strength of the explanation that the defendant must provide will vary in accordance with the strength of the inference sought to be drawn by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Mr. Justice Major went on to conclude that as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was unhelpful it should be treated as "expired", and provided a simpler formulation of the correct approach for dealing with circumstantial evidence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Whatever value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may have once provided is gone. Various attempts to apply the so-called doctrine have been more confusing than helpful. Its use has been restricted to cases where the facts permitted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there was no other reasonable explanation for the accident. Given its limited use it is somewhat meaningless to refer to that use as a doctrine of law.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It would appear that the law would be better served if the maxim was treated as expired and no longer used as a separate component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After all, it was nothing more than an attempt to deal with circumstantial evidence. </w:t>
      </w:r>
      <w:r>
        <w:rPr>
          <w:rFonts w:ascii="arial" w:eastAsia="arial" w:hAnsi="arial" w:cs="arial"/>
          <w:color w:val="000000"/>
          <w:sz w:val="20"/>
          <w:u w:val="single"/>
          <w:lang w:val="en-US" w:eastAsia="en-US" w:bidi="ar-SA"/>
        </w:rPr>
        <w:t xml:space="preserve">That evidence is more sensibly dealt with by the trier of fact, who should weigh the circumstantial evidence with the direct evidence, if any, to determine whether the plaintiff has established on a balance of probabilities a </w:t>
      </w:r>
      <w:r>
        <w:rPr>
          <w:rFonts w:ascii="arial" w:eastAsia="arial" w:hAnsi="arial" w:cs="arial"/>
          <w:i/>
          <w:color w:val="000000"/>
          <w:sz w:val="20"/>
          <w:u w:val="single"/>
          <w:lang w:val="en-US" w:eastAsia="en-US" w:bidi="ar-SA"/>
        </w:rPr>
        <w:t>prima facie</w:t>
      </w:r>
      <w:r>
        <w:rPr>
          <w:rFonts w:ascii="arial" w:eastAsia="arial" w:hAnsi="arial" w:cs="arial"/>
          <w:color w:val="000000"/>
          <w:sz w:val="20"/>
          <w:u w:val="single"/>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against the defendant. Once the plaintiff has done so, the defendant must present evidence negating that of the plaintiff or necessarily the plaintiff will succeed</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[Emphasis in </w:t>
      </w:r>
      <w:r>
        <w:rPr>
          <w:rFonts w:ascii="arial" w:eastAsia="arial" w:hAnsi="arial" w:cs="arial"/>
          <w:i/>
          <w:color w:val="000000"/>
          <w:sz w:val="20"/>
          <w:lang w:val="en-US" w:eastAsia="en-US" w:bidi="ar-SA"/>
        </w:rPr>
        <w:t>Michel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the case at bar, the defence contends that the possibilities of non-</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equally consistent with the available evidence. I disagree with this submission. I find that the plaintiffs have proven on a balance of probabilities that the defendant driver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defendants admit that the defendant driver affected the tow by using a dolly system to pick up the Ford Explorer. They also admit that during the course of towing the vehicle the dolly broke apart completely leaving the Ford Explorer connected only by a system of L-arm chains which caused it to swing back and forth.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Although there is no actual evidence of what caused the dolly to break apart (the defendant driver said he had no idea why it broke apart), there is nevertheless compelling evidence from which I find that the reasonable inference can be drawn that the cause was a combination of human error and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First, the evidence is that after the dolly broke apart, and after the tow truck came to a stop, the driver was able to reassemble the dolly and carry on with the tow. I think this evidence strongly militates against a conclusion that there was some mechanical defect in the dolly system which caused it to break apart.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Second, the plaintiffs both testified that in their estimation the driver was driving too fast while he was towing the Ford Explorer. On the other hand, the defendant driver said that there was no way that he was speeding. However, I prefer the plaintiffs' evidence over the evidence of the defendant driver on this point. His recollection was generally weak about many of the details surrounding the incident, and I formed the strong impression that the memories of the plaintiffs are far more reliable than that of the defendant driver on what took place at the BMW accident scene, as well as during the tow of the Ford Explorer.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Thus, I find that it was a failure on the part of the defendant driver to properly assemble the dolly system at the outset of the tow, on its own or in combination with the fact that he was driving too fast, that caused the dolly to break apart.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Having found that the defendant driver was negligent, I turn next to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onus is on the defendants to prove that the plaintiffs are in part to blame for their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position of the plaintiffs is that they had no real option other than to get into the Ford Explorer. In support of that position, they note that they found themselves in a situation through no fault of their own on a dark stretch of a road with two traumatized children and an injured father. They asked and were denied a ride back to the terminal by the police. Four of them could not all ride in the tow truck. They insist that calling a taxi was not a realistic option given the time of day. They were primarily concerned about the children and they had already been detained at the BMW accident site by the police for about two hours. Further, the defendant driver told them that riding in the Ford Explorer would be safe. On that basis, the plaintiffs submit that no blame can be ascribed to them in all of the circumstances. I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Cempel v. Harrison Hot Springs Hotel Ltd</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(1997), 43 B.C.L.R. (3d) 219</w:t>
        </w:r>
      </w:hyperlink>
      <w:r>
        <w:rPr>
          <w:rFonts w:ascii="arial" w:eastAsia="arial" w:hAnsi="arial" w:cs="arial"/>
          <w:color w:val="000000"/>
          <w:sz w:val="20"/>
          <w:lang w:val="en-US" w:eastAsia="en-US" w:bidi="ar-SA"/>
        </w:rPr>
        <w:t xml:space="preserve"> at paras. 18-19 (C.A.), Lambert J.A. explained the approach to be taken for apportionment of liability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I believe the trial judge's choice of words and the syntax of the last two sentences indicate that the reason that the plaintiff was required to pay 75% of her own loss was that she was "primarily the author of her own misfortune". I consider that the trial judge reached his conclusion on apportionment by deciding that the apportionment should be based on an assessment of relative degrees of causation as between the plaintiff as an active causative force at the moment of the injury and the defendant as a passive causative force at the moment of the injury.</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think that such an approach to apportionment is wrong in law.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requires that the apportionment must be made on the basis of "the degree to which each person was at fault". It does not say that the apportionment should be on the basis of the degree to which each person's fault caused the damage. So we are not assessing degrees of causation, we are assessing degrees of fault. In this context, "fault" means blameworthiness. So it is a gauge of the amount by which each proximate and effective causative agent fell short of the standard of care that was required of that person in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at paras. 24-25, Tysoe J.A.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At common law,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 plaintiff was a complete defence to his or her claim. This was considered to be unjust, and legislatures in many common law jurisdictions passed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statutes (also referred to as apportionment legislation). The statute in this province is currently called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R.S.B.C. 1996, c. 333, s. 1</w:t>
        </w:r>
      </w:hyperlink>
      <w:r>
        <w:rPr>
          <w:rFonts w:ascii="arial" w:eastAsia="arial" w:hAnsi="arial" w:cs="arial"/>
          <w:color w:val="000000"/>
          <w:sz w:val="20"/>
          <w:lang w:val="en-US" w:eastAsia="en-US" w:bidi="ar-SA"/>
        </w:rPr>
        <w:t>(1) of which reads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by the fault of 2 or more persons damage or loss is caused to one or more of them, the liability to make good the damage or loss is in proportion to the degree to which each person was at fault.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damage or loss has been caused by the fault of two or more persons, s. 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requires the court to determine the degree to which each person was at fault. While the prerequisite to apportionment is that the damage or loss has been caused by the fault of two or more persons, the apportionment must be done on the basis of the degree to which each person was at fault, not on the basis to which each person's fault caused the damage: </w:t>
      </w:r>
      <w:r>
        <w:rPr>
          <w:rFonts w:ascii="arial" w:eastAsia="arial" w:hAnsi="arial" w:cs="arial"/>
          <w:i/>
          <w:color w:val="000000"/>
          <w:sz w:val="20"/>
          <w:lang w:val="en-US" w:eastAsia="en-US" w:bidi="ar-SA"/>
        </w:rPr>
        <w:t>Cempel v. Harrison Hot Springs Hotel Ltd.</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[1998] 6 W.W.R. 233</w:t>
        </w:r>
      </w:hyperlink>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43 B.C.L.R. (3d) 219</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The concept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described in John G. Fleming,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9th ed. (Sydney: LBC Information Services, 1998) at 302,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 plaintiff's failure to meet the standard of care to which he is required to conform for his own protection and which is a legally contributing cause, together with the defendant's default, in bringing about his injury. The term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is unfortunately not altogether free from ambiguity. In the first place,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here used in a sense different from that which it bears in relation to a defendant's conduct. It does not necessarily connote conduct fraught with undue risk to </w:t>
      </w:r>
      <w:r>
        <w:rPr>
          <w:rFonts w:ascii="arial" w:eastAsia="arial" w:hAnsi="arial" w:cs="arial"/>
          <w:i/>
          <w:color w:val="000000"/>
          <w:sz w:val="20"/>
          <w:lang w:val="en-US" w:eastAsia="en-US" w:bidi="ar-SA"/>
        </w:rPr>
        <w:t>others</w:t>
      </w:r>
      <w:r>
        <w:rPr>
          <w:rFonts w:ascii="arial" w:eastAsia="arial" w:hAnsi="arial" w:cs="arial"/>
          <w:color w:val="000000"/>
          <w:sz w:val="20"/>
          <w:lang w:val="en-US" w:eastAsia="en-US" w:bidi="ar-SA"/>
        </w:rPr>
        <w:t xml:space="preserve">, but rather failure on the part of the person injured to take reasonable care of himself in his </w:t>
      </w:r>
      <w:r>
        <w:rPr>
          <w:rFonts w:ascii="arial" w:eastAsia="arial" w:hAnsi="arial" w:cs="arial"/>
          <w:i/>
          <w:color w:val="000000"/>
          <w:sz w:val="20"/>
          <w:lang w:val="en-US" w:eastAsia="en-US" w:bidi="ar-SA"/>
        </w:rPr>
        <w:t>own</w:t>
      </w:r>
      <w:r>
        <w:rPr>
          <w:rFonts w:ascii="arial" w:eastAsia="arial" w:hAnsi="arial" w:cs="arial"/>
          <w:color w:val="000000"/>
          <w:sz w:val="20"/>
          <w:lang w:val="en-US" w:eastAsia="en-US" w:bidi="ar-SA"/>
        </w:rPr>
        <w:t xml:space="preserve"> interest. ... Secondly, the term "contributory" might misleadingly suggest that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concurring with the defendant's, must have contributed to the </w:t>
      </w:r>
      <w:r>
        <w:rPr>
          <w:rFonts w:ascii="arial" w:eastAsia="arial" w:hAnsi="arial" w:cs="arial"/>
          <w:i/>
          <w:color w:val="000000"/>
          <w:sz w:val="20"/>
          <w:lang w:val="en-US" w:eastAsia="en-US" w:bidi="ar-SA"/>
        </w:rPr>
        <w:t>accident</w:t>
      </w:r>
      <w:r>
        <w:rPr>
          <w:rFonts w:ascii="arial" w:eastAsia="arial" w:hAnsi="arial" w:cs="arial"/>
          <w:color w:val="000000"/>
          <w:sz w:val="20"/>
          <w:lang w:val="en-US" w:eastAsia="en-US" w:bidi="ar-SA"/>
        </w:rPr>
        <w:t xml:space="preserve"> in the sense of being instrumental in bringing it about. Actually, it means nothing more than his failure to avoid getting hurt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the case at bar, I find that the plaintiffs appreciated the risk associated with them riding together with their children as passengers in the Ford Explorer while it was being towed. I also find that they accepted the risk not only because of the assurance they received from the defendant driver as to their safety, but also because they considered this option in all of the circumstances to be more convenient than waiting at the BMW site for a cab to take them home, especially because once they were back at the terminal they could ask the superintendent to arrange a cab to drive them to Surrey at no cost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my opinion, regardless of what the plaintiffs were told by the defendant driver about their safety, or for that matter the fact that the police observed the situation and did nothing to stop it, they nevertheless had an obligation to assess the risk and act reasonably. The fact that the defendant driver told them it was a safe option did not mean that the risk associated with the situation they accepted was unforeseeable. Thus, I am satisfied that to some degree the plaintiffs were to blame, but I find that the defendant driver was at fault to a much greater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find that the defendant driver knew full well that it was against the law to permit persons to ride in a vehicle being towed. His responsibility in this regard was not removed by the fact that he believed the police would not penalize him in the circumstances. In addition, he was completely in control of the situation in terms of allowing the plaintiffs and their children to ride in the Ford Explorer while it was being towed. He could have easily refused them this option or have offered to take two of them at a time back to the terminal in his tow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When I balance the relative degrees of fault, I find that liability should be apportioned 25% to the plaintiffs and 75% to the defendant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B.I. COHEN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6" style="position:absolute;z-index:2518200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8" w:history="1">
        <w:r>
          <w:rPr>
            <w:rFonts w:ascii="arial" w:eastAsia="arial" w:hAnsi="arial" w:cs="arial"/>
            <w:b/>
            <w:bCs/>
            <w:i/>
            <w:color w:val="0077CC"/>
            <w:kern w:val="32"/>
            <w:sz w:val="28"/>
            <w:szCs w:val="32"/>
            <w:u w:val="single"/>
            <w:shd w:val="clear" w:color="auto" w:fill="FFFFFF"/>
            <w:lang w:val="en-US" w:eastAsia="en-US" w:bidi="ar-SA"/>
          </w:rPr>
          <w:t>W.W. v. Canada (Attorney General), [2002] B.C.J. No. 1821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Cullen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27,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6,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S005157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1821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1164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 B.C.L.R. (4th) 161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115 A.C.W.S. (3d) 709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B.C.T.C. 1164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W.W., plaintiff, and Attorney General of Canada,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7"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8" w:name="Keywords_8"/>
      <w:bookmarkEnd w:id="58"/>
      <w:r>
        <w:rPr>
          <w:rFonts w:ascii="arial" w:eastAsia="arial" w:hAnsi="arial" w:cs="arial"/>
          <w:b/>
          <w:color w:val="000000"/>
          <w:sz w:val="20"/>
          <w:lang w:val="en-US" w:eastAsia="en-US" w:bidi="ar-SA"/>
        </w:rPr>
        <w:t xml:space="preserve">Practice — Class actions, certification, appointment of representative plaintiff — Crown — Torts by and against Crown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Crown — Sexual abuse by employees.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9" w:name="Case Summary_7"/>
            <w:bookmarkEnd w:id="5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W.W. for certification of the action against the Attorney General of Canada as a class proceeding, with the class ti be comprised of all former members of the Canadian Sea Cadets at HMCS Discovery who suffered sexual abuse between 1967 and 1977. The claim alleged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Canada for breaching an obligation to take measures in the operation of the cadet program to protect cadets from misconduct of a sexual nature. Canada argued that, relying on the Crown Liability and Proceedings Act, the claim did not disclose a cause of action since it was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rather than vicarious liability. Canada also argued that the claim was barred by being outside the six-month limitation period under the National Defence Act.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0" w:name="Holdings of Court_7"/>
            <w:bookmarkEnd w:id="60"/>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decision to authorize the formation of cadet organizations, administer them and determine which officers will be in command was subject to the duty to use due care.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pleaded by W.W.,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arose when individual acts or omissions were directed towards a general rather than a specific set of circumstances. As such, W.W. established a cause of action not negated by the Crown Liability and Proceedings Act. The limitation period under the National Defence Act did not apply because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relation to the protection of cadets from sexual abuse did not correlate to the exercise of military or departmental powers or duties.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1" w:name="Legislation Cited_5"/>
      <w:bookmarkEnd w:id="6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8"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Class Proceedings Act, ss. 4(1)(a).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B.C. Crown Proceeding Act, s. 2(a), 2(b), 2(c), 2(d).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Crown Liability and Proceedings Act, s. 3(a), 3(a)(i), 3(a)(ii), 3(b), 3(b)(i), 3(b)(ii), 24, 24(a), 24(b).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Rules of Court, Rules 19(1),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National Defence Act, s. 43, 43(1), 43(2), 43(3), 269, 269(1), 269(2).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Public Authorities Protection Act, s. 7(1).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2" w:name="Counsel_8"/>
      <w:bookmarkEnd w:id="6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9" style="position:absolute;z-index:2517698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R.D. Gibbens, for the plaintiff. J.A.M. Bowers, Q.C., M. Molloy and W. Bansley,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3" w:name="Judgment_8"/>
      <w:bookmarkEnd w:id="63"/>
      <w:r>
        <w:pict>
          <v:line id="_x0000_s1070" style="position:absolute;z-index:2518210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4" w:name="CULLEN J."/>
            <w:bookmarkEnd w:id="64"/>
            <w:r>
              <w:rPr>
                <w:rFonts w:ascii="arial" w:eastAsia="arial" w:hAnsi="arial" w:cs="arial"/>
                <w:b/>
                <w:color w:val="000000"/>
                <w:sz w:val="30"/>
                <w:lang w:val="en-US" w:eastAsia="en-US" w:bidi="ar-SA"/>
              </w:rPr>
              <w:t>CULLEN J.</w:t>
            </w:r>
          </w:p>
        </w:tc>
      </w:tr>
    </w:tbl>
    <w:p>
      <w:pP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cr/>
      </w:r>
    </w:p>
    <w:p>
      <w:pPr>
        <w:numPr>
          <w:numId w:val="1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action is brought under the 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seeking certification of the proceeding as a class proceeding, an order that the plaintiff class "is comprised of all former members of the Canadian Sea Cadets, Captain Vancouver Corps, at HMCS Discovery who suffered sexual abuse or sexual misconduct between 1967 and 1977," and an order that the individual plaintiff W.W. be appointed representative of that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nature of the claim being pursued by the plaintiff is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breach of the defendant's obligation "to take reasonable measures in the operation or management of the cadet program at HMCS Discovery to protect cadets from misconduct of a sexual nature by employees, agents or other cadets at HMCS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issues said to be common for the plaintiff class are as follows: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defendant in breach of an obligation for failing to take reasonable measures in the operation or management of the cadet program at HMCS Discovery to protect the cadets from misconduct of a sexual nature by employees, agents or other cadets at HMCS Discovery?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common issue no. 1 is "yes" was the defendant guilty of conduct that justifies an award of aggravated or punitive damages?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common issue no. 2 is "yes" what amount of aggravated or punitive damages is to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application for certification has been divided into two parts, the first of which concerns the issue of whether the pleadings disclose a cause of action as required by s. 4(1)(a) of the Class Proceedings Act. These reasons relate only to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By alleging a negligent failure to protect the plaintiff and others against harm rather than by alleging vicarious liability for the intentional acts of the defendant's servants which caused the harm, the plaintiff has framed his action against the Attorney General of Canada in such a way as to render it conducive to the resolution of issues common to the class of plaintiffs he seeks to represent. The defendant says that in so framing his action the plaintiff has stepped outside of the private law duties owed to him (and the class he seeks to represent) created by the Crown Liability and Proceedings Act, </w:t>
      </w:r>
      <w:hyperlink r:id="rId249" w:history="1">
        <w:r>
          <w:rPr>
            <w:rFonts w:ascii="arial" w:eastAsia="arial" w:hAnsi="arial" w:cs="arial"/>
            <w:i/>
            <w:color w:val="0077CC"/>
            <w:sz w:val="20"/>
            <w:u w:val="single"/>
            <w:shd w:val="clear" w:color="auto" w:fill="FFFFFF"/>
            <w:lang w:val="en-US" w:eastAsia="en-US" w:bidi="ar-SA"/>
          </w:rPr>
          <w:t>R.S.C. 1985, c. C-50</w:t>
        </w:r>
      </w:hyperlink>
      <w:r>
        <w:rPr>
          <w:rFonts w:ascii="arial" w:eastAsia="arial" w:hAnsi="arial" w:cs="arial"/>
          <w:color w:val="000000"/>
          <w:sz w:val="20"/>
          <w:lang w:val="en-US" w:eastAsia="en-US" w:bidi="ar-SA"/>
        </w:rPr>
        <w:t xml:space="preserve"> ("CLPA") and its predecessor the Crown Liability Act, S.C. 1952-53, c.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defendant also asserts that the six month limitation period set out in s. 269 of the National Defence Act, </w:t>
      </w:r>
      <w:hyperlink r:id="rId250" w:history="1">
        <w:r>
          <w:rPr>
            <w:rFonts w:ascii="arial" w:eastAsia="arial" w:hAnsi="arial" w:cs="arial"/>
            <w:i/>
            <w:color w:val="0077CC"/>
            <w:sz w:val="20"/>
            <w:u w:val="single"/>
            <w:shd w:val="clear" w:color="auto" w:fill="FFFFFF"/>
            <w:lang w:val="en-US" w:eastAsia="en-US" w:bidi="ar-SA"/>
          </w:rPr>
          <w:t>R.S.C. 1985, c. N-5</w:t>
        </w:r>
      </w:hyperlink>
      <w:r>
        <w:rPr>
          <w:rFonts w:ascii="arial" w:eastAsia="arial" w:hAnsi="arial" w:cs="arial"/>
          <w:color w:val="000000"/>
          <w:sz w:val="20"/>
          <w:lang w:val="en-US" w:eastAsia="en-US" w:bidi="ar-SA"/>
        </w:rPr>
        <w:t xml:space="preserve"> applies so as to statute bar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says the applicable limitation period is that set forth in the B.C. Limitation Act, R.S.B.C. c. 266, section 3(4)(k) and (l), which accommodates this action.</w:t>
      </w:r>
      <w:r>
        <w:rPr>
          <w:rFonts w:ascii="arial" w:eastAsia="arial" w:hAnsi="arial" w:cs="arial"/>
          <w:sz w:val="20"/>
          <w:lang w:val="en-US" w:eastAsia="en-US" w:bidi="ar-SA"/>
        </w:rPr>
        <w:cr/>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test for whether the pleadings disclose a cause of action is the same as that governing the application of Rule 19(24)(a) of the Rules of Court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xml:space="preserve">, i.e. whether it is "plain and obvious", assuming the facts pleaded to be proved, that there is "no reasonable cause of action." See Hunt v. Carey Canada Inc.,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 per Wilson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making a determination under R. 19(24)(a) whether there is a question to be tried, the court must have regard for the pleadings as they stand or as they might be amended without consideration of the novelty or complexity of the question which they raise. See Kripps v. Touche Ross &amp; Co. </w:t>
      </w:r>
      <w:hyperlink r:id="rId251" w:history="1">
        <w:r>
          <w:rPr>
            <w:rFonts w:ascii="arial" w:eastAsia="arial" w:hAnsi="arial" w:cs="arial"/>
            <w:i/>
            <w:color w:val="0077CC"/>
            <w:sz w:val="20"/>
            <w:u w:val="single"/>
            <w:shd w:val="clear" w:color="auto" w:fill="FFFFFF"/>
            <w:lang w:val="en-US" w:eastAsia="en-US" w:bidi="ar-SA"/>
          </w:rPr>
          <w:t>(1992), 69 B.C.L.R. (2d) 62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part, the plaintiff's claim against the Crown is framed as what has been described as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Rumley et al. v. British Columbia, </w:t>
      </w:r>
      <w:hyperlink r:id="rId252" w:history="1">
        <w:r>
          <w:rPr>
            <w:rFonts w:ascii="arial" w:eastAsia="arial" w:hAnsi="arial" w:cs="arial"/>
            <w:i/>
            <w:color w:val="0077CC"/>
            <w:sz w:val="20"/>
            <w:u w:val="single"/>
            <w:shd w:val="clear" w:color="auto" w:fill="FFFFFF"/>
            <w:lang w:val="en-US" w:eastAsia="en-US" w:bidi="ar-SA"/>
          </w:rPr>
          <w:t>[2001] S.C.J. No. 39</w:t>
        </w:r>
      </w:hyperlink>
      <w:r>
        <w:rPr>
          <w:rFonts w:ascii="arial" w:eastAsia="arial" w:hAnsi="arial" w:cs="arial"/>
          <w:color w:val="000000"/>
          <w:sz w:val="20"/>
          <w:lang w:val="en-US" w:eastAsia="en-US" w:bidi="ar-SA"/>
        </w:rPr>
        <w:t xml:space="preserve">; (1999), affirming </w:t>
      </w:r>
      <w:hyperlink r:id="rId253" w:history="1">
        <w:r>
          <w:rPr>
            <w:rFonts w:ascii="arial" w:eastAsia="arial" w:hAnsi="arial" w:cs="arial"/>
            <w:i/>
            <w:color w:val="0077CC"/>
            <w:sz w:val="20"/>
            <w:u w:val="single"/>
            <w:shd w:val="clear" w:color="auto" w:fill="FFFFFF"/>
            <w:lang w:val="en-US" w:eastAsia="en-US" w:bidi="ar-SA"/>
          </w:rPr>
          <w:t>72 B.C.L.R. (3d) 1</w:t>
        </w:r>
      </w:hyperlink>
      <w:r>
        <w:rPr>
          <w:rFonts w:ascii="arial" w:eastAsia="arial" w:hAnsi="arial" w:cs="arial"/>
          <w:color w:val="000000"/>
          <w:sz w:val="20"/>
          <w:lang w:val="en-US" w:eastAsia="en-US" w:bidi="ar-SA"/>
        </w:rPr>
        <w:t xml:space="preserve"> (C.A.); reversing in part </w:t>
      </w:r>
      <w:hyperlink r:id="rId254" w:history="1">
        <w:r>
          <w:rPr>
            <w:rFonts w:ascii="arial" w:eastAsia="arial" w:hAnsi="arial" w:cs="arial"/>
            <w:i/>
            <w:color w:val="0077CC"/>
            <w:sz w:val="20"/>
            <w:u w:val="single"/>
            <w:shd w:val="clear" w:color="auto" w:fill="FFFFFF"/>
            <w:lang w:val="en-US" w:eastAsia="en-US" w:bidi="ar-SA"/>
          </w:rPr>
          <w:t>(1998) 65 B.C.L.R. (3d) 382</w:t>
        </w:r>
      </w:hyperlink>
      <w:r>
        <w:rPr>
          <w:rFonts w:ascii="arial" w:eastAsia="arial" w:hAnsi="arial" w:cs="arial"/>
          <w:color w:val="000000"/>
          <w:sz w:val="20"/>
          <w:lang w:val="en-US" w:eastAsia="en-US" w:bidi="ar-SA"/>
        </w:rPr>
        <w:t xml:space="preserve"> (B.C.S.C.). In fact the statement of claim in the present case is similar to that in Rumley insofar as it is based on "the failure to have in place management and operations procedures that would reasonably have prevented the abuse." See Rumley </w:t>
      </w:r>
      <w:hyperlink r:id="rId253" w:history="1">
        <w:r>
          <w:rPr>
            <w:rFonts w:ascii="arial" w:eastAsia="arial" w:hAnsi="arial" w:cs="arial"/>
            <w:i/>
            <w:color w:val="0077CC"/>
            <w:sz w:val="20"/>
            <w:u w:val="single"/>
            <w:shd w:val="clear" w:color="auto" w:fill="FFFFFF"/>
            <w:lang w:val="en-US" w:eastAsia="en-US" w:bidi="ar-SA"/>
          </w:rPr>
          <w:t>72 B.C.L.R. (3d) 1</w:t>
        </w:r>
      </w:hyperlink>
      <w:r>
        <w:rPr>
          <w:rFonts w:ascii="arial" w:eastAsia="arial" w:hAnsi="arial" w:cs="arial"/>
          <w:color w:val="000000"/>
          <w:sz w:val="20"/>
          <w:lang w:val="en-US" w:eastAsia="en-US" w:bidi="ar-SA"/>
        </w:rPr>
        <w:t xml:space="preserve"> (C.A.) at 8 per Mackenzie 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Crown bases its position that no reasonable cause of action is disclosed by these pleadings on the distinction between the unlimited potential liability of the Provincial Crown established by the B.C. Crown Proceeding Act, </w:t>
      </w:r>
      <w:r>
        <w:rPr>
          <w:rFonts w:ascii="arial" w:eastAsia="arial" w:hAnsi="arial" w:cs="arial"/>
          <w:i/>
          <w:color w:val="000000"/>
          <w:sz w:val="20"/>
          <w:lang w:val="en-US" w:eastAsia="en-US" w:bidi="ar-SA"/>
        </w:rPr>
        <w:t>R.S.B.C. 1996, c. 89</w:t>
      </w:r>
      <w:r>
        <w:rPr>
          <w:rFonts w:ascii="arial" w:eastAsia="arial" w:hAnsi="arial" w:cs="arial"/>
          <w:color w:val="000000"/>
          <w:sz w:val="20"/>
          <w:lang w:val="en-US" w:eastAsia="en-US" w:bidi="ar-SA"/>
        </w:rPr>
        <w:t xml:space="preserve"> and its predecessor, S.B.C. 1974, c. 24, under which Rumley was brought, and the lesser potential liability of the Federal Crown established by the CLPA under which the present case is brought.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relevant portions of the B.C. Crown Proceeding Act, reads as follows: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this Act,</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 against the government by way of petition of right is abolished,</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 against the government that, if this Act had not been passed, might be enforced by petition of right, subject to the grant of a fiat by the Lieutenant Governor, may be enforced as of right by proceeding against the government in accordance with this Act, without the grant of a fiat by the Lieutenant Governor,</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government is subject to all the liabilities to which it would be liable if it were a person, and</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 relating to indemnity and contribution is enforceable by and against the government for any liability to which it is subject, as if the government were a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1996 version is substantially the same as that in the earlier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relevant provisions in the CLPA, read as follows: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Crown is liable for the damages for which, if it were a person, it would be liable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Province of Quebec, in respect of</w:t>
      </w:r>
    </w:p>
    <w:p>
      <w:pPr>
        <w:numPr>
          <w:numId w:val="8"/>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 caused by the fault of a servant of the Crown, or</w:t>
      </w:r>
    </w:p>
    <w:p>
      <w:pPr>
        <w:numPr>
          <w:numId w:val="9"/>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 resulting from the act or a thing in the custody of or owned by the Crown or by the fault of the Crown as custodian or owner;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other province, in respect of</w:t>
      </w:r>
    </w:p>
    <w:p>
      <w:pPr>
        <w:numPr>
          <w:numId w:val="11"/>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 tort committed by a servant of the Crown, or</w:t>
      </w:r>
    </w:p>
    <w:p>
      <w:pPr>
        <w:numPr>
          <w:numId w:val="12"/>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 breach of duty attaching to the ownership, occupation, possession or control of property.</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proceedings lie against the Crown by virtue of subparagraph 3(a)(i) or (b)(i) in respect of any act or omission of a servant of the Crown unless the act or omission would, apart from the provisions of this Act, have given rise to a cause of action for liability against that servant or the servant's personal representative or successors.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is the Crown's contention that the crucial difference between the applicable provisions of the Federal and Provincial legislation is that the Federal Crown can only be found vicariously liable for the acts or omissions of its servants or agents, whereas the British Columbia legislation provides for direct as well as vicarious liability. The Crown's submission is succinctly stated in its written argument as follows: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virtue of section 3(b)(i) of the CLPA, The Crown's liability is entirely vicarious and can only be engaged for torts committed by a servant of the Crown. Further, by virtue of section 10 of the CLPA, no proceedings lie against the Crown for the torts of its servants or agents "unless the act or omission would apart from the provisions of the Act have given rise to a cause of action in tort against that servant or the servant's personal representatives.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Consequently, in so far as the Plaintiff bases his claim on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his claim must fail as the liability of the Crown is entirely vicarious and must be based on acts or omissions of specific servants, not the Crown's systemic failings.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claim is set forth in his statement of claim and elaborated upon in his affidavit sworn March 6, 2002 filed in support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asserts he was a member of the Royal Canadian Sea Cadets at HMCS Discovery between 1968 when he was 13 or 14 years of age, and 1971 when he was 17 or 18. During that time frame he was repeatedly sexually assaulted by representatives or employees of the defendant in the following manner:</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fondling his genitals and masturbating him;</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forcing him to fondle the genitals and masturbate a representative of the Defendant;</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performing fellatio on him;</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attempting to force him to perform fellatio on a male individual;</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anal penetration;</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forcing and persuading him to watch another representative of the Defendant encourage sexual assaults and sexual abuse of other young cadets.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According to the plaintiff's affidavit, his sexual abuse took place at the hands of two officers at HMCS Discovery: Clarence Anderson and Ralph Bremner. The plaintiff asserts that he was abused by both Anderson and Bremner on the HMCS Discovery premises and by Anderson at Anderson's home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is the plaintiff's principal position that the sexual abuse he describes in his statement of claim and affidavit was made possible by the circumstances which arose out of the relationship between the HMCS Discovery officers and the Sea Cadets under their authority, and by the absence of any countervailing controls, procedures or conditions put in place by the defendant to prevent or impede the development or continuation of the offending conduct which stemmed from that relationship. The plaintiff's position is that the circumstances imposed a duty of care on the defendant in relation to the plaintiff and its failure to institute any such conditions or controls constituted a breach of the standard of care entailed by that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nature of the liability claimed by the plaintiff is set out in paragraphs 9, 10, 11 and 12 of his statement of claim which reads as follows: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by virtue of its control over and operation of HMCS Discovery and the Royal Canadian Sea Cadets, Captain Vancouver Corps was at all material times negligent or in breach of its fiduciary duty to the Plaintiff, which includes:</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failure to have in place management and operations procedures that would have reasonably prevented the sexual abuse and misconduct;</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failure to take reasonable measures in the operation or management of the Royal Canadian Sea Cadet program to protect the Cadets from the abuse or misconduct of a sexual nature by the servants, agents, representatives or employees of the Defendant;</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failure to adequately, properly and effectively supervise the Royal Canadian Sea Cadet program at HMCS Discovery and its servants, agents, representatives or employees;</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failure to use reasonable care in assuring the safety, wellbeing and protection of the minors enrolled in the Royal Canadian Sea Cadet program;</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failure to establish or implement standards of conduct for its servants, agents, representatives or employees to ensure that they do not injure or endanger the wellbeing of any Royal Canadian Sea Cadet;</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failure to provide for the Royal Canadian Sea Cadet Corps a program or any system through which sexual abuse is recognized and reported;</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failure to provide for a complaint procedure which would pursue the complaint with due diligence without endangering the Royal Canadian Sea Cadet complainant;</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failure to establish a control procedure which would monitor the actions of its servants, agents, representatives or employees;</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failure to properly vet and screen its servants, agents, representatives or employees;</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failure to implement reasonable standards of monitoring its servants, agents, representatives or employees;</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creation of an environment which encouraged or fostered silence and obedience when such sexual abuse or misconduct arose;</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failure to exercise any supervision or direction over it servants, agents, representatives or employees with respect to the use of alcohol, which was permitted or encouraged to be consumed by minors;</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failure to exercise any supervision or direction over its servants, agents, representatives or employees with respect to pornography which was offered to the Royal Canadian Sea Cadets, who were minors, by the Defendant's servants, agents, representatives or employees;</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failure to investigate or report such conduct to law enforcement agencies after such sexual abuse was reported or, alternatively, after it was known or should have been known by the Defendant;</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creation of an environment of obedience and respect to its servants, agents, representatives or employees who were in a position of power regarding the minors and allowing that power to be abused, and the environment of obedience and respect to be exploited.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the Defendant owed to the Royal Canadian Sea Cadets, as minors in its care, a fiduciary duty and a duty of care to care for and protect the Royal Canadian Sea Cadets, and to act in their best interests at all material times.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breach of its duty of care and fiduciary duty, the Defendant failed to operate the Royal Canadian Sea Cadets, Captain Vancouver Corps in such a manner as to provide a safe social and developmental environment for the minors, particulars of which include:</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adequately, properly and effectively supervise or direct the social environment and the conduct of its servants, representatives, agents or employees to ensure that no harm befell the Royal Canadian Sea Cadets;</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protect the Royal Canadian Sea Cadets from any person which endangered or was injurious to the health and wellbeing of the Royal Canadian Sa Cadets;</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use reasonable care in assuring the safety, wellbeing and protection of the Royal Canadian Sea Cadets at HMCS Discovery;</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use reasonable care in assuring the safety, wellbeing and providing for the best interests of the Royal Canadian Sea Cadets;</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a safe social environment for the Royal Canadian Sea Cadets;</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set or implement standards of conduct for its representatives, agents or employees to ensure the wellbeing and safety of the Royal Canadian Sea Cadets;</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the Royal Canadian Sea Cadets, Captain Vancouver Corps with a program and system through which abuse is recognized and reported;</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educate the Royal Canadian Sea Cadets in the use of a system through which abuse is recognized and reported;</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pursue complaints with due diligence;</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learning of a complaint that a representative, agent or employee has engaged in conduct contrary to the Criminal Code of Canada, failing to report such conduct and the particulars thereof to the appropriate law enforcement agency;</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proper and reasonable intervention and treatment for the Royal Canadian Sea Cadets who were affected by such sexual abuse.</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general, and in breach of its duty of care and fiduciary duty the Defendant operated or caused to be operated the Royal Canadian Sea Cadet program at HMCS Discovery whereby cadets suffered sexual abuse as a result of its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the failure of which is not to have in place management and operations procedures that would reasonably have prevented the sexual abuse.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(ii)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defendant resists the plaintiff's claim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its statement of defence as follows:</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paragraph 9 of the Claim in particular, he does not admit that Her Majesty owed the alleged duties. In the alternative, he says that to the extent Her Majesty may have owed duties to the Plaintiffs such duties were not breached.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paragraph 12 of the Claim in particular, he denies the allegation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is not a recognizable cause of action and is unknown at law, and in any event, does not give rise to a claim of vicarious liability for which the Crown is liable, and therefore no cause of action for the alleged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exists against the Crown either as alleged or at all. He pleads and relies upon the provisions of the said Crown Liability and Proceedings Act, and in particular, Subsection 3(a) and Section 10 thereof.</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further answer to paragraph 12 and to the Claim as a whole, he does not admit the allegations of fact contained therein, either as alleged or at all and he specifically denies Her Majesty is vicariously liable for the alleged injuries, loss and damages which are not admitted but specifically denied. He further denies that such alleged injuries, loss and damages resulted from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fiduciary duty, or any other duty owed to the Plaintiffs by Her Majesty, Her servants, employees, agents, or representatives.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(iii)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dominant issue is whether, assuming the facts pleaded by the plaintiff to be proven, the CLPA permits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where the defendant arguably failed to prevent its servants from sexually assaulting or sexually abusing minors over whom they exercised authority and control.</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says it does not. Counsel for the Crown submits the plaintiff's claim is one based on direct rather than vicarious liability and as such it falls outside the scope of the CLPA and the nature of the liability which attaches to the Queen in Right of Canada under that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Crown relies on Warwick Shipping Ltd. v. The Queen, </w:t>
      </w:r>
      <w:hyperlink r:id="rId255" w:history="1">
        <w:r>
          <w:rPr>
            <w:rFonts w:ascii="arial" w:eastAsia="arial" w:hAnsi="arial" w:cs="arial"/>
            <w:i/>
            <w:color w:val="0077CC"/>
            <w:sz w:val="20"/>
            <w:u w:val="single"/>
            <w:shd w:val="clear" w:color="auto" w:fill="FFFFFF"/>
            <w:lang w:val="en-US" w:eastAsia="en-US" w:bidi="ar-SA"/>
          </w:rPr>
          <w:t>[1982] 2 F.C. 147</w:t>
        </w:r>
      </w:hyperlink>
      <w:r>
        <w:rPr>
          <w:rFonts w:ascii="arial" w:eastAsia="arial" w:hAnsi="arial" w:cs="arial"/>
          <w:color w:val="000000"/>
          <w:sz w:val="20"/>
          <w:lang w:val="en-US" w:eastAsia="en-US" w:bidi="ar-SA"/>
        </w:rPr>
        <w:t xml:space="preserve"> (Fed. Ct.). In that case the Crown was sued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allegedly failing to properly dredge a channel leading into a harbour, causing the plaintiff's ship to run aground. The court ruled that because the plaintiff could not establish liability on the part of any individual Crown servant it could not establish vicarious liability as was necessary under s. 3(1)(b) of the Crown Liability Act, R.S.C. 1970, c. 38 (equivalent to s. 3(b)(i) of the CLPA).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Crown in the present case submits the plaintiff's case suffers from the same deficiency in that vicarious liability is not alleged; rather the basis of the action, being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is one of direct liability which does not fall within the embrace of the CLPA. In making its submission, the Crown relies on commentary on Warwick Shipping in Liability of the Crown, 3d Ed., by Peter W. Hogg and Patrick Monaghan, (Toronto: Carswell, 2000) at 134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Warwick Shipping v. Canada (1983), the owner of an oil tanker that had run aground sued the Crown in right of Canada,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failure of the Crown to properly dredge a channel into a harbour. The plaintiff could not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any individual Crown servant, and so could not establish vicarious liability. If the Crown had been fully liable, it would have been arguable that the Crown was under a duty to provide a safe approach to the harbour, or to provide a system of appropriate warnings to incoming vessels; and such a duty could have been the basis of the direct liability of the Crown. But the Crown was able to stifle this line of argument by pointing to section 3(1)(b) of the federal Crown Liability Act. The only possible head of direct liability was "in respect of a breach of duty attaching to the ownership, occupation, possession or control of property". Since the part of the sea where the accident occurred was not in the "ownership, occupation, possession or control" of the Crown, the Crown could not be liable. That was the outcome of the case, even though the Crown did dredge, mark and chart the area where the accident occurred, and had arguably done so without taking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my view, the context of Warwick Shipping is somewhat different from that of the case at bar as it turns on a finding of lack of duty of any Crown servant to a third party in the particular circumstances of that case. The critical finding in Warwick Shipping was not that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any individual Crown servant, rather it was that no duty of care existed between the Crown servant or the Crown and any third parties in respect of the dredging of the channel because the channel was natural.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For the case at bar to parallel the Warwick Shipping case, it would be necessary to conclude as a matter of law on the pleadings that no duty of care rested on any servant or employee of the Crown to ensure that the minors who were invited to participate in the Sea Cadets organization were not, while so involved, exposed to ongoing sexual assaults and/or sexual abuse by those with authority over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relevant passage from the trial court's judgment in Warwick Shipping is at p. 159: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Since the defendant cannot on the facts of this case be held liable under section 3(1)(b) in so far as the dredging is concerned, any liability covering this activity would have to be founded on section 3(1)(a). On this issue, there exists no duty at law on the part of any servant of the defendant, or of the defendant itself, through any of its servants to remove obstacles to navigation in areas not required to be maintained. There is no requirement at law to maintain natural channels. Since there exists no specific duty to perform, there can be no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performance of the task to which the duty would relate unless the negligent actions create a more dangerous situation than previously existed and the damage is occasioned as a result of that increased hazard. In addition to this, it has been held in accordance with section 4(2) of the Crown Liability Act, and also previous to that enactment, that the Crown cannot be held liable under section 3(1)(a) unless its servant could have been sued personally, by the person claiming against the Crown,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relating to the act or the omission complained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essence, the line drawn in Warwick Shipping intersects those cases where the relationship between the Crown servant or employee and a third party gives rise to a duty of care, and those where it does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importance of that distinction was emphasized by Kerwin and Rand JJ. in Cleveland-Cliffs SS. Co. v. The Queen </w:t>
      </w:r>
      <w:hyperlink r:id="rId256" w:history="1">
        <w:r>
          <w:rPr>
            <w:rFonts w:ascii="arial" w:eastAsia="arial" w:hAnsi="arial" w:cs="arial"/>
            <w:i/>
            <w:color w:val="0077CC"/>
            <w:sz w:val="20"/>
            <w:u w:val="single"/>
            <w:shd w:val="clear" w:color="auto" w:fill="FFFFFF"/>
            <w:lang w:val="en-US" w:eastAsia="en-US" w:bidi="ar-SA"/>
          </w:rPr>
          <w:t>(1957), 10 D.L.R. (2d) 673</w:t>
        </w:r>
      </w:hyperlink>
      <w:r>
        <w:rPr>
          <w:rFonts w:ascii="arial" w:eastAsia="arial" w:hAnsi="arial" w:cs="arial"/>
          <w:color w:val="000000"/>
          <w:sz w:val="20"/>
          <w:lang w:val="en-US" w:eastAsia="en-US" w:bidi="ar-SA"/>
        </w:rPr>
        <w:t xml:space="preserve"> (S.C.C.). In his judgment Kerwin J. stated at 677,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the relevant terms of the Crown Liability Act the appellants must show that they would have a cause of action in tort against some servant of the Crown and this has not been done. It is true that in answer to a request from the solicitors for the appellants the Deputy Minister of Transport declined to name the officers of the Crown charged with the inspection and maintenance of the channel or the installation and maintenance of buoys to indicate the channel and with the issuance of notices to mariners, but, by consent, Frank C.G. Smith, the Dominion hydrographer, was examined for discovery and no application was made under the Rules of the Exchequer Court for the examination of any other officer. In view of the appellant's contention that they were at least entitled to a new trial so that they might take the necessary steps for that purpose or in order to secure the names of anyone against whom within the meaning of the Crown Liability Act, the appellants could show that they would have a cause of action in tort, I have considered the matter anxiously and have come to the conclusion that relief should not be granted on any terms. There was no duty owing to the appellants on the part of the Dominion hydrographer to take soundings in the East Entrance Channel and in the circumstances of this case, I am unable to envisage any possible duty to the appellants resting upon any other servant of the Crown, the breach of which could form the basis of a cause of action against him. The case of Grossman &amp; Sun v. The King, </w:t>
      </w:r>
      <w:hyperlink r:id="rId257" w:history="1">
        <w:r>
          <w:rPr>
            <w:rFonts w:ascii="arial" w:eastAsia="arial" w:hAnsi="arial" w:cs="arial"/>
            <w:i/>
            <w:color w:val="0077CC"/>
            <w:sz w:val="20"/>
            <w:u w:val="single"/>
            <w:shd w:val="clear" w:color="auto" w:fill="FFFFFF"/>
            <w:lang w:val="en-US" w:eastAsia="en-US" w:bidi="ar-SA"/>
          </w:rPr>
          <w:t>[1952] 2 D.L.R. 241</w:t>
        </w:r>
      </w:hyperlink>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[1952] 1 S.C.R. 571</w:t>
        </w:r>
      </w:hyperlink>
      <w:r>
        <w:rPr>
          <w:rFonts w:ascii="arial" w:eastAsia="arial" w:hAnsi="arial" w:cs="arial"/>
          <w:color w:val="000000"/>
          <w:sz w:val="20"/>
          <w:lang w:val="en-US" w:eastAsia="en-US" w:bidi="ar-SA"/>
        </w:rPr>
        <w:t>, is distinguishable as there Nicholas, the airport maintenance foreman, was held to owe a duty to Grossman.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same case Rand J. went on to discuss the rule in Grossman &amp; Sun v. The King, supra, at 679-10: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primary duty of the Crown servants is to the Crown; and the circumstances in which the servant can, at the same time, come under a duty to a third person are extremely rare. The rule laid down in Grossman &amp; Sun v. The King, </w:t>
      </w:r>
      <w:hyperlink r:id="rId257" w:history="1">
        <w:r>
          <w:rPr>
            <w:rFonts w:ascii="arial" w:eastAsia="arial" w:hAnsi="arial" w:cs="arial"/>
            <w:i/>
            <w:color w:val="0077CC"/>
            <w:sz w:val="20"/>
            <w:u w:val="single"/>
            <w:shd w:val="clear" w:color="auto" w:fill="FFFFFF"/>
            <w:lang w:val="en-US" w:eastAsia="en-US" w:bidi="ar-SA"/>
          </w:rPr>
          <w:t>[1952], 2 D.L.R. 241</w:t>
        </w:r>
      </w:hyperlink>
      <w:r>
        <w:rPr>
          <w:rFonts w:ascii="arial" w:eastAsia="arial" w:hAnsi="arial" w:cs="arial"/>
          <w:color w:val="000000"/>
          <w:sz w:val="20"/>
          <w:lang w:val="en-US" w:eastAsia="en-US" w:bidi="ar-SA"/>
        </w:rPr>
        <w:t>, 1 S.C.R. 571 is, as I interpret it, this: that the servant from the nature of his specific duty, a duty immediately related to action of the third person, is chargeable with knowledge that the latter, in his own conduct, is justifiably relying on the performance by the servant of that duty, and that the servant is chargeable with accepting the obligation toward the third person. In other words, between them a de facto relation of reliance and responsibility is contemplated. There are no such circumstances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Thus the presence or absence of a duty of care in the pleadings is an issue that requires determination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Lewis (Guardian ad litem of) v. British Columbia, </w:t>
      </w:r>
      <w:hyperlink r:id="rId130" w:history="1">
        <w:r>
          <w:rPr>
            <w:rFonts w:ascii="arial" w:eastAsia="arial" w:hAnsi="arial" w:cs="arial"/>
            <w:i/>
            <w:color w:val="0077CC"/>
            <w:sz w:val="20"/>
            <w:u w:val="single"/>
            <w:shd w:val="clear" w:color="auto" w:fill="FFFFFF"/>
            <w:lang w:val="en-US" w:eastAsia="en-US" w:bidi="ar-SA"/>
          </w:rPr>
          <w:t>[1997] 3 S.C.R. 1145</w:t>
        </w:r>
      </w:hyperlink>
      <w:r>
        <w:rPr>
          <w:rFonts w:ascii="arial" w:eastAsia="arial" w:hAnsi="arial" w:cs="arial"/>
          <w:color w:val="000000"/>
          <w:sz w:val="20"/>
          <w:lang w:val="en-US" w:eastAsia="en-US" w:bidi="ar-SA"/>
        </w:rPr>
        <w:t>, Cory J. explained how a private law duty of care arises from a public authority's exercise of statutory powers. In doing so he quoted (at 1155) from the decision of Lord Wilberforce in Anns v. Merton London Borough Council, [1978] A.C. 728 (H.L.), describing the test utilized to determine whether the Crown owed a duty of care to third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one has to ask whether, as between the alleged wrong doer and the person who has suffered damage there is a sufficient relationship of proximity or neighbourhood such that, in the reasonable contemplation of the former, carelessness on his part may be likely to cause damage to the latter - in which case a prima facie duty of care arises. Secondly, if the first question is answered affirmatively, it is necessary to consider whether there are any considerations which ought to negative, or to reduce or limit the scope of the duty or the class of person to whom it is owed or the damages to which a breach of it may give 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Lewis, supra, at 1155, Cory J. also cited a passage from Wilson J.'s judgment in Kamloops (City of) v. Nielsen, </w:t>
      </w:r>
      <w:hyperlink r:id="rId258"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in which she followed the test set out by Lord Wilberforce in Anns, supra, and "described the two different forms of statutory discretion and the potential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entailed by each in this manner:"</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Statutes conferring powers to interfere with the rights of individuals in which case an action in respect of damage caused by the exercise of such powers will generally not lie except in the case where the local authority has done what the legislature authorized by has done it negligently;</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Statutes conferring powers but leaving the scale on which they are to be exercised to the discretion of the local authority. Here there will be an option to the local authority whether or not to do the thing authorized but, if it elects to do it and does it negligently, then the policy decision having been made there is a duty at the operational level to use due care in giving effect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Section 43 of the National Defence Act R.S.C. 1970, C. N-4 provided for the establishment of cadet organizations. It read as follows:</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may authorize the formation of cadet organizations under the control and supervision of the Canadian Forces to consist of boys of not less than twelve years of age who have not attained the age of nineteen years.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cadet organizations mentioned in subsection (1) shall be trained for such periods, administered in such manner, provided with materiel and accommodation under such conditions and shall be subject to the authority and command of such officers as the Minister may direct.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cadet organizations mentioned in subsection (1) are not comprised in the Canadian Forces. R.S., c. 184, s. 44; 1966-67, c. 96, s.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my view, the present case falls into the second category set out in Wilson J.'s judgment in Kamloops, supra. The section of the National Defence Act authorizing the Minister of Defence to establish and administer the cadet organizations is clearly discretionary as was the authority of the Ministry in Highways and Transportation in Lewis, supra, which led Cory J. in that case to conclude that it too fell into the second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Lewis, supra, the Supreme Court of Canada found that the Crown in Right of the Province owed a duty of care to users of the highways in British Columbia when it embarked on maintenance operations. After application of the Anns test and determining which category of statutory discretion was being exercised in accordance with Kamloops, supra, Cory J. for the majority concluded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private law duty established by the Anns test "stands alongside" this statutory authority and is applicable once the Ministry makes a policy decision to undertake maintenance work on the highways. The Ministry clearly made the requisite policy decision when it decided to stabilize the rock slope adjacent to the highway. The Crown conceded at trial that the maintenance work undertaken by Cerka involved only operational activities capable of attracting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exercise in statutory discretion thus gave rise to a duty on the Ministry to use due care at the operational level in performing the operational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Swinamer v. Nova Scotia (A.G.), </w:t>
      </w:r>
      <w:hyperlink r:id="rId259" w:history="1">
        <w:r>
          <w:rPr>
            <w:rFonts w:ascii="arial" w:eastAsia="arial" w:hAnsi="arial" w:cs="arial"/>
            <w:i/>
            <w:color w:val="0077CC"/>
            <w:sz w:val="20"/>
            <w:u w:val="single"/>
            <w:shd w:val="clear" w:color="auto" w:fill="FFFFFF"/>
            <w:lang w:val="en-US" w:eastAsia="en-US" w:bidi="ar-SA"/>
          </w:rPr>
          <w:t>[1994] 1 S.C.R. 445</w:t>
        </w:r>
      </w:hyperlink>
      <w:r>
        <w:rPr>
          <w:rFonts w:ascii="arial" w:eastAsia="arial" w:hAnsi="arial" w:cs="arial"/>
          <w:color w:val="000000"/>
          <w:sz w:val="20"/>
          <w:lang w:val="en-US" w:eastAsia="en-US" w:bidi="ar-SA"/>
        </w:rPr>
        <w:t>, in concurring reasons, McLachlin J. (as she then was) referred to "the matter of the source of the duty of care which lies on public authorities." (p. 449) After finding the appeal fell into the second category of statutory discretion set out in Kamloops, supra, McLachlin J. added at p. 450: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private law duty on the public authority until it makes a policy decision to do something. Then and only then does a duty arise at the operational level to use due care in carrying out the policy. On this view a policy decision is not an exception to a general duty, but a precondition to the finding of a duty at the operational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present case, while the decision to authorize the formation of cadet organizations, to administer them, and to determine which officers they will be subject to the command of, all falls within the discretion conferred by s. 46 of the National Defence Act, how that decision is carried out is operational and subject to the duty to use due care. The proximity of the cadets, all of an age from 12 to 18 and subject to the authority and command of adult officers in a distinctly hierarchical military organization, to those charged with the responsibility of implementing the decision to form and administer the organization is clearly one "such that, in the reasonable contemplation of the former, carelessness on his part may be likely to cause damage to the latter - in which case a prima faced duty of care arises." (see Anns,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Thus unlike the Warwick Shipping case which the Crown relies on in its submissions, there is, in the present case, at least a basis for claiming a prima facie duty of care. The issue is whether the liability that potentially flows from that duty of care is negatived by the CLPA as is submitted by counsel for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position of the Crown, that the asserted breach of the standard of care, being "systemic" rather than individual in nature, establishes, potentially, no more than a direct liability from which the CLPA provides immunity, requires careful scrutiny. In Rumley, (B.C.C.A.), supra, Mackenzie J.A. appears to draw the same distinction which the Crown seeks to make, between vicarious liability and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context of examining the commonality of issues necessary to support certification (at 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respectful view these conclusions fail to adequately recognize the limited grounds on which the class claims are advanced. The plaintiffs do not rely on vicarious liability which might require the identification of individual perpetrators of sexual assault and a determination of whether the misconduct was within the course and scope of their employment. Determination of the status and number of individual perpetrators is not essential to the issues of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Claimants will not have to prove that the abuse was caused by a particular staff member or other students in the absence of a claim for vicarious liability. In essence the claims will be based on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failure to have in place management and operations procedures that would reasonably have prevented the abuse. That is a limited ground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the plaintiffs are entitled to restrict the grounds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they wish to advance to make the case more amenable to class proceedings if they choose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On their face, Mackenzie J.A.'s observations appear to distinguish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from vicarious liability, the implication being that the former represents direct liability from which the Crown in Right of Canada is immune by virtue of the CLPA; however reading them in context establishes that the distinction he drew was between vicarious liability for the intentional torts of the wrongdoers and the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allegedly involved in the failure to protect the students of the school from those wrongdoers. That distinction does not necessarily imply that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 matter of direct as opposed to vicarious liability, only that it is distinct from vicarious liability for intentional wrongdoing.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Swinamer, supra, it was submitted that the difference between the Nova Scotia Proceedings Against the Crown Act R.S.N.S., 1989, c. 360 and the Crown Proceedings Act of British Columbia, R.S.B.C. 1979, c. 86 (which difference is the same as the difference between the British Columbia Act and the federal Act) distinguished the potential liability of the respective Crowns in the manner urged by the Crown in the present case. Cory J. was dismissive of this argument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cannot accept this argument. Obviously the Crown can only be liable as a result of the tortious acts committed by its servants or agents since it can only act through its servants or agents. Let us assume, for the purposes of resolving this issue, that the actions complained of by the appellant were indeed negligent. That is to say the failure of the Crown to rely on trained personnel to inspect the trees and the failure of those persons or this personnel to identify the tree in question as a hazard constituted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Yet those very actions or failure to act were those of the Crown's servants undertaken in the course of the performance of their work. If those were indeed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the Crown would be liable. The arguments of the Crown are regressive and to accept them would severely restrict the ability of injured persons to claim against the Crown. I would add that the United Kingdom's Crown Proceedings Act, 1947 which was before the court in Anns, supra, is similar to the Nova Scotia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It was the Crown's submission in the present case that Cory J.'s disposition of the distinction between the two acts was obiter dicta, that it was not explicitly adopted by those who wrote concurring reasons and it has not been cited as binding authority in any subsequent decision. Counsel for the Crown submitted that the dicta of Cory J. in Swinamer ought not to govern the disposition of the issue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As I read the passage from Cory J.'s judgment in Swinamer, he is essentially saying that a court cannot find a breach of the standard of care in a vacuum. There must be evidence of some acts or omissions which constitute the negligent failure to discharge the duty of care that exists before liability can be established. The concept of direct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absence of any negligent individual action or omission is difficult to grasp. The need to prove direct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arise, in circumstances as those in Warwick Shipping or Cleveland-Cliffs, where the Crown servant although arguably negligent owes no duty to the plaintiff and hence would not be individually liable, but that is a different situation from what is at issue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Even in the case of Rumley, in which the concept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predominant, it is clear that individual action said to be negligent is at the heart of the asserted liability. In Rumley (S.C.C.), supra, McLachlin C.J.C., in the context of discussing the need to ensure that certification is refused if issues are common only when stated in the most general terms, wrote as follows at para.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cannot agree, however, that such are the circumstances here. As Mackenzie J.A. noted, the respondent's argument is based on the allegation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"the failure to have in place management and operations procedures that would reasonably have prevented the abuse". The respondents assert, for example, that JHS did not have policies in place to deal with abuse, and that JHS acted negligently by placing all residential students in one dormitory in 1978. These are actions (or omissions) whose reasonability can be determined without reference to the circumstances of any individual class member. It is true that the respondent's election to limit their allegations to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make the individual component of the proceedings more difficult; clearly it would be easier for any given complainant to show causation if the established breach were that JHS had failed to address her own complaint of abuse (an individualized breach) than it would be if, for example, the established breach were that JHS had as a general matter failed to respond adequately to some complaints (a "systemic" breach). As Mackenzie J.A. wrote, however, the respondents "are entitled to restrict the grounds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they wish to advance to make the case more amenable to class proceedings if they chose to do so" (p.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the foregoing paragraph, it seems to me, McLachlin C.J.C. identifies the essence of what constitutes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is not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occurs without any individual acts, omissions or decisions, rather it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arises when individual acts, omissions or decisions are directed towards a general rather than a specific set of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examples cited by McLachlin C.J.C., of failing to have policies in place to deal with abuse, or negligently placing all residential students in one dormitory, are attributable acts or omissions which could give rise to individual liability in the presence of a duty of care. The fact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described as "systemic" does not imply that it is unattributable to an individual or individuals, rather it implies that the impugned acts or omissions are said to be negligent because they create or maintain a system which is inadequate to protect the plaintiff class from the harm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As McLachlin C.J.C. pointed out in Rumley (S.C.C.), supra, pleading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give rise to problems in proving causation in individual cases. However, that is not the same as saying there is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the case at bar the plaintiff is proceeding on the basis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He is not relying on any assertion of vicarious liability for the intentional wrongdoing of any servants or agents of the defendant. Before me the plaintiff did not press his claim insofar as it is based on allegations of breach of fiduciary duty.</w:t>
      </w:r>
      <w:r>
        <w:rPr>
          <w:rFonts w:ascii="arial" w:eastAsia="arial" w:hAnsi="arial" w:cs="arial"/>
          <w:sz w:val="20"/>
          <w:lang w:val="en-US" w:eastAsia="en-US" w:bidi="ar-SA"/>
        </w:rPr>
        <w:cr/>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my opinion, the claim for breach of fiduciary duty is not well founded, and I conclude that the pleadings do not disclose such a cause of action as required by s. 4(1)(a) of the Class Proceedings Act and accordingly that portion of the claim is not suitable for certification as a class action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connection with the claim for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 find that the plaintiff has established a cause of action, not negated by the Crown Liability and Proceedings Act. While I accept there may be problems associated with proving causation or even a breach of the standard of care, those problems, although perhaps affecting the ultimate success of the plaintiff's claim, are not such as to deprive him of the opportunity of pursuing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am mindful of the defendants' submissions concerning the plaintiff's alleged failure to plead all material facts. The proceedings at this point are at a relatively early stage. My task is to determine whether the pleadings as they stand or may be amended,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It may become necessary for the plaintiff, once the discovery process is underway or completed to provide particulars of his claim to the defendant. It seems to me however that it is premature to determine this action on a failure to particularize the specific facts which the plaintiff will ultimately rely on, provided the general facts meet the requirement of rule 19(1). In my view, that threshold has been achieved and I would not give effect to the defendant's submissions on this point.</w:t>
      </w:r>
      <w:r>
        <w:rPr>
          <w:rFonts w:ascii="arial" w:eastAsia="arial" w:hAnsi="arial" w:cs="arial"/>
          <w:sz w:val="20"/>
          <w:lang w:val="en-US" w:eastAsia="en-US" w:bidi="ar-SA"/>
        </w:rPr>
        <w:cr/>
      </w:r>
    </w:p>
    <w:p>
      <w:pPr>
        <w:numPr>
          <w:numId w:val="3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LIMITATION PERIOD</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 earlier noted, the Crown relies on s. 269 of the National Defence Act which creates a six month limitation period for actions, prosecutions or other proceedings arising out of acts or defaults in execution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Section 269 reads as follows:</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action, prosecution or other proceeding lies against any person for an act done in pursuance or execution or intended execution of this Act or any regulations or military or departmental duty or authority, or in respect of any alleged neglect or default in the execution of this Act, regulations or any such duty or authority, unless it is commenced within six months after the act, neglect or default complained of or, in the case of continuance of injury or damage, within six months after the ceasing thereof.</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subsection (1) is in bar of proceedings against any person under the Code of Service Discipline.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(ii)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Crown also relies on s. 24 of the CLPA which reads as follows:</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proceedings against the Crown, the Crown may raise</w:t>
      </w:r>
    </w:p>
    <w:p>
      <w:pPr>
        <w:numPr>
          <w:numId w:val="3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defence that would be available if the proceedings were a suit or an action in a competent court between subject and subject; and</w:t>
      </w:r>
    </w:p>
    <w:p>
      <w:pPr>
        <w:numPr>
          <w:numId w:val="3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defence that would be available if the proceedings were by way of statement of claim in the Federal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Crown submits that s. 269 is applicable to this action and it is, thus, statute barred, because the allegations on which it is based relate to matters that occurred between 1968 and 1977. The Crown's essential submissions in connection with the limitation period are set out its submissions as follows:</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claim in this case is based upon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the failure to have in place reasonable policies and procedures to prevent the abuse. The establishment of the cadet organization arose from, and was authorized by, section 46 of the National Defence Act. Therefore, the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refer to acts of military personal [sic], named or unnamed, that would arise in the course of their employment or intended pursuance of their duties under the National Defence Act. Therefore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be barred by section 269(1) of the Act.</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argued above, vicarious liability is generally only available as a cause of action if the Crown servant was acting in the course of his duties. And herein lies the nub. To succeed against the Crown for vicarious liability, a plaintiff would have to establish that the actions of the tortfeasor were authorised by the Crown. That being the case section 269 would be available to the individual tortfeasors who allegedly committed the acts leading to the plaintiff's claim, because these acts were done in the course of carrying out duties authorized by the National Defence Act. Therefore, in accordance with 24 of the CLPA, and the legal reasoning in Scaglione, the limitation period in section 269 is available to the Crown in this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support of its position the Crown relies on Scaglione v. McLean </w:t>
      </w:r>
      <w:hyperlink r:id="rId260" w:history="1">
        <w:r>
          <w:rPr>
            <w:rFonts w:ascii="arial" w:eastAsia="arial" w:hAnsi="arial" w:cs="arial"/>
            <w:i/>
            <w:color w:val="0077CC"/>
            <w:sz w:val="20"/>
            <w:u w:val="single"/>
            <w:shd w:val="clear" w:color="auto" w:fill="FFFFFF"/>
            <w:lang w:val="en-US" w:eastAsia="en-US" w:bidi="ar-SA"/>
          </w:rPr>
          <w:t>(1998), 38 O.R. (3d) 464</w:t>
        </w:r>
      </w:hyperlink>
      <w:r>
        <w:rPr>
          <w:rFonts w:ascii="arial" w:eastAsia="arial" w:hAnsi="arial" w:cs="arial"/>
          <w:color w:val="000000"/>
          <w:sz w:val="20"/>
          <w:lang w:val="en-US" w:eastAsia="en-US" w:bidi="ar-SA"/>
        </w:rPr>
        <w:t xml:space="preserve"> (Gen. Div.) and Zimpelmann v. Canada, </w:t>
      </w:r>
      <w:hyperlink r:id="rId261" w:history="1">
        <w:r>
          <w:rPr>
            <w:rFonts w:ascii="arial" w:eastAsia="arial" w:hAnsi="arial" w:cs="arial"/>
            <w:i/>
            <w:color w:val="0077CC"/>
            <w:sz w:val="20"/>
            <w:u w:val="single"/>
            <w:shd w:val="clear" w:color="auto" w:fill="FFFFFF"/>
            <w:lang w:val="en-US" w:eastAsia="en-US" w:bidi="ar-SA"/>
          </w:rPr>
          <w:t>[2001] B.C.J. No. 618</w:t>
        </w:r>
      </w:hyperlink>
      <w:r>
        <w:rPr>
          <w:rFonts w:ascii="arial" w:eastAsia="arial" w:hAnsi="arial" w:cs="arial"/>
          <w:color w:val="000000"/>
          <w:sz w:val="20"/>
          <w:lang w:val="en-US" w:eastAsia="en-US" w:bidi="ar-SA"/>
        </w:rPr>
        <w:t xml:space="preserve"> (S.C.). In each of those decisions, the court ruled that s. 269 was available to the Crown as a defence in circumstances where the individual acts giving rise to the action occurred outside the six month limitation period. In each case, it was ruled that by virtue of s. 24 of the CLPA the Crown had available to it any defence open to an individual defendant whether or not that defendant was named.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Scaglione, the individual defendant, McLean, was alleged to have sexually assaulted the plaintiff. The court held that her claim against him insofar as it was based on the sexual assault, was not subject to the limitation period as that activity did not fall within the scope of duties or powers contemplated by s. 269(1) of the National Defence Act. The court went on to hold that insofar as it could be said the Crown was vicariously liable for McLean's acts s. 269, similarly, would be unavailable to the Crown as a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Scaglione, some of the claims advanced were based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involving a failure to supervise the conduct of the defendant. The court held in those circumstances the acts alleged were ones which would arise in the course of the employment of military personnel which would fall within the ambit of s. 269. In the result the court concluded that the claim of the plaintiff, insofar as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concerned, was statute barred by virtue of s. 269(1) of the National Defence Act, but the claim based on vicarious liability for the intentional wrongdoing of the individual defendant could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Zimpelmann v. Canada, supra, Dorgan J. applied Scaglione v. McLean, supra, in the context of an action in which the plaintiff alleged that members of the Canadian Armed Forces negligently performed a training exercise, causing her to fall and suffer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Pursuant to an application under Rule 18A Dorgan J. ruled that the six month limitation period set forth in s. 269(1) of the National Defence Act was applicable in the circumstances of the case. The issue before Dorgan J. is set forth at para. 10 of her reasons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does not argue that the members of the Canadian Armed Forces were not acting in accordance with the National Defence Act, but, rather, argues that the Crown cannot be considered a "person" for the purposes of s. 269(1). In support of that contention, plaintiff's counsel cites the cases of R. v. Canada (Minister of National Defence), </w:t>
      </w:r>
      <w:hyperlink r:id="rId262" w:history="1">
        <w:r>
          <w:rPr>
            <w:rFonts w:ascii="arial" w:eastAsia="arial" w:hAnsi="arial" w:cs="arial"/>
            <w:i/>
            <w:color w:val="0077CC"/>
            <w:sz w:val="20"/>
            <w:u w:val="single"/>
            <w:shd w:val="clear" w:color="auto" w:fill="FFFFFF"/>
            <w:lang w:val="en-US" w:eastAsia="en-US" w:bidi="ar-SA"/>
          </w:rPr>
          <w:t>[1993] N.S.J. No. 385</w:t>
        </w:r>
      </w:hyperlink>
      <w:r>
        <w:rPr>
          <w:rFonts w:ascii="arial" w:eastAsia="arial" w:hAnsi="arial" w:cs="arial"/>
          <w:color w:val="000000"/>
          <w:sz w:val="20"/>
          <w:lang w:val="en-US" w:eastAsia="en-US" w:bidi="ar-SA"/>
        </w:rPr>
        <w:t xml:space="preserve"> (N.S.C.A.) and Way v. Canada </w:t>
      </w:r>
      <w:hyperlink r:id="rId263" w:history="1">
        <w:r>
          <w:rPr>
            <w:rFonts w:ascii="arial" w:eastAsia="arial" w:hAnsi="arial" w:cs="arial"/>
            <w:i/>
            <w:color w:val="0077CC"/>
            <w:sz w:val="20"/>
            <w:u w:val="single"/>
            <w:shd w:val="clear" w:color="auto" w:fill="FFFFFF"/>
            <w:lang w:val="en-US" w:eastAsia="en-US" w:bidi="ar-SA"/>
          </w:rPr>
          <w:t>[1993] F.C.J. No. 374</w:t>
        </w:r>
      </w:hyperlink>
      <w:r>
        <w:rPr>
          <w:rFonts w:ascii="arial" w:eastAsia="arial" w:hAnsi="arial" w:cs="arial"/>
          <w:color w:val="000000"/>
          <w:sz w:val="20"/>
          <w:lang w:val="en-US" w:eastAsia="en-US" w:bidi="ar-SA"/>
        </w:rPr>
        <w:t xml:space="preserve"> (F.C.T.D.).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ruling that the Crown can be considered a "person" for the purposes of s. 269(1) of the National Defence Act, Dorgan J. relied on Scaglione v. McLean and concluded as follows, at para.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Assuming that the defendant in this case is vicariously liable for the actions of its members, I adopted the approach taken by Swinton J. in Scaglione. The plain interpretation of s. 24(1)(a) of the Crown Liability and Proceedings Act gives the Crown the right to use any defence that would be open to it if it were an individual defendant. Section 3 of the Act provides that the Crown is liable for actions as if it were a person. It logically follows, then, that the Crown should be permitted to rely on the defences it would be permitted to rely on if it were a person. The decision cited by counsel for the plaintiff simply do not deal with s. 24(1)(a) of the Crown Liability and Proceedings Act. Plaintiff's counsel attempted to distinguish the Scaglione decision by stating it dealt with discoverability. However, that issue did not affect the analysis of the two Federal acts undertaken by Swinton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primary distinction between Zimpelmann, supra, and the case at bar, is that in Zimpelmann there was no question whether the conduct said to found the cause of action fell within the compass of s. 269(1). The only issue was whether in view of ss. 3 and 24 of the CLPA the Crown could be considered a "person" for the purposes of 269(1).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Scaglione, although Swinton J. made a finding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upon which the plaintiff relied related to acts which occurred in the course of the employment of military personnel, it does not appear that the plaintiff in that case specifically raised the issue that has been raised before me; whether s. 269(1) encompasses all acts or omissions which fall within the duties or powers authorized by the National Defence Act or is limited to those acts or omissions involving a military or departmental duty or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plaintiff submits in the present case that s. 269(1) is part of a class of special limitation clauses the applicability of which are subject to the analysis prevailing in Des Champs v. Conseil des écoles séparées catholiques de langue franais de Prescott-Russell, </w:t>
      </w:r>
      <w:hyperlink r:id="rId264" w:history="1">
        <w:r>
          <w:rPr>
            <w:rFonts w:ascii="arial" w:eastAsia="arial" w:hAnsi="arial" w:cs="arial"/>
            <w:i/>
            <w:color w:val="0077CC"/>
            <w:sz w:val="20"/>
            <w:u w:val="single"/>
            <w:shd w:val="clear" w:color="auto" w:fill="FFFFFF"/>
            <w:lang w:val="en-US" w:eastAsia="en-US" w:bidi="ar-SA"/>
          </w:rPr>
          <w:t>[1999] 3 S.C.R. 281</w:t>
        </w:r>
      </w:hyperlink>
      <w:r>
        <w:rPr>
          <w:rFonts w:ascii="arial" w:eastAsia="arial" w:hAnsi="arial" w:cs="arial"/>
          <w:color w:val="000000"/>
          <w:sz w:val="20"/>
          <w:lang w:val="en-US" w:eastAsia="en-US" w:bidi="ar-SA"/>
        </w:rPr>
        <w:t xml:space="preserve">; Abouchar v. Ottawa-Carleton French-language School Board, </w:t>
      </w:r>
      <w:hyperlink r:id="rId265" w:history="1">
        <w:r>
          <w:rPr>
            <w:rFonts w:ascii="arial" w:eastAsia="arial" w:hAnsi="arial" w:cs="arial"/>
            <w:i/>
            <w:color w:val="0077CC"/>
            <w:sz w:val="20"/>
            <w:u w:val="single"/>
            <w:shd w:val="clear" w:color="auto" w:fill="FFFFFF"/>
            <w:lang w:val="en-US" w:eastAsia="en-US" w:bidi="ar-SA"/>
          </w:rPr>
          <w:t>[1999] 3 S.C.R. 343</w:t>
        </w:r>
      </w:hyperlink>
      <w:r>
        <w:rPr>
          <w:rFonts w:ascii="arial" w:eastAsia="arial" w:hAnsi="arial" w:cs="arial"/>
          <w:color w:val="000000"/>
          <w:sz w:val="20"/>
          <w:lang w:val="en-US" w:eastAsia="en-US" w:bidi="ar-SA"/>
        </w:rPr>
        <w:t xml:space="preserve">; Berardinelli v. Ontario Housing Corp. </w:t>
      </w:r>
      <w:hyperlink r:id="rId266" w:history="1">
        <w:r>
          <w:rPr>
            <w:rFonts w:ascii="arial" w:eastAsia="arial" w:hAnsi="arial" w:cs="arial"/>
            <w:i/>
            <w:color w:val="0077CC"/>
            <w:sz w:val="20"/>
            <w:u w:val="single"/>
            <w:shd w:val="clear" w:color="auto" w:fill="FFFFFF"/>
            <w:lang w:val="en-US" w:eastAsia="en-US" w:bidi="ar-SA"/>
          </w:rPr>
          <w:t>[1979] 1 S.C.R. 275</w:t>
        </w:r>
      </w:hyperlink>
      <w:r>
        <w:rPr>
          <w:rFonts w:ascii="arial" w:eastAsia="arial" w:hAnsi="arial" w:cs="arial"/>
          <w:color w:val="000000"/>
          <w:sz w:val="20"/>
          <w:lang w:val="en-US" w:eastAsia="en-US" w:bidi="ar-SA"/>
        </w:rPr>
        <w:t xml:space="preserve">; and Berendsen v. Ontario, </w:t>
      </w:r>
      <w:hyperlink r:id="rId267" w:history="1">
        <w:r>
          <w:rPr>
            <w:rFonts w:ascii="arial" w:eastAsia="arial" w:hAnsi="arial" w:cs="arial"/>
            <w:i/>
            <w:color w:val="0077CC"/>
            <w:sz w:val="20"/>
            <w:u w:val="single"/>
            <w:shd w:val="clear" w:color="auto" w:fill="FFFFFF"/>
            <w:lang w:val="en-US" w:eastAsia="en-US" w:bidi="ar-SA"/>
          </w:rPr>
          <w:t>[2001] 2 S.C.R. 849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It is the plaintiff's submission that those cases establish an analytical framework for determining the crucial question of whether the particular acts, default or neglect alleged to be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done "in pursuance or execution or intended execution of the National Defence Act or regulations or military or departmental duty or authority," as prescribed by s. 269.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Des Champs, supra, the Supreme Court of Canada was dealing with a limitation clause in the Public Authorities Protection Act, </w:t>
      </w:r>
      <w:hyperlink r:id="rId268" w:history="1">
        <w:r>
          <w:rPr>
            <w:rFonts w:ascii="arial" w:eastAsia="arial" w:hAnsi="arial" w:cs="arial"/>
            <w:i/>
            <w:color w:val="0077CC"/>
            <w:sz w:val="20"/>
            <w:u w:val="single"/>
            <w:shd w:val="clear" w:color="auto" w:fill="FFFFFF"/>
            <w:lang w:val="en-US" w:eastAsia="en-US" w:bidi="ar-SA"/>
          </w:rPr>
          <w:t>R.S.O. 1990, c. P. 38</w:t>
        </w:r>
      </w:hyperlink>
      <w:r>
        <w:rPr>
          <w:rFonts w:ascii="arial" w:eastAsia="arial" w:hAnsi="arial" w:cs="arial"/>
          <w:color w:val="000000"/>
          <w:sz w:val="20"/>
          <w:lang w:val="en-US" w:eastAsia="en-US" w:bidi="ar-SA"/>
        </w:rPr>
        <w:t xml:space="preserve"> which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 No action, prosecution or other proceeding lies or shall be instituted against any person for an act done in pursuance or execution or intended execution of any statutory or other public duty or authority, or in respect of any alleged neglect or default in the execution of any such duty or authority, unless it is commenced with six months next after the cause of action rose, or, in case of continuance of injury of damages, within six months after the ceasing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There the court was concerned with an action brought by a school superintendent who had been declared redundant by the respondent School Board under the Education Act, </w:t>
      </w:r>
      <w:hyperlink r:id="rId269" w:history="1">
        <w:r>
          <w:rPr>
            <w:rFonts w:ascii="arial" w:eastAsia="arial" w:hAnsi="arial" w:cs="arial"/>
            <w:i/>
            <w:color w:val="0077CC"/>
            <w:sz w:val="20"/>
            <w:u w:val="single"/>
            <w:shd w:val="clear" w:color="auto" w:fill="FFFFFF"/>
            <w:lang w:val="en-US" w:eastAsia="en-US" w:bidi="ar-SA"/>
          </w:rPr>
          <w:t>R.S.O. 1990, c. E.2</w:t>
        </w:r>
      </w:hyperlink>
      <w:r>
        <w:rPr>
          <w:rFonts w:ascii="arial" w:eastAsia="arial" w:hAnsi="arial" w:cs="arial"/>
          <w:color w:val="000000"/>
          <w:sz w:val="20"/>
          <w:lang w:val="en-US" w:eastAsia="en-US" w:bidi="ar-SA"/>
        </w:rPr>
        <w:t>. The plaintiff's action was brought eight months after the events giving rise to his cause of action and the respondent school board brought a motion to have his action dismissed, based on the six month limitation period set out in s. 7 of the Public Authorities Protection Act, above. At issue for the court was whether the school board's action in declaring the superintendent redundant and transferring him to a position as a principal of a school was, within the meaning of s. 7, an act, neglect or default done in pursuance or execution or intended execution of any statutory or other public duty or authority such that it could be commenced only within six months after the cause of action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addressing that issue Binnie J. for the majority, noted that the wording of s. 7 of the Public Authorities Protection Act did not give it unlimited scope. In para. 12 of his reasons he wrote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few general observations should be stated at the outset. The wording of s. 7 of the Act indicates that the legislature did not intend to throw the protective net of s. 7 around public authorities in Ontario as a matter of status. The reference to the "intended execution of any statutory or other </w:t>
      </w:r>
      <w:r>
        <w:rPr>
          <w:rFonts w:ascii="arial" w:eastAsia="arial" w:hAnsi="arial" w:cs="arial"/>
          <w:color w:val="000000"/>
          <w:sz w:val="20"/>
          <w:u w:val="single"/>
          <w:lang w:val="en-US" w:eastAsia="en-US" w:bidi="ar-SA"/>
        </w:rPr>
        <w:t>public</w:t>
      </w:r>
      <w:r>
        <w:rPr>
          <w:rFonts w:ascii="arial" w:eastAsia="arial" w:hAnsi="arial" w:cs="arial"/>
          <w:color w:val="000000"/>
          <w:sz w:val="20"/>
          <w:lang w:val="en-US" w:eastAsia="en-US" w:bidi="ar-SA"/>
        </w:rPr>
        <w:t xml:space="preserve"> duty or authority" (emphasis added) limits the protection to </w:t>
      </w:r>
      <w:r>
        <w:rPr>
          <w:rFonts w:ascii="arial" w:eastAsia="arial" w:hAnsi="arial" w:cs="arial"/>
          <w:color w:val="000000"/>
          <w:sz w:val="20"/>
          <w:u w:val="single"/>
          <w:lang w:val="en-US" w:eastAsia="en-US" w:bidi="ar-SA"/>
        </w:rPr>
        <w:t>public</w:t>
      </w:r>
      <w:r>
        <w:rPr>
          <w:rFonts w:ascii="arial" w:eastAsia="arial" w:hAnsi="arial" w:cs="arial"/>
          <w:color w:val="000000"/>
          <w:sz w:val="20"/>
          <w:lang w:val="en-US" w:eastAsia="en-US" w:bidi="ar-SA"/>
        </w:rPr>
        <w:t xml:space="preserve"> duties and powers and confirms inferentially that a public authority may well have other duties and powers that are essentially of a private nature. In drawing the line between the public aspects and private aspects, the general principle is that the wording of s. 7 is to be read narrowly and against the party seeking its special protection. This produces an inevitable line drawing exercise that requires the court to examine the nature of the statutory power or duty imposed on the defendant public authority as well as the character of the particular conduct about which the plaintiff complains.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It should be noted that s. 269(1) of the National Defence Act although similarly worded to s. 7 of the Public Authorities Protection Act does not draw the same inferential distinction between public and private duties or authority. However, it does refer to "military or departmental duty or authority" which by a similar analysis draws an inferential line between duties of that nature and duties which are not so constituted.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It is the plaintiff's submission in the present case that the allegedly negligent acts, default or neglect in relation to the protection of sea cadets from sexual assault and sexual abuse are not intrinsically of a military or departmental duty or authority and hence are not caught by the limitation set forth in s. 269(1).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Des Champs, supra, Binnie J.'s analysis of the scope of s. 7 of the Public Authorities Protection Act, although based on the distinction between public and private duties, is of some utility in determining the effect of s. 269(1) of the National Defence Act, specifically whether it operates as a bar to the present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Bearing in mind that s. 269(1) applies to acts in pursuance or execution or intended execution of the National Defence Act or military or departmental duty or authority, the reasoning in Des Champs provides a means of analyzing the relationship of the act in question to the activity protected by the special limitation period set out in s. 269.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approach that Binnie J. recommended in Des Champs with respect to s. 7 of the Public Authority Protection Act "or similarly worded limitations statutes" involves a five step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my opinion the latter four steps set forth by Binnie J. and modified to suit the distinction between s. 269(1) of the National Defence Act and s. 7 of the Public Authorities Protection Act are helpful to an analysis of the applicability of the former section to the cause of action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Those steps as set out in Des Champs are as follows:</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public authority doing, and pursuant to what duty or power was it doing it?</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the </w:t>
      </w:r>
      <w:r>
        <w:rPr>
          <w:rFonts w:ascii="arial" w:eastAsia="arial" w:hAnsi="arial" w:cs="arial"/>
          <w:color w:val="000000"/>
          <w:sz w:val="20"/>
          <w:u w:val="single"/>
          <w:lang w:val="en-US" w:eastAsia="en-US" w:bidi="ar-SA"/>
        </w:rPr>
        <w:t>power or duty</w:t>
      </w:r>
      <w:r>
        <w:rPr>
          <w:rFonts w:ascii="arial" w:eastAsia="arial" w:hAnsi="arial" w:cs="arial"/>
          <w:color w:val="000000"/>
          <w:sz w:val="20"/>
          <w:lang w:val="en-US" w:eastAsia="en-US" w:bidi="ar-SA"/>
        </w:rPr>
        <w:t xml:space="preserve"> relied on as part of the plaintiff's cause of action properly classified as entailing "a public aspect or connotation" or on the other hand is it more readily classifiable as "private executive or private administrative ... or subordinate in nature" (per Estey J. in Berardinell at p. 283)?</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the </w:t>
      </w:r>
      <w:r>
        <w:rPr>
          <w:rFonts w:ascii="arial" w:eastAsia="arial" w:hAnsi="arial" w:cs="arial"/>
          <w:color w:val="000000"/>
          <w:sz w:val="20"/>
          <w:u w:val="single"/>
          <w:lang w:val="en-US" w:eastAsia="en-US" w:bidi="ar-SA"/>
        </w:rPr>
        <w:t>activity</w:t>
      </w:r>
      <w:r>
        <w:rPr>
          <w:rFonts w:ascii="arial" w:eastAsia="arial" w:hAnsi="arial" w:cs="arial"/>
          <w:color w:val="000000"/>
          <w:sz w:val="20"/>
          <w:lang w:val="en-US" w:eastAsia="en-US" w:bidi="ar-SA"/>
        </w:rPr>
        <w:t xml:space="preserve"> of the defendant public authority that is the subject matter of the complaint "inherently of a public nature" or is it more of "an internal or operational nature having a predominantly private aspect" (per Estey J. in Berardinelli at p. 284 (emphasis deleted))?</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Looking at it from the plaintiff's perspective does the plaintiff's claim or alleged right "correlate" to the exercise by the defendant </w:t>
      </w:r>
      <w:r>
        <w:rPr>
          <w:rFonts w:ascii="arial" w:eastAsia="arial" w:hAnsi="arial" w:cs="arial"/>
          <w:color w:val="000000"/>
          <w:sz w:val="20"/>
          <w:u w:val="single"/>
          <w:lang w:val="en-US" w:eastAsia="en-US" w:bidi="ar-SA"/>
        </w:rPr>
        <w:t>public</w:t>
      </w:r>
      <w:r>
        <w:rPr>
          <w:rFonts w:ascii="arial" w:eastAsia="arial" w:hAnsi="arial" w:cs="arial"/>
          <w:color w:val="000000"/>
          <w:sz w:val="20"/>
          <w:lang w:val="en-US" w:eastAsia="en-US" w:bidi="ar-SA"/>
        </w:rPr>
        <w:t xml:space="preserve"> authority of a public </w:t>
      </w:r>
      <w:r>
        <w:rPr>
          <w:rFonts w:ascii="arial" w:eastAsia="arial" w:hAnsi="arial" w:cs="arial"/>
          <w:color w:val="000000"/>
          <w:sz w:val="20"/>
          <w:u w:val="single"/>
          <w:lang w:val="en-US" w:eastAsia="en-US" w:bidi="ar-SA"/>
        </w:rPr>
        <w:t>power</w:t>
      </w:r>
      <w:r>
        <w:rPr>
          <w:rFonts w:ascii="arial" w:eastAsia="arial" w:hAnsi="arial" w:cs="arial"/>
          <w:color w:val="000000"/>
          <w:sz w:val="20"/>
          <w:lang w:val="en-US" w:eastAsia="en-US" w:bidi="ar-SA"/>
        </w:rPr>
        <w:t xml:space="preserve"> or duty or does it relate to the breach of </w:t>
      </w:r>
      <w:r>
        <w:rPr>
          <w:rFonts w:ascii="arial" w:eastAsia="arial" w:hAnsi="arial" w:cs="arial"/>
          <w:color w:val="000000"/>
          <w:sz w:val="20"/>
          <w:u w:val="single"/>
          <w:lang w:val="en-US" w:eastAsia="en-US" w:bidi="ar-SA"/>
        </w:rPr>
        <w:t>public duty</w:t>
      </w:r>
      <w:r>
        <w:rPr>
          <w:rFonts w:ascii="arial" w:eastAsia="arial" w:hAnsi="arial" w:cs="arial"/>
          <w:color w:val="000000"/>
          <w:sz w:val="20"/>
          <w:lang w:val="en-US" w:eastAsia="en-US" w:bidi="ar-SA"/>
        </w:rPr>
        <w:t xml:space="preserve"> or does it complain about an activity of a public character thus classified?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It seems to me that if, in the present case, the analytical framework of the above four steps is changed to focus on the "military" or "departmental duty or authority envisioned by s. 269 of the National Defence Act instead of the "public" duty or authority of s. 7 of the Public Authorities Protection Act, the steps are helpful in determining whether s. 269(1) operates as a defence available to the Crown as it was in Zimpelmann, supra, and Scaglione,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my view, the analysis recommended in Des Champs applied to s. 269(1) does not justify a conclusion that the limitation period applies to the cause of action pleaded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It is difficult to see how the activity at issue could be said to fall within the prescribed duty or authority subject to special limitation in s. 269(1) even though it may legitimately fall within the scope of the National Defence Act. As is made clear in Des Champs, a special limitation clause such as that in s. 269(1) is to be construed strictly and against the party relying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the case at bar, the assertion upon which the cause of action is based is "a failure to take reasonable measures in the operation or management of the cadet program at HMCS Discovery to protect cadets from misconduct of a sexual nature by employees, agents or other cadets at HMCS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Referring back to the analysis in Des Champs, the question is: does the plaintiff's complaint, or the right he asserts, correlate to a military or departmental duty, and if so is it nevertheless "more readily classifiable as ... subordinate in nature" and hence not susceptible to the special limitation period established in s. 269(1).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my opinion, the right at issue - the protection of cadets from sexual assault - does not correlate to either a "military or departmental" duty or authority within the meaning of s. 269(1).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"Military" is defined in the National Defence Act as "relating to all or any part of the Canadian Forces". "Department" is defined as meaning the Department of National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Section 43(3) of the National Defence Act, R.S.C. 1970, c. N-4 specifically provided that cadet organizations were not part of the Canadian Forces.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Section 43 authorized the formation of cadet organizations under the control and supervision of the Canadian Forces and provides for their training, administration and provision with materiel and accommodation and while, no doubt, the duty of care which the plaintiff asserts to exist arises out of these provisions, protection from sexual assault does not thereby become a "military or departmental" duty or authority any more than the specific decision complained of in Des Champ, to declare the plaintiff redundant and place him in a lesser role, constitutes a "public duty" as required to engage the limitation period on s. 7 of the Public Authorities Protection Act.</w:t>
      </w:r>
      <w:r>
        <w:rPr>
          <w:rFonts w:ascii="arial" w:eastAsia="arial" w:hAnsi="arial" w:cs="arial"/>
          <w:sz w:val="20"/>
          <w:lang w:val="en-US" w:eastAsia="en-US" w:bidi="ar-SA"/>
        </w:rPr>
        <w:cr/>
      </w:r>
    </w:p>
    <w:p>
      <w:pPr>
        <w:numPr>
          <w:numId w:val="4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To put the issue in the context established by Des Champs, s. 269(1) does not apply to all the acts or omissions of the defendant's servants or agents performed in the course of their employment. It does not apply when the plaintiff's claim correlates to the exercise of essentially non-military or non-departmental powers or duties or to the exercise of a power or duty which although perhaps military or departmental is primarily or predominantly subordinate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Military and departmental duty and authority relate to those matters comprehended by the National Defence Act. If, for example, the harm complained of occurred to a cadet as a result of a negligently run training exercise, s. 269(1) might apply, as training is specifically contemplated by the National Defence Act and relates to its purposes. Sexual assault, on the other hand, obviously is neither contemplated by the National Defence Act nor is it related to its purposes and accordingly any duty or authority which is invoked to deal with it is not of a "military or departmental"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Even if the acts or omissions complained of could be said to correlate to a military or departmental duty or authority, protecting cadets from sexual assault or abuse arises only incidentally from the duty and authority to train, supervise, administer and provide materiels and accommodation to them under s. 43 of the National Defence Act. It is subordinate to the purpose for which the section exists and, using the Des Champ analysis is not susceptible to the special limitation period set out in s. 269(1). It follows, as counsel for the defendant has conceded, that since s. 269(1) does not apply, ss. 3(4)(k) and (l) of the B.C. Limitation Act govern this action and do not permit a limitation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 conclude therefore, that the plaintiff's claim, insofar as it rests on assertions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establishes a cause of action and is accordingly suitable to be considered for certification under the Class Proceedings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CULLEN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1"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76" w:history="1">
        <w:r>
          <w:rPr>
            <w:rFonts w:ascii="arial" w:eastAsia="arial" w:hAnsi="arial" w:cs="arial"/>
            <w:b/>
            <w:bCs/>
            <w:i/>
            <w:color w:val="0077CC"/>
            <w:kern w:val="32"/>
            <w:sz w:val="28"/>
            <w:szCs w:val="32"/>
            <w:u w:val="single"/>
            <w:shd w:val="clear" w:color="auto" w:fill="FFFFFF"/>
            <w:lang w:val="en-US" w:eastAsia="en-US" w:bidi="ar-SA"/>
          </w:rPr>
          <w:t>Nish v. McLaughlin, [2014] B.C.J. No. 1899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J.M. Gropper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17-19 and 21,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21,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M116629, M120796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1899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1366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Dagan Peter Haba Nish, Plaintiff, and Lynda Patricia McLaughlin also known as Linda Patricia McLaughlin Patricia Mary Johnstone and David Hale Johnstone, Defendant And between Dagan Peter Haba Nish, Plaintiff, and Robert Charles Redden,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2"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5" w:name="Keywords_9"/>
      <w:bookmarkEnd w:id="65"/>
      <w:r>
        <w:rPr>
          <w:rFonts w:ascii="arial" w:eastAsia="arial" w:hAnsi="arial" w:cs="arial"/>
          <w:b/>
          <w:color w:val="000000"/>
          <w:sz w:val="20"/>
          <w:lang w:val="en-US" w:eastAsia="en-US" w:bidi="ar-SA"/>
        </w:rPr>
        <w:t>Damages — Physical and psychological injuries — Physical injuries — Body injuries — Soft tissue — Action by Nish for damages for personal injuries sustained in two motor vehicle accidents allowed — Nish suffered soft tissue injuries to neck, back and legs in accidents that left him with residual pain and physical limitations to date of trial which made him miss some work and could impact career in emergency management and acting — Nish entitled to $45,000 for pain and suffering, $10,223 for past income loss, $20,000 for future income loss, $1,100 for future care costs and $1,500 in special damages for costs expended on yoga and exercise program.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Costs of future care — Loss of earning capacity — Retroactive loss of income — Special damages — Expenses and expenditures — Non-pecuniary loss — Action by Nish for damages for personal injuries sustained in two motor vehicle accidents allowed — Nish suffered soft tissue injuries to neck, back and legs in accidents that left him with residual pain and physical limitations to date of trial which made him miss some work and could impact career in emergency management and acting — Nish entitled to $45,000 for pain and suffering, $10,223 for past income loss, $20,000 for future income loss, $1,100 for future care costs and $1,500 in special damages for costs expended on yoga and exercise program.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Transportation law — Motor vehicles and highway traffic — Rules of the road — Care and control of vehicle — Proper lookout — Cyclists — Turns — Right turn at intersection — Action by Nish for damages for personal injuries sustained in two motor vehicle accidents allowed — Driver involved in second accident conceded liability — Driver involved in first accident liable for failing to keep proper lookout when she made right turn and struck Nish as he rode bicycle across road.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6" w:name="Case Summary_8"/>
            <w:bookmarkEnd w:id="6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Nish seeking damages for personal injuries he sustained in motor vehicle accident in January 2010 and March 2010. In the January accident, Nish claimed he was struck by a car making a right turn in front of him as he proceeded across an intersection on his bicycle. He had stopped and tried to make eye contact with the driver before starting to cross. The driver denied there was any contact with Nish's bicycle. After the accident, Nish applied ice to his painful ankle. He later visited a doctor who found he had a sprained ankle and strained knees. He took a few days off work as a labourer for a home staging company and returned to work on light duty after that. He continued to experience pain in his knees and ankle and stiffness in his back at the time of the March accident. He was riding as a passenger in his employer's van when the van was struck from behind by a large pickup truck. The truck driver admitted liability for the collision. Nish had a sore back and knees when he alighted from the van. He developed soreness in his neck, back and shoulders later that day. He subsequently experienced pain on a daily basis that restricted his ability to perform heavy labour, enjoy recreational activities, perform sexually and sleep. He used Advil consistently for almost a year, took yoga classes, underwent massage therapy treatments, and left his position with the staging company, ultimately deciding to study to work in emergency management. He continued to pursue acting and had earned some roles, but these were restricted due to his physical limitations. He became depressed after the accidents because of pain, fighting with his girlfriend and other stresses, but his life had improved by the date of the trial. He had a new relationship and a part-time job working in a store. His doctor stated that Nish continued to suffer from pain and stiffness in his back and neck that could eventually improve, but could leave Nish with residual symptoms for the long term. He opined Nish was at risk of re-aggravating his injuries in a fall or another accident. A defence examination by an orthopaedic surgeon was conducted, the surgeon providing an opinion that Nish was left with no long term, career-limiting injuries from either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7" w:name="Holdings of Court_8"/>
            <w:bookmarkEnd w:id="67"/>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Nish was awarded a total of $77,823 in damages. The court accepted Nish's account of the January 2010 accident, which was consistent with the injuries he sustained. Although he should not have been riding his bicycle in a crosswalk, Nish was not at fault, while the driver was 100 per cent liable for failing to keep a proper lookout before making her right turn. The court accepted Nish's account of the injuries he sustained in both accidents. His report was consistent with his doctor. The defence expert had to concede that it was possible that Nish had the injuries he claimed, but did not experience pain from them at the time of his examination. Nish was entitled to non-pecuniary damages of $45,000, a past wage loss award of $10,223, and $20,000 for future income loss, given the impact his physical limitations might have on his career pursuits. He was awarded $1,100 for future care costs to allow him to exercise and take yoga, and special damages of $1,500 for costs he had expended in such pursuits to the date of trial.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8" w:name="Legislation Cited_6"/>
      <w:bookmarkEnd w:id="6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3"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277" w:history="1">
        <w:r>
          <w:rPr>
            <w:rFonts w:ascii="arial" w:eastAsia="arial" w:hAnsi="arial" w:cs="arial"/>
            <w:i/>
            <w:color w:val="0077CC"/>
            <w:sz w:val="20"/>
            <w:u w:val="single"/>
            <w:shd w:val="clear" w:color="auto" w:fill="FFFFFF"/>
            <w:lang w:val="en-US" w:eastAsia="en-US" w:bidi="ar-SA"/>
          </w:rPr>
          <w:t>RSBC 1996, CHAPTER 318, s. 183</w:t>
        </w:r>
      </w:hyperlink>
      <w:r>
        <w:rPr>
          <w:rFonts w:ascii="arial" w:eastAsia="arial" w:hAnsi="arial" w:cs="arial"/>
          <w:color w:val="000000"/>
          <w:sz w:val="20"/>
          <w:lang w:val="en-US" w:eastAsia="en-US" w:bidi="ar-SA"/>
        </w:rPr>
        <w:t>(2)(b)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9" w:name="Counsel_9"/>
      <w:bookmarkEnd w:id="6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4"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 Neathway.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 Morris.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0" w:name="Judgment_9"/>
      <w:bookmarkEnd w:id="70"/>
      <w:r>
        <w:pict>
          <v:line id="_x0000_s1075" style="position:absolute;z-index:2518220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1" w:name="J.M. GROPPER J."/>
            <w:bookmarkEnd w:id="71"/>
            <w:r>
              <w:rPr>
                <w:rFonts w:ascii="arial" w:eastAsia="arial" w:hAnsi="arial" w:cs="arial"/>
                <w:b/>
                <w:color w:val="000000"/>
                <w:sz w:val="30"/>
                <w:lang w:val="en-US" w:eastAsia="en-US" w:bidi="ar-SA"/>
              </w:rPr>
              <w:t>J.M. GROPPER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Dagan Nish claims damages for personal injury arising out of two motor vehicle accidents: the first on January 27, 2010 and the second on March 30, 2010. Mr. Nish claims for non-pecuniary damages, past loss of income, loss of income-earning capacity, special damages, and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defendants in the first accident seek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defendant in the second accident admits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 for the First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Nish describes the circumstances of the first accident. He left his home at Carolina Street and East 6th Avenue in Vancouver by bicycle before 8:00 am. His plan was to take a photograph at a location in east Vancouver and then go on to work from there. He reached the northwest corner of East 12th Avenue and Commercial Drive. He stopped, on his bicycle, on the sidewalk. He saw that the walk light to cross Commercial eastbound was illuminated. He observed the defendant McLaughlin's vehicle pulled about halfway into the crosswalk and appeared to be making a right hand turn from Commercial to 12th Avenue westbound. Mr. Nish says that he does not recall there being a right turn signal on the vehicle. Mr. Nish stopped at the corner for about three to five seconds. During that time the vehicle did not move and the driver was watching traffic to her left (looking east). Mr. Nish waited to see if he could establish eye contact but he could not. He proceeded into the crosswalk and was on the line on the south end of the crosswalk. Mr. Nish says that he entered the crosswalk on his bicycle while the pedestrian light remained illuminated.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Nish says that he passed in front of the defendant's vehicle and reached a point where his front tire was just past the front driver's-side corner of the car. Mr. Nish says he was facing forward looking at the light. As he continued along the line of the intersection he said he suddenly felt his body being pushed. He braced his right foot on the ground to prevent himself from falling. His bike was moving. He held his hands on the handlebars and turned to look over his left shoulder. He then saw the vehicle starting to move. The left side of the car pushed him forward out of the crosswalk into the intersection. He says the vehicle was still moving when he looked at it, though not very fast. He and the defendant McLaughlin established eye contact. She stopped her vehicle. Mr. Nish got off the pedals of the bicycle and stood there. The driver looked at him and asked if he was okay. Mr. Nish says he was angry and he threw his hands up. By then the walk sign was flashing and he picked up his bike and "hobbled behind the vehicle" and back to the sidewalk that he had come from. The vehicle did not move until he got back to the sidewalk and then the vehicle finished the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Nish memorized the license plate number as the vehicle moved. He got up and walked around the corner to see if the driver was there. The vehicle was gone.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Lynda McLaughlin, the driver of the vehicle, gave evidence that she was driving south on Commercial and moved into the right lane in order to make a right hand turn at 12th Avenue. As she approached the intersection the light facing her was yellow and then turned red. She said she stopped at the intersection and waited for the traffic going west on 12th Avenue. She then pulled forward into the crosswalk to see around the corner. She was waiting for the traffic and saw a break in the westbound traffic. She turned her head to the right. She says there were no pedestrians to be seen. She says she looked again to the left and then turned forward and released her brake. At that moment she saw Mr. Nish in front of her and she reapplied her brake.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McLaughlin says that she asked Mr. Nish if he was okay and he said "yeah yeah" and then he went back to the sidewalk. The light for the traffic going southbound on Commercial then turned green and Ms. McLaughlin turned right. Ms. McLaughlin does not believe that contact was made between her vehicle and Mr. Nish. She inspected her vehicle and saw nothing.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Nish said that immediately following the first accident he was not in pain. As he made his way to work by bicycle he noticed discomfort in his knees and left ankle. When he arrived at work he observed them to be swollen. He applied ice and attempted to carry on with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Nish attended a walk in clinic the following day where he was seen by Dr. Sander Chew, whose examination revealed tenderness in the lateral right ankle, slight tenderness under both knee caps and some fluid in the right knee joint. He diagnosed a sprained ankle and bilateral knee strains.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defendant McLaughlin's evidence is that her vehicle did not strike the plaintiff or his bicycle. Alternatively, Ms. McLaughlin submits that Mr. Nish was contributorily negligent. He was riding his bike through the crosswalk contrary to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R.S.B.C. 1996, c. 318, s.183</w:t>
        </w:r>
      </w:hyperlink>
      <w:r>
        <w:rPr>
          <w:rFonts w:ascii="arial" w:eastAsia="arial" w:hAnsi="arial" w:cs="arial"/>
          <w:color w:val="000000"/>
          <w:sz w:val="20"/>
          <w:lang w:val="en-US" w:eastAsia="en-US" w:bidi="ar-SA"/>
        </w:rPr>
        <w:t>(2)(b), which permits riding across a crosswalk only if authorized by a bylaw or a sign. No such sign existed at the crosswalk of Commercial and 12th Avenue. Mr. Nish was unaware that cycling through a crosswalk is prohibited.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McLaughlin asserts that Mr. Nish may have arrived at the northwest corner of Commercial and 12th by cycling east along 12th Avenue instead of south along Commercial as he said in his evidence. Mr. Nish described that route in his February 1, 2010 statement to the Insurance Corporation of British Columbia ("ICBC"). In his statement, Mr. Nish describes arriving at the northwest corner of the intersection, which is the corner that he describes in his evidence. Ms. McLaughlin submits that if the plaintiff arrived at this corner by travelling east on 12th Avenue the building on the corner would have blocked her view of his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says that if the court finds that Mr. Nish traveled south on Commercial, Ms. McLaughlin was looking to her right and her left for approaching traffic, not behind her. Ms. McLaughlin argues that Mr. Nish was negligent in crossing as he did: he knew Ms. McLaughlin intended to make a right turn; he tried to make eye contact and did not do so but began to cross anyway. He made no other attempt to get Ms. McLaughlin's attention before crossing.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accept Mr. Nish's version of the events. I consider that in his statement to ICBC, he was confused about his directions. In his evidence in chief he had the opportunity to view photographs of the intersection and was able to say precisely where he was. Having found that Mr. Nish was in the place that he said he was, I do not accept the evidence of Ms. McLaughlin. She says that she did not see him there, but, I find, he was there to be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respect of Ms. McLaughlin's position that there was no contact between her vehicle and Mr. Nish and/or his bicycle, I accept Mr. Nish's evidence that there was contact. If there was no contact, Mr. Nish had no reason to be angry. Further, the observations of Dr. Chew the following day, and his diagnosis of Mr. Nish's injuries are consistent with there having been an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fact that Mr. Nish was riding his bicycle in a crosswalk, which is prohibited under s. 183(2)(b)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is not determinative of Mr. Nish's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Deol v. Veach</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2011 BCSC 1437</w:t>
        </w:r>
      </w:hyperlink>
      <w:r>
        <w:rPr>
          <w:rFonts w:ascii="arial" w:eastAsia="arial" w:hAnsi="arial" w:cs="arial"/>
          <w:color w:val="000000"/>
          <w:sz w:val="20"/>
          <w:lang w:val="en-US" w:eastAsia="en-US" w:bidi="ar-SA"/>
        </w:rPr>
        <w:t>, Madam Justice Dardi stated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It is also well-settled that a breach of the provisions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in itself does not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Dickie Estate v. Dickie</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(1991), 5 B. C. A. C. 37</w:t>
        </w:r>
      </w:hyperlink>
      <w:r>
        <w:rPr>
          <w:rFonts w:ascii="arial" w:eastAsia="arial" w:hAnsi="arial" w:cs="arial"/>
          <w:color w:val="000000"/>
          <w:sz w:val="20"/>
          <w:lang w:val="en-US" w:eastAsia="en-US" w:bidi="ar-SA"/>
        </w:rPr>
        <w:t xml:space="preserve"> (C.A.). In order to find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court must find that an individual did not exhibit the standard of care which was required in the circumstances and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find that Mr. Nish did not demonstrate any lapse of care. He was crossing in accordance with a pedestrian light, he was trying to get the defendant McLaughlin's attention, and while he did not do so, it was reasonable to expect that the defendant McLaughlin would look to her right before executing her right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Nish's riding his bicycle in the crosswalk did not cause this motor vehicle accident or the injuries he sustained. The fact is that Ms. McLaughlin's vehicle hit Mr. Nish, and he was injured as a result. This would have occurred whether he was on a bicycle or walking through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find Ms. McLaughlin to be 100% at fault for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Nish was 23 years old in 2010 when the accidents occurred.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Nish describes his health before the accidents as very good. He broke his left foot in high school and he broke his wrist in the late spring of 2009. Both had fully recovered before the first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Nish was involved in skateboarding and had been doing that for approximately a year. It was his method of transportation.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Nish was also doing volunteer work every second or third Sunday soliciting donations and recruiting volunteers. He was enthusiastic about stenciling and had started selling some of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summer of 2009, Mr. Nish started actors' training at a small studio. He also went to the gym frequently working with weights. He did rock climbing and played pool. He enjoyed attending live music concerts.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the time of the accidents the plaintiff worked nearly full time at Dekora Staging Inc., a house staging company. He started in September 2008 and he worked between 30 and 40 hours a week on an on-call basis. His pay was $18 an hour. He worked as a "swamper" or labourer and performed various duties including selecting and assembling furniture and accessories from Dekora's warehouse, packing it into a moving van, and accompanying the van's driver to the staging locations, unloading the items and bringing them into the house, apartment or boat being staged. He would arrange the items inside under the guidance of the project's designer. The entire home/apartment/boat was staged. After the staging project was complete, he and the driver would remove the items from the location, put them back in the truck and unload them at the warehouse. Mr. Nish says he enjoyed the job at Dekora, being around the designers and seeing the properties that were staged and learning about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noted, after the first accident Mr. Nish noticed some discomfort in his knees and left ankle and when he got to work he found they were swollen. He applied ice. He reported the accident to his supervisors and attempted to carry on with his work for the day. He left work early that day. Mr. Nish also attended his regularly scheduled acting class, but he left early due to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Nish attended Dr. Chew's office the following day. Dr. Chew advised him to attend physiotherapy, which he found to be of some benefit. He also took January 28 and 29, 2010 off work on Dr. Chew's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When Mr. Nish returned to Dekora on February 1, 2010 his employer found lighter work to accommodate his pain. He was packing light items. He worked for three and a half hours on February 1 and then took the following four days off (February 2 to 5). He worked on February 8 and 9 for four to four and a half hours. He took February 10 off as a vacation day. The day after is noted as a "work share" day for which he got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Between the first and second accident Mr. Nish had some continued discomfort in his knees and ankle and developed stiffness in his back.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Nish says that he returned to his full duties at Dekora after about four to six weeks. He says that he was getting to the level of his pre-accident performance. His back, knees and ankle were sore but he would take Advil and use ice. He was not disabled from working. By March 14, 2010 he was back to his full time hours. Mr. Nish was on the road to recovery after the first accident. His injuries would have resolved but for the occurrence of the second accident on March 30, 2010 when Mr. Nish was a passenger in the Dekora moving van. He and the driver were returning from a staging job, traveling eastbound on Hastings Street, when they were struck from behind by a large pick-up truck driven by the defendant, Robert Redden.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Nish describes himself as being in the slouched position in the passenger seat when the impact occurred. It was unexpected. When he got out of the Dekora vehicle he describes himself as "pretty sore" in his back and knees.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Following the second accident Mr. Nish returned to the warehouse and helped the driver unload the truck. He says that his neck was sore as were his lower and mid back up to his shoulder blades. It was hard for him to squat and pick up the heavier pieces. After he completed his day of work he went back to the walk in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Nish noted other symptoms arising after the second accident. He was in a lot more pain in terms of severity and frequency. He changed the way his body moved to compensate for the pain that affected his hips and lower back.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After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Nish says that after the second accident it was harder to sleep. He had trouble performing sexually from the pain in his knees and his back. He had to be selective of how he would lie down. The pain occurred daily and was part of his life every day for eight to twelve months following the second accident. He would have pain in his low back every day on both sides but more on the right and in between the shoulder blades. He had to be careful sitting or standing. The pain was worse on some days, others it was a dull tension and ache. He took Advil steadily.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Nish describes that the kind of pain changed from the first to the second accident. After the first accident it was more of a tension and after the second accident it was frequent and stronger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Nish found that he was getting depressed after the second accident. He says that he was stressed because he could not perform his work at Dekora even though he was trying to increase his work and attempting to get a permanent full-time position. He began fighting with his then girlfriend and that also depressed him. He continued to have physiotherapy approximately twice per week. Mr. Nish continued to see Dr. Chew and followed his recommendations including the pursuit of massage therapy. The cost of the therapy was too expensive and Mr. Nish could only go for two or three weeks. Dr. Chew also recommended yoga and acupuncture. Mr. Nish pursued yoga but could not afford the cost of the acupuncture.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Nish describes certain triggers which cause pain symptoms including sitting and standing, turning and bending at the same time, lifting and jogging. He limited his volunteer work, stopped skateboarding and bicycling. He stopped attending live music events and did not get back to stenciling.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Nish says that his symptoms have improved: the severity of pain has decreased and is not debilitating. Pain is frequent but not as severe. His lower back and the area between the shoulder blades continue to bother him. He gets knee and ankle pain from time to time. His sleep has improved. He says that the pain is "now part of life as I know it". Mr. Nish says that he has achieved 85% of his former self on his best day but never experiences that for an entire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Nish acknowledged in cross-examination that since the accidents in 2010, he has had certain stresses in his life. He broke up with the girlfriend he was with when the accidents occurred, although he is now in a committed relationship. His grandmother's health and his girlfriend's mother's health has been a source of concern over the last year or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Nish continued to work at Dekora after the second accident. He returned to work right away. His employer provided him with light duties or he would be placed in a three person crew to stage jobs. Because heavy lifting was difficult, and Dr. Chew had emphasized that he should not do it, someone else would be called to do the twisting and lifting duties. He noticed that Dekora was calling in other employees to be on the truck and he was receiving fewer calls. His weekly hours decreased. He exhausted his employment insurance and sought employment counselling. He was advised to pursue a government funded program to determine a new career path. As a result of that program, he left with an interest in emergency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He worked for Dekora on and off over the following years. In the summer of 2011 he did a cooking job for eight weeks, but could not continue due to an earlier wrist injury. In September 2011 he was accepted into a program at the Justice Institute in emergency and security management. It is a four year program, of which he has done two and one-half years. He acknowledges that his career in emergency management is more sedentary than working at Dekora, it will likely pay better and it will be more challenging.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his testimony, Mr. Nish describes the effects of injuries on his studies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affects my concentration and how long I can study at one time. I have had to be strategic about the times I work and then getting a break. There is a rising pressure of pain and tension in my lower back - I can deflate it in 10-15 minutes - and then sit down again and it starts again. I can study for about 40 minutes and then get up for 10 minutes- sometimes that doesn't work - depending on what I am doing and what I have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Nish also works at an Apple retail store, 16-19 hours per week for which he is paid $17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Nish has attempted to pursue his acting career and has obtained several roles. His acting coach, Kate Twa, considers Mr. Nish to be good at what he does, but his physical limitations restrict the work he can do in the studio and prevent him from obtaining any role that is very physical.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Medical Evidence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Chew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Chew provided a report on October 20, 2013. His evidence was heard by deposition.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his report, Dr. Chew describes each appointment with Mr. Nish following the first accident. In February and March 2010 he or another doctor in his office saw Mr. Nish four times. He confirms Mr. Nish's evidence following the first accident including that he recommended physiotherapy, rest, ice and anti-inflammatory medications and that Mr. Nish stay off work for another five to seven days. He also confirms that Mr. Nish attended physiotherapy six times and that Dr. Chew recommended that he continue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Chew notes that on March 5, 2010 Mr. Nish stated that his knees were much improved and his ankle was asymptomatic. His back symptoms were improving slowly.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After the second accident Mr. Nish saw Dr. Jonas Samson, another physician at Dr. Chew's office, on March 31, 2010. Dr. Samson's examination revealed decreased neck fluxion because of pain although neck range of motion was normal as was a neurological exam. Dr. Chew describes that Mr. Nish was "tender in the para-cervical (neck), para-thoracic (mid and upper back), and para-lumbar (low back) muscle groups bilaterally. Dr. Samson diagnosed him with muscle strain injuries and recommended that he continue physiotherapy and take ibuprofen 600mg three times daily".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According to Dr. Chew's report Mr. Nish saw him approximately once per month from April 2010 to February 2011. He noted some improvement of his symptoms but noted that Mr. Nish was still sore, his sleep was still disturbed, and that he should continue with massage therapy and light duty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Nish saw Dr. Chew on five appointments between August 2011 and May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There was a gap between the May 1, 2012 appointment and the next on September 3, 2013. At the September appointment Dr. Chew's examination revealed moderate spasm in the para lumbar muscles, worse on the left side with visible scoliosis (lateral curvature of the spine), that was presumably due to muscle spasm. Dr. Chew noted that Mr. Nish was tender in the left para-lumbar muscles. Dr. Chew diagnosed him with an exacerbation of a soft tissue back injury and suggested that he go back to massage to relieve the spasm. Mr. Nish saw Dr. Chew three more times before Dr. Chew wrote his report. In his report, Dr. Chew provides the following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Nish was totally disabled from January 27, 2010 to about February 8, 2010. He has been partially disabled since then and continues to be partially disabled and limited in his activity level, specifically due to the lumbar and thoracic injuries. Since February 2010, he has been unable to do heavy lifting and repetitive bending motions. He has had significant trouble with sleep, and pain associated with prolonged standing and prolonged sitting. He is currently sleeping well in certain positions. He has suffered through significant pain, especially in the first 2 years since the [motor vehicle accidents]. He has improved since then and his activity level is increasing but he still remains unable to do heavy lifting and repetitive bending in any prolonged fashion. He is however capable of working full time in occupations that involve light to moderately physically demanding tasks.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Nish is also currently still disabled from being able to pursue his more vigorous non-work related activities such as skateboarding and rock climbing. He is very interested in martial arts training, but has been avoiding it. I agree with this decision. He is able to do some jogging and is able to go the gym as long as he avoids certain exercises.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Nish continues to suffer from stiffness and pain [in] the lumbar and thoracic regions due to the soft tissue injuries. His prognosis is fair. Over the next year or two, he should gradually improve and regain a significant percentage of the pre-MVA function, if not full function. However, I am unable at this time to anticipate whether he will be left with residual symptoms long term.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Nish's back injuries are at risk of re-aggravation. If he reinjures his lumbar or thoracic back in any significant trauma, such as a fall or another [motor vehicle accident], especially within the next few years, he will likely have a more severe injury, take longer to heal, and require more physical forms of therapy than if he had not been injured in the first place.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G. H. Hirsch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Hirsch is a specialist in physical medicine and rehabilitation. He examined Mr. Nish on April 12, 2013, which is the date of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His opinion, beginning at page 6 of his report is:</w:t>
      </w:r>
      <w:r>
        <w:rPr>
          <w:rFonts w:ascii="arial" w:eastAsia="arial" w:hAnsi="arial" w:cs="arial"/>
          <w:sz w:val="20"/>
          <w:lang w:val="en-US" w:eastAsia="en-US" w:bidi="ar-SA"/>
        </w:rPr>
        <w:cr/>
      </w:r>
    </w:p>
    <w:p>
      <w:pPr>
        <w:numPr>
          <w:numId w:val="1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Nish strained his knees and left ankles in the first accident. He made a full recovery of the left knee injury.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Nish described intermittent fairly short lasting pain involving the lateral aspect of his left ankle as well as the front and back of his right knee. Those symptoms should not adversely affect Mr. Nish's day to day activity.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Hirsch's examination of the left ankle and right knee did not disclose any findings.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Nish made an "excellent recovery" of the injuries to his left ankle and right knee. He may have intermittent discomfort and pain but the symptoms are not expected to negatively impact his social, vocational or recreational endeavours. He is not at risk of developing degenerative arthritis in his knees or left ankle.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Nish sustained injuries to his neck in the second motor vehicle accident that resolved within approximately two months. The injuries were limited to soft tissue structures and completely healed. Dr. Hirsch does not anticipate any long term untoward sequelae.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Nish injured his thoracic spine and lumbar spine in the first accident. Before the second accident his back was still symptomatic and "probably more vulnerable to any superimposed trauma."</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Nish sustained superimposed injuries to the thoracic and lumbar spine as a result of the second motor vehicle accident that were also limited to soft tissue structures. He did not suffer any significant structural damage to his thoracic or lumbar spine nor a traumatic brain injury.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Hirsch refers to Mr. Nish's complaint of persistent pain in his thoracic and lumbar spine for more than three years. He considers that Mr. Nish's back pain is mechanical and there appears to be a superimposed myofascial pain component. Dr. Hirsch considers that the onset and persistence of Mr. Nish's reported back injury is causally related to the two motor vehicle accidents.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Hirsch opines that the second accident was probably more significant than the first "with respect to the perpetuation of Mr. Nish's back symptoms with lesser contribution being assigned to the injuries he sustained to his back in the first ... accident."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Hirsch recommends an exercise program consisting of core back strengthening exercises, truncal and hip girdle stretching exercises, upper and lower body strengthening exercises with the focus on repetition versus resistance and an appropriate cardiovascular workout routine, as a means of future management.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Hirsch suggests that Mr. Nish have 10 to 15 treatment sessions with a personal trainer or kinesiologist and that he thereafter continue with a maintenance program on his own at a well-equipped gymnasium. He recommends that Mr. Nish consider other exercise programs such as Thai Chi, yoga, Pilates or aqua exercises.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Hirsch does not recommend any passive treatment including chiropractic, cranial sacral therapy, massage or physical modalities.</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Hirsch considers that Mr. Nish may benefit from trigger point injections into the upper trapezius, rhomboid and para lumbar muscles.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Hirsch considers that it may be helpful for Mr. Nish to have his desk setup assessed by an occupational therapist to optimize its ergonomic layout.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Hirsch considers that presently, Mr. Nish is physically capable of performing tasks of sedentary, light, medium and entry level heavy physical demands. He has the ability to work in full time occupations with sedentary, light and moderate physical demands, possibly with some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the long term, Dr. Hirsch states: "I expect him to make a very good recovery. It is possible that he will be left with residual back symptoms, however, I would not anticipate that these symptoms would significantly affect his level of function." Dr. Hirsch does not consider Mr. Nish to be at risk of developing degenerative arthritis in his neck or back.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Marc Boyle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Boyle is an orthopedic surgeon. He prepared a medical report at the request of the defence. He conducted a medical assessment of Mr. Nish on December 5, 2013. His report is dated December 6,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Boyle also prepared a report on January 28, 2014, in which he provides his review of the reports of Drs. Hirsch and Chew.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second report demonstrates Dr. Boyle's disagreement with the other physicians, but does not change his December 2013 opinion. On that basis, I will refer to the December 2013 report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Boyle provides the following opinions in his report:</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respect of the left ankle injury Dr. Boyle describes the physical examination as "totally unrewarding". He suggests that Mr. Nish may have sustained a minor contusion at most but does not feel he suffered soft tissue strains. He considers that there were no restrictions necessary regarding work, leisure or household activities.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respect of Mr. Nish's complaints about his knees, Dr. Boyle again describes the physical examination as "totally unrewarding". He says that there is no evidence that Mr. Nish suffered a contusion or that he suffered soft tissue strain. He considers that there are no restrictions anticipated in the future.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respect of the lumbar spine, Dr. Boyle considers it "unlikely that [Mr. Nish] suffered a strain following the [first motor vehicle accident]". If an injury was sustained, Dr. Boyle considers it would have been "at most a mild myofascial strain." Dr. Boyle is of the view that following the second motor vehicle accident Mr. Nish may have again suffered a minor soft tissue strain. If there was a soft tissue injury, it would have been myofascial strain. Dr. Boyle would have recommended anti-inflammatory medication, stretching and strengthening exercises, core stabilization exercises and gentle but progressive aerobic fitness.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Regarding the thoracic spine, Dr. Boyle refers to Mr. Nish having some minor mid back complaints, less so than in the lumbar spine. Dr. Boyle opines that "at most he might have sustained a myofascial strain."</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respect of the cervical spine Dr. Boyle considers that Mr. Nish's symptoms have resolved. He considers that this segment of the spine is most at risk for extension/fluxion stresses and subsequent myofascial strains.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respect of disability Dr. Boyle says that after the first accident there would be "little, if any, disability". Dr. Boyle notes that Mr. Nish was working on an on-call/casual/part-time basis for a staging company and that a day or two after the accident no further time loss would be considered necessary or appropriate. He says that Mr. Nish could have continued his employment as he had previously.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Following the second accident a period of time off work of one to two weeks would have been appropriate "at most". Dr. Boyle continues: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felt that he could have returned to his employment, as he had previously. Had full-time work been available to him, he could have done so. There would not be any loss of employability. It is felt that he could have worked as he had previously or as a cook, in retail or teaching.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cross-examination, Dr. Boyle agreed that some individuals who present with completely normal examinations can be suffering from soft tissue injuries. Some individuals with soft tissue injuries never recover. If one has symptoms for several years after the event which caused the symptoms to occur, this is a factor which militates against future recovery, particularly if the symptoms are constant rather than intermittent.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Boyle suggested that Mr. Nish work with a kinesiologist over a period of 12 weeks, followed by an annual gym pass.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Mr. Nish must demonstrate, on a balance of probabilities, that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his injuries would not have occurred. The test to be applied was explained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paras. 8-10: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The test for showing causation is the "but for" test. The plaintiff must show on a balance of probabilities that "but for" the defendant's negligent act, the injury would not have occurred. Inherent in the phrase "but for" is the requirement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w:t>
      </w:r>
      <w:r>
        <w:rPr>
          <w:rFonts w:ascii="arial" w:eastAsia="arial" w:hAnsi="arial" w:cs="arial"/>
          <w:i/>
          <w:color w:val="000000"/>
          <w:sz w:val="20"/>
          <w:lang w:val="en-US" w:eastAsia="en-US" w:bidi="ar-SA"/>
        </w:rPr>
        <w:t>necessary</w:t>
      </w:r>
      <w:r>
        <w:rPr>
          <w:rFonts w:ascii="arial" w:eastAsia="arial" w:hAnsi="arial" w:cs="arial"/>
          <w:color w:val="000000"/>
          <w:sz w:val="20"/>
          <w:lang w:val="en-US" w:eastAsia="en-US" w:bidi="ar-SA"/>
        </w:rPr>
        <w:t xml:space="preserve"> to bring about the injury - in other words that the injury would not have occurred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is a factual inquiry. If the plaintiff does not establish this on a balance of probabilities, having regard to all the evidence, her action against the defendant fails.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The "but for" causation test must be applied in a robust common sense fashion. There is no need for scientific evidence of the precise contribution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made to the injury. [citations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A common sense inference of "but for" causation from proof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usually flows without difficulty. Evidence connecting the breach of duty to the injury suffered may permit the judge, depending on the circumstances, to infer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probably caused the loss.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find that Mr. Nish's evidence is consistent internally and with the evidence of Drs. Chew and Hirsch. I accept that Mr. Nish suffered the injuries that he described, which would not have occurred but for the two accidents. Both accidents caused and contributed to the injuries Mr. Nish sustained, such that the injuries are indivisible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With respect to Dr. Boyle, I note that in his report he described Mr. Nish's injuries as "may have" occurring. In his cross-examination he agreed that Mr. Nish did have the injuries that he had described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Boyle relied on certain facts to support his opinion, when he did not appear to have had the necessary factual background. For example, he considered that Mr. Nish could return to his pre and post-accident functioning without determining what the plaintiff did, including the actual job title, the number of hours worked, the details of the job duties, and the level of lifting or bending required. He also did not know what light duties were available to Mr. Nish or that he was accommodated by his employer providing him with light duties. Dr. Boyle's conclusion that Mr. Nish has returned to employment as he had previously is simply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his report Dr. Boyle suggested that there was a likelihood of complete resolution of Mr. Nish's symptoms. Dr. Boyle also acknowledged that individuals can present with completely normal examinations but be suffering from soft tissue injuries. He acknowledged that some individuals with such injuries never recover and that after almost three years post-accidents, if Mr. Nish continues to experience ongoing continuing symptoms, it is unlikely that he will fully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defence asserts that Mr. Nish had other stressors in his life which caused or contributed to his symptoms. I do not accept that position. Everyone has stressors in their lives. Those that Mr. Nish suffers are in addition to the injuries that I have found Mr. Nish to have sustained in the accidents.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The list of factors to be considered by the court generally include the plaintiff's age, the nature of the injury, the severity and duration of the pain, the level of disability, the emotional suffering, the loss of lifestyle and impairment of life: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Compensation should be fair to all parties. Fairness is measured against awards made in comparable cases that provide general guidance. Ultimately each case must be decided on its own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Nish submits the appropriate range of damages in this case is $50,000. He bases his position on the nature of his injuries, the various diagnoses and prognosis, his continuing symptoms and the significant impact that the accidents have had on his lifestyle, at home and at work, his relationships and his extracurricular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have reviewed the authorities provided by the plaintiff and the defendants. I consider that the accidents and the injuries that Mr. Nish sustained have negatively impacted his enjoyment of life. They are likely to continue to affect him. In considering the cases that the parties have provided, I assess non-pecuniary damages at $45,000.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Before the first accident, Mr. Nish averaged approximately 36 hours per week at Dekora. After the first accident and on Dr. Chew's advice he took 7.25 days off work. Some of the days were noted as vacation and others as sick days. Mr. Nish said he worked fewer hours following the first accident and even fewer after the second accident. The plaintiff claims $10,223.32 before tax as a loss from April 2010 to September 2011. The defence argues that the days which Mr. Nish did not work but received pay through sick leave or vacation pay are not compensable by the defendants. They also insist that there should be no income loss award arising from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find that in these circumstances Mr. Nish is entitled to compensation for the sick days and vacation days that he took as a result of the injuries he suffered in the accidents, which he could have used for some other purpose (</w:t>
      </w:r>
      <w:r>
        <w:rPr>
          <w:rFonts w:ascii="arial" w:eastAsia="arial" w:hAnsi="arial" w:cs="arial"/>
          <w:i/>
          <w:color w:val="000000"/>
          <w:sz w:val="20"/>
          <w:lang w:val="en-US" w:eastAsia="en-US" w:bidi="ar-SA"/>
        </w:rPr>
        <w:t>Bjarnson v. Parks</w:t>
      </w:r>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2009 BCSC 48</w:t>
        </w:r>
      </w:hyperlink>
      <w:r>
        <w:rPr>
          <w:rFonts w:ascii="arial" w:eastAsia="arial" w:hAnsi="arial" w:cs="arial"/>
          <w:color w:val="000000"/>
          <w:sz w:val="20"/>
          <w:lang w:val="en-US" w:eastAsia="en-US" w:bidi="ar-SA"/>
        </w:rPr>
        <w:t xml:space="preserve"> at paras. 55-61). In addition, I am convinced that Mr. Nish's loss of hours from Dekora are attributable to the injuries he sustained in the two accidents. I accept that when Mr. Nish could not maintain his share of heavy duties, Dekora called in other employees and his weekly hours decreased. The claim of $10,223.32 is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Nish also claims for loss of income from September 2011 until he concludes his course in emergency management. The basis of that claim is that because of the injuries he sustained in the accident he was forced to retrain.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accept the plaintiff's evidence that he was unable to continue with a very physical job and he looked for other more sedentary opportunities. He chose the emergency management course and it addresses his physical limitations. He acknowledges that it will likely pay more and be more challenging. I do not, however, consider that the defendants are responsible for Mr. Nish's loss of income related to this attendance at the Justice Institute. I consider that Mr. Nish's continuing symptoms were the impetus for his pursuing retraining; however, I cannot find that he would have remained at Dekora performing heavy physical work but for the accidents. In other words, his decision to retrain in September 2011 was motivated by the injuries he sustained in the accidents, but I consider that he would have pursued retraining in any event. His position at Dekora was not full time, it required a great deal of physical stamina and while Mr. Nish hoped to become a permanent employee, he had not after almost 2 1/2 years working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cannot find that Mr. Nish was entitled to damages for loss of income from September 2011 until he concludes his course in emergency management.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Despite my finding that the defendants are not responsible for Mr. Nish's loss from after the enrolment at the Justice Institute until he graduates in the spring of 2015, before the accidents, Mr. Nish was a young man who had not established a career path. He enjoyed working at Dekora and at the time had not considered ending that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Nonetheless, Mr. Nish has suffered the loss of a capital asset due to his accident related injuries. He can no longer perform jobs involving physically heavy work which he previously performed. There has been a limitation in his ability to pursue and succeed in more physical roles as an actor. There may be jobs in his field of emergency management which he will find difficult if they involve heavy physical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It is that loss for which Mr. Nish must be compensated.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legal framework regarding a claim for loss of future earning capacity was described by Madam Justice Dickson in </w:t>
      </w:r>
      <w:r>
        <w:rPr>
          <w:rFonts w:ascii="arial" w:eastAsia="arial" w:hAnsi="arial" w:cs="arial"/>
          <w:i/>
          <w:color w:val="000000"/>
          <w:sz w:val="20"/>
          <w:lang w:val="en-US" w:eastAsia="en-US" w:bidi="ar-SA"/>
        </w:rPr>
        <w:t>Hardychuk v. Johnstone</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2012 BCSC 1359</w:t>
        </w:r>
      </w:hyperlink>
      <w:r>
        <w:rPr>
          <w:rFonts w:ascii="arial" w:eastAsia="arial" w:hAnsi="arial" w:cs="arial"/>
          <w:color w:val="000000"/>
          <w:sz w:val="20"/>
          <w:lang w:val="en-US" w:eastAsia="en-US" w:bidi="ar-SA"/>
        </w:rPr>
        <w:t xml:space="preserve"> at paras. 192-198: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[192] A claim for loss of future earning capacity raises two key questions: 1) has the plaintiff's earning capacity been impaired by his or her injuries; and, if so 2) what compensation should be awarded for the resulting financial harm that will accrue over time? The assessment of loss must be based on the evidence, and not an application of a purely mathematical calculation. The appropriate means of assessment will vary from case to case: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[193] The assessment of damages is a matter of judgment, not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w:t>
      </w:r>
      <w:hyperlink r:id="rId197"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[194] Insofar as is possible, the plaintiff should be put in the position he or she would have been in, from a work life perspective,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Ongoing symptoms alone do not mandate an award for loss of earning capacity. Rather, the essential task of the Court is to compare the likely future of the plaintiff's working life if the accident had not happened with the plaintiff's likely future working life after its occurrence: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Moore v. Cabral et. al.</w:t>
      </w:r>
      <w:r>
        <w:rPr>
          <w:rFonts w:ascii="arial" w:eastAsia="arial" w:hAnsi="arial" w:cs="arial"/>
          <w:color w:val="000000"/>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2006 BCSC 920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[195] There are two possible approaches to assessment of loss of future earning capacity: the "earnings approach" from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the "capital asset approach"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Both approaches are correct and will be more or less appropriate depending on whether the loss in question can be quantified in a measureable way: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[196] The earnings approach involves a form of math-oriented methodology such as i) postulating a minimum annual income loss for the plaintiff's remaining years of work, multiplying the annual projected loss by the number of remaining years and calculating a present value or ii) awarding the plaintiff's entire annual income for a year or two: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[197] The capital asset approach involves considering factors such as i) whether the plaintiff has been rendered less capable overall of earning income from all types of employment; ii) is less marketable or attractive as a potential employee; iii) has lost the ability to take advantage of all job opportunities that might otherwise have been open; and iv) is less valuable to herself as a person capable of earning income in a competitive labour market: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[198] The principles that apply in assessing loss of future earning capacity were summarized by Low J.A.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101 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 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Bartsch</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 supra</w:t>
      </w:r>
      <w:r>
        <w:rPr>
          <w:rFonts w:ascii="arial" w:eastAsia="arial" w:hAnsi="arial" w:cs="arial"/>
          <w:color w:val="000000"/>
          <w:sz w:val="20"/>
          <w:lang w:val="en-US" w:eastAsia="en-US" w:bidi="ar-SA"/>
        </w:rPr>
        <w:t>, at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To establish this head of damages the plaintiff must demonstrate a real and substantial possibility that he will suffer a loss of income in the future as a result of his injuries. The Court of Appeal pointed out in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xml:space="preserve"> at paras. 39-41 that is a matter of common sense that a person with constant and continuous pain will, over time, experience a detrimental effect on their ability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Applying these principles to the case, I award Mr. Nish $20,000 under this head of damage.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An award for cost of future care must be based on medical evidence as to what is reasonably necessary to preserve and promote the plaintiff's mental and physical health. In assessing cost of future care, the court should consider whether the plaintiff would likely use the items or services in the future (</w:t>
      </w:r>
      <w:r>
        <w:rPr>
          <w:rFonts w:ascii="arial" w:eastAsia="arial" w:hAnsi="arial" w:cs="arial"/>
          <w:i/>
          <w:color w:val="000000"/>
          <w:sz w:val="20"/>
          <w:lang w:val="en-US" w:eastAsia="en-US" w:bidi="ar-SA"/>
        </w:rPr>
        <w:t>Prempeh v. Boisvert</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2012 BCSC 304</w:t>
        </w:r>
      </w:hyperlink>
      <w:r>
        <w:rPr>
          <w:rFonts w:ascii="arial" w:eastAsia="arial" w:hAnsi="arial" w:cs="arial"/>
          <w:color w:val="000000"/>
          <w:sz w:val="20"/>
          <w:lang w:val="en-US" w:eastAsia="en-US" w:bidi="ar-SA"/>
        </w:rPr>
        <w:t xml:space="preserve"> at para. 107).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doctors agree that Mr. Nish would benefit from attending a gym and between 9 and 15 sessions with a kinesiologist. Dr. Boyle recommends that the cost of this would total $890 and Dr. Hirsch anticipates that the cost is $1,250. Mr. Nish claims $1,900 to include a two year annual gym pass as well as ongoing yoga.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award Mr. Nish $1,100 under this head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parties agree that special damages are $1,290. The plaintiff claims a further $500 for the cost of yoga treatment that he has incurred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award Mr. Nish $1,500 under this head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3"/>
        <w:gridCol w:w="1568"/>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$45,000</w:t>
            </w:r>
          </w:p>
        </w:tc>
        <w:tc>
          <w:tcPr>
            <w:tcW w:w="460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Income:</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$10,223.32</w:t>
            </w:r>
          </w:p>
        </w:tc>
        <w:tc>
          <w:tcPr>
            <w:tcW w:w="460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Earning Capacity</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$20,000</w:t>
            </w:r>
          </w:p>
        </w:tc>
        <w:tc>
          <w:tcPr>
            <w:tcW w:w="460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Care:</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$ 1,100</w:t>
            </w:r>
          </w:p>
        </w:tc>
        <w:tc>
          <w:tcPr>
            <w:tcW w:w="460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$ 1,500</w:t>
            </w:r>
          </w:p>
        </w:tc>
        <w:tc>
          <w:tcPr>
            <w:tcW w:w="460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$77,823.32</w:t>
            </w:r>
          </w:p>
        </w:tc>
        <w:tc>
          <w:tcPr>
            <w:tcW w:w="460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J.M. GROPPER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6"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95" w:history="1">
        <w:r>
          <w:rPr>
            <w:rFonts w:ascii="arial" w:eastAsia="arial" w:hAnsi="arial" w:cs="arial"/>
            <w:b/>
            <w:bCs/>
            <w:i/>
            <w:color w:val="0077CC"/>
            <w:kern w:val="32"/>
            <w:sz w:val="28"/>
            <w:szCs w:val="32"/>
            <w:u w:val="single"/>
            <w:shd w:val="clear" w:color="auto" w:fill="FFFFFF"/>
            <w:lang w:val="en-US" w:eastAsia="en-US" w:bidi="ar-SA"/>
          </w:rPr>
          <w:t>Ranahan v. Iron Horse Enterprises &amp; Logistics Inc., [2017] B.C.J. No. 871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 Murray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28-30, December 1, 2, 6-9, 12 and 14, 15,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8,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M111719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871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2017 BCSC 759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Paul Ranahan and Paul Ranahan &amp; Son Contracting Ltd., Plaintiffs, and Iron Horse Enterprises &amp; Logistics Inc. and Shane Douglas Nimrichter,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7"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2" w:name="Keywords_10"/>
      <w:bookmarkEnd w:id="72"/>
      <w:r>
        <w:rPr>
          <w:rFonts w:ascii="arial" w:eastAsia="arial" w:hAnsi="arial" w:cs="arial"/>
          <w:b/>
          <w:color w:val="000000"/>
          <w:sz w:val="20"/>
          <w:lang w:val="en-US" w:eastAsia="en-US" w:bidi="ar-SA"/>
        </w:rPr>
        <w:t>Damages — Physical and psychological injuries — Physical injuries — Body injuries — Chest — Neck — Psychological injuries — Emotional and mental distress — Types of damages — General damages — For personal injuries — Cost of future care — Loss of earning capacity — Special damages — Past loss of income — Employment income — Expenses and expenditures — Therapy or rehabilitation — Non-pecuniary loss — Pain and suffering — Affecting recreational activities — Action by Ranahan for damages for personal injuries suffered in motor vehicle accident allowed — Ranahan's motorcycle struck defendant Nimrichter's tractor truck as Nimrichter was making a left turn through an intersection — Nimrichter was wholly at fault — Ranahan, 55, had been a self-employed tree faller, extremely active and physically fit — Ongoing chest/ shoulder/neck pain from accident restricted his activities and had negative emotional effect — Damages of $838,430 were awarded, including: $145,000 for non-pecuniary loss; past wage loss of $175,430; loss of future earning capacity of $475,000, and; $33,000 for cost of future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3" w:name="Case Summary_9"/>
            <w:bookmarkEnd w:id="7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Ranahan for damages for personal injuries suffered in a motor vehicle accident. Ranahan was riding his motorcycle when he struck the tractor truck driven by the defendant Nimrichter, as Nimrichter was making a left turn through an intersection in front of him. Ranahan testified he thought Nimrichter was going to stop his vehicle before turning and although he took evasive action was unable to avoid the collision. Nimrichter testified he was half-way through the intersection before noticing Ranahan. There was another motorcycle stopped at the side of the road, which Nimrichter was trying to avoid; he stated that Ranahan also seemed to be looking at the stopped motorcycle before the collision. In the accident, Ranahan suffered fractured ribs, a fractured collarbone, and a fractured wrist, collapsed lungs, a cut under his chin, a black eye, bruising, and a ruptured spleen. Ranahan had also been involved in another motor vehicle accident six months previous, in which he suffered injuries to his right shoulder, left hand and low back. Ranahan gave evidence those injuries had virtually resolved before the current accident. Ranahan, 55, was a self-employed tree faller. Prior to the accident he had been extremely active, was in good health and physically fit. After the accident, chest/shoulder/neck pain and constriction had been a constant issue, affected his ability to work and engage in activities and also had a serious negative emotional effect. Physiotherapy and other treatments had not improved Ranahan's condition. Two physicians testified Ranahan was unlikely to make significant future improvement. The issues were liability, causation and quantum of damages. Nimrichter argued Ranahan's injuries were pre-existing, Ranahan had an obligation to mitigate his loss of income, and also that a 30 per cent deduction should be applied to lost wages for the possibility that work would not have been available.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4" w:name="Holdings of Court_9"/>
            <w:bookmarkEnd w:id="7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Damages awarded of $838,430. On the issue of liability, under the Motor Vehicle Act a left-turning driver was required yield to oncoming traffic that was in the intersection or so close as to constitute an "immediate hazard". Ranahan's evidence as to events was preferred. Based on the evidence, Nimrichter had been preoccupied with the stopped motorcycle and had not seen Ranahan when he should have. Ranahan's vehicle constituted an immediate hazard and Nimrichter should not have turned. Ranahan had not contributed to the accident. Nimrichter was wholly at fault for the collision. On the issue of non-pecuniary damages, the evidence was uniform that Ranahan had healed to the point possible, was unlikely to make further medical progress and would continue to suffer chronic pain and restricted movement related to the left chest/neck/shoulder injury. He was unable to continue work as a tree faller, or engage in previous recreational and everyday activities. In regard to causation, the injuries causing Ranahan enduring problems were a result of the most recent accident and not pre-existing. Ranahan's non-pecuniary loss was assessed at $145,000. On the issue of past loss of opportunity and diminished earning capacity, there was no indication that Ranahan had not mitigated his damages and a 30 per cent deduction was not warranted, as there was evidence of an abundance of available work. Ranahan's past wage loss was $175,430. The award for loss of future earning capacity was $475,000. Pain management therapy and counselling were necessary for Ranahan to deal with his injuries going forward, along with exercise and physiotherapy. $33,000 was awarded for cost of future care. Special damages were awarded of $10,000. Total damages were $838,430.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5" w:name="Legislation Cited_7"/>
      <w:bookmarkEnd w:id="7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8"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Health Care Costs Recovery Act, </w:t>
      </w:r>
      <w:r>
        <w:rPr>
          <w:rFonts w:ascii="arial" w:eastAsia="arial" w:hAnsi="arial" w:cs="arial"/>
          <w:i/>
          <w:color w:val="000000"/>
          <w:sz w:val="20"/>
          <w:lang w:val="en-US" w:eastAsia="en-US" w:bidi="ar-SA"/>
        </w:rPr>
        <w:t>S.B.C. 2008, c. 27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(Motor Vehicle) Act, </w:t>
      </w:r>
      <w:hyperlink r:id="rId297" w:history="1">
        <w:r>
          <w:rPr>
            <w:rFonts w:ascii="arial" w:eastAsia="arial" w:hAnsi="arial" w:cs="arial"/>
            <w:i/>
            <w:color w:val="0077CC"/>
            <w:sz w:val="20"/>
            <w:u w:val="single"/>
            <w:shd w:val="clear" w:color="auto" w:fill="FFFFFF"/>
            <w:lang w:val="en-US" w:eastAsia="en-US" w:bidi="ar-SA"/>
          </w:rPr>
          <w:t>R.S.B.C. 1996, c. 231, s. 95</w:t>
        </w:r>
      </w:hyperlink>
      <w:r>
        <w:rPr>
          <w:rFonts w:ascii="arial" w:eastAsia="arial" w:hAnsi="arial" w:cs="arial"/>
          <w:color w:val="000000"/>
          <w:sz w:val="20"/>
          <w:lang w:val="en-US" w:eastAsia="en-US" w:bidi="ar-SA"/>
        </w:rPr>
        <w:t>, s. 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298" w:history="1">
        <w:r>
          <w:rPr>
            <w:rFonts w:ascii="arial" w:eastAsia="arial" w:hAnsi="arial" w:cs="arial"/>
            <w:i/>
            <w:color w:val="0077CC"/>
            <w:sz w:val="20"/>
            <w:u w:val="single"/>
            <w:shd w:val="clear" w:color="auto" w:fill="FFFFFF"/>
            <w:lang w:val="en-US" w:eastAsia="en-US" w:bidi="ar-SA"/>
          </w:rPr>
          <w:t>R.S.B.C. 1996, c.318, s. 144</w:t>
        </w:r>
      </w:hyperlink>
      <w:r>
        <w:rPr>
          <w:rFonts w:ascii="arial" w:eastAsia="arial" w:hAnsi="arial" w:cs="arial"/>
          <w:color w:val="000000"/>
          <w:sz w:val="20"/>
          <w:lang w:val="en-US" w:eastAsia="en-US" w:bidi="ar-SA"/>
        </w:rPr>
        <w:t>, s. 174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6" w:name="Counsel_10"/>
      <w:bookmarkEnd w:id="7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9"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A.E. Maragos, J.S. De Vita.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A.D. Kask, A.C. Fraser.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7" w:name="Judgment_10"/>
      <w:bookmarkEnd w:id="77"/>
      <w:r>
        <w:pict>
          <v:line id="_x0000_s1080" style="position:absolute;z-index:2518231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II.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Sheldon Brodie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Bill Plowright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Shane Nimrichter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Analysis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Conclusion Re: Liability</w:t>
      </w:r>
    </w:p>
    <w:p>
      <w:pPr>
        <w:numPr>
          <w:numId w:val="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Pre- Accident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March 3, 2009 Accident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After the September 2009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Matthew Ranahan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Sky Jones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Medical/Expert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Graham Pollard, Physiotherapist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James Wiens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Tony Giantomaso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John Arthur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Shrestha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Jasmine Shivji, Occupational Therapist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Findings of fact as to Mr. Ranahan's condition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Causation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Conclusion re Causation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Quantum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Analysis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Conclusion re Non-Pecuniary Damages</w:t>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OPPORTUNITY AND DIMINISHED EARNING CAPACITY</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Wage Loss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Matthew Ranahan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Sky Jones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Duncan Henderson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Thomas Blabey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Gordon Bryan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Conclusion re past Wage Loss</w:t>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DIMINISHED EARNING CAPACITY</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Conclusion re Diminished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 COST OF FUTURE CARE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 SPECIAL DAMAGES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VII. HEALTH CARE COSTS RECOVERY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VIII. 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8" w:name="C. MURRAY J."/>
            <w:bookmarkEnd w:id="78"/>
            <w:r>
              <w:rPr>
                <w:rFonts w:ascii="arial" w:eastAsia="arial" w:hAnsi="arial" w:cs="arial"/>
                <w:b/>
                <w:color w:val="000000"/>
                <w:sz w:val="30"/>
                <w:lang w:val="en-US" w:eastAsia="en-US" w:bidi="ar-SA"/>
              </w:rPr>
              <w:t>C. MURRAY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damages for personal injuries suffered in a motor vehicle accident on September 9, 2009 at the intersection of 7th Street and Highway 2 in Dawson Creek, B.C.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that time the plaintiff, Paul Ranahan was riding his Harley Davidson motorcycle east on Highway 2 when he struck the tractor truck pulling two trailers (the "semi" or "B-train") driven by the defendant Shane Nimrichter as Mr. Nimrichter was making a left turn in front of him, off Highway 2 onto Dangerous Goods Route.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Liability, causation and quantum of damages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Paul Ranahan went for a ride on his motorcycle after work on September 10, 2009. It was a beautiful sunny afternoon; the roads were dry. Mr. Ranahan was driving south on 8th street in Dawson Creek which, through a casual turn, becomes Highway 2. This turn, known as Finnegan's corner, is flat and clear. Visibility approaching the lights at the intersection of 7th Street/Dangerous Goods Route and Highway 2 is unobstructed.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 Mr. Ranahan came around the corner he could see that the light was green. He saw a semi coming toward him that he thought was going to turn left onto the Dangerous Goods Route. He observed other vehicles on the cross street and he noticed a broken down motorcycle on the cross street in the yellow area by the median on the wrong side of the road, right where the semi was going to turn. Mr. Ranahan slowed down at the intersection then kept 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semi started to turn left in front of him. Mr. Ranahan tried to avoid it. He braked and went into a skid. The semi kept going. Mr. Ranahan tried to get around it but was not able to. He hit the front driver's side of the semi, was knocked from his motorcycle and landed on the road unconscious.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cross-examination, Mr. Ranahan said that when he first saw the semi it was a distance back from the intersection. By the time the semi arrived at the intersection the light was green and it moved into the left hand turning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Ranahan testified that he had a full view of the intersection in front of him as he approached. He noticed the motorcycle stopped on the wrong side of the median but it did not distract him. As he approached the intersection Mr. Ranahan decelerated by taking his hand off the throttle. He then re-applied the throttle. He was going about 40 mph (approximately 64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Ranahan described the Accident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seen him kicking his motorbike over. Um. I seen like a couple vehicles come out of the Walmart side onto the highway. I seen the truck was uh slowing down. I slowed down just for a second and then proceeded with my speed again and I seen right at the crosswalk intersection where the semi would've had to stop if the light was red, that he had geared down into like first gear or something and I thought he was going to stop and I kept on going and then he rolled by really slow past the pedestrian crosswalk into the centre of the intersection and I still just kept on my speed thinking that he was going to stop in the centre of the road and then I seen his tires start to turn. And when I seen his tires start to turn I um. I just slammed on mv back brake and I went into a skid. And when I went into the skid I veered my motorcycle to the right-hand side of the ditch to avoid the collision, but the truck kept on moving and I, uh, just got closer to the truck and I realized like at the last second that if my bike was down on its side that I was going to get run right over by the semi, go underneath the semi and get run over and probably killed. So I let go of the back brake. And when I let go of my back brake my bike stood up and it did a really wild wibble wobble and I ran into the front of the semi and I don't remember nothing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Ranahan was rendered unconscious and woke up in the hospital.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Sheldon Brodie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Sheldon Brodie was stopped at the traffic lights on 7th/Dangerous Goods Route and the intersection of Highway 2. When he stopped at the red light he saw a B-train to his right approach the intersection and start to turn left onto 7th/Dangerous Goods Route.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 also noticed a broken down motorcycle to his left on the wrong side of the median. The broken down motorcycle was trying to make room for the semi that was turning into its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He then heard a bang and saw the plaintiff's motorcycle slide in front of his car. The motorcyclist was on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He did not see the plaintiff's motorcycle before this nor did he hear it approaching.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 believed that the B-train was at least half way through the intersection when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cross-examination, Mr. Brodie agreed that he was talking to his wife and was not watching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also admitted that when the impact occurred, he was focussed on the plaintiff's motorcycle not the B-train.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Bill Plowright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Bill Plowright was riding the motorcycle that was broken down on the wrong side of the median at the intersection on 7th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 is an experienced truck driver and a motorcycle enthusiast. He was out for a ride on his Harley when it ran out of gas. In his haste (Mr. Plowright's words) he pulled up to the intersection on the wrong side of the median by mistake.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According to Mr. Plowright, as he was sitting on his motorcycle facing the intersection, he saw the semi come to a complete stop at the light then start to make his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 noticed that the driver was paying attention to him, in his words, "making sure that his B-train didn't hit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Plowright testified that he heard the plaintiff's motorcycle before the truck started its turn but did not see it until "not more than a couple of seconds before" the impact. I pause to note that he never testified that he looked to see if anything was coming from that direction, nor was he asked.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Plowright noticed the plaintiff brake as he approached; his motorcycle went sideways then it straightened up. He testified that that is consistent with the driver hitting the brakes then taking his hand off the back brake when the motorcycle started to slide.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Plowright testified that the driver of the semi was paying attention to him as he made his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He estimated that the semi was two-thirds of the way through its turn at the time the motorcycle hit it but qualified that "it all happened so fast". He thought the motorcycle hit the passenger side of the truck but noticed in the photographs shown to him while he was testifying that it was the driver's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impact, debris from the motorcycle hit Mr. Plowright, knocking him and his motorcycle over. His motorcycle was damaged as a result.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Shane Nimrichter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 Shane Nimrichter was driving the semi.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 has been driving semis for 13 years and that particular truck for one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the day of the Accident, he was travelling from Edmonton to Prophet River, B.C. hauling a super B trailer (two trailers linked together) containing liquid.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Nimrichter was familiar with the intersection of Highway 2 and 7th Avenue as he had driven through it several times prior to this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the time of the Accident he was travelling toward Dawson Creek on Highway 2. His plan was to make an "S" turn, left at the lights then an immediate right onto the Dangerous Goods Route which runs parallel to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Nimrichter was aware that at that intersection he had to make a very wide slow left turn in order to clear two medians-one on the highway and one on 7th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cross-examination, Mr. Nimrichter agreed that it was a tricky turn; not a good turn for him. He noted that in order to make the turn he had to look around the blind spots in his truck: the mirror, the frame of the window and the centrepiece of the window.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Mr. Nimrichter approached the intersection (he does not recall if he stopped at the light first), he noticed a guy sitting on a motorcycle on the wrong side of the median facing toward the intersection. He noted that that was an additional obstacle that he had to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He testified that he checked for oncoming traffic and did not see anything. He then looked again at the guy on the motorcycle on the wrong side of the median, looked back at his mirrors then started into his turn. As a result of the guy sitting on his motorcycle, Mr. Nimrichter took the turn as wide as he could, likely wider than he usually did to make sure not to hit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Nimrichter estimates that he was approximately half-way through the intersection when he noticed Mr. Ranahan approaching on his motorcycle. He slammed on his brakes then Mr. Ranahan's motorcycle hit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Nimrichter testified that it appeared that Mr. Ranahan was looking at the stopped motorcycle as he approached his head was tilted in that direction. In cross-examination he conceded that it was possible that Mr. Ranahan was in fact looking to see where he was going to swerve to avoid hitting his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Nimrichter pointed out that the only damage to his vehicle as a result of the impact was to the driver's side of the front bull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cross-examination, Mr. Nimrichter clarified the actions he took in negotiating his turn as follows: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looked straight ahead then started to make his turn.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he was turning he looked at the stopped motorcycle to see what it was doing.</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looked at the meridian on 7th to see if he could make his turn.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looked back to see whether he could clear the meridian on the highway with his trailer.</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looked back at the stopped motorcycle.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was all happening while he was making his turn. It wasn't until he looked back to check oncoming traffic that he saw Mr. Ranahan's motorcycle approximately ten feet away.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relevant statutory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c.318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governing left hand turns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Careless driving prohibited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(1) A person must not drive a motor vehicle on a highway</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person who contravenes subsection (1) (a) or (b) is liable on conviction to a fine of not less than $100 and, subject to this minimum fine, section 4 of the </w:t>
      </w:r>
      <w:r>
        <w:rPr>
          <w:rFonts w:ascii="arial" w:eastAsia="arial" w:hAnsi="arial" w:cs="arial"/>
          <w:i/>
          <w:color w:val="000000"/>
          <w:sz w:val="20"/>
          <w:lang w:val="en-US" w:eastAsia="en-US" w:bidi="ar-SA"/>
        </w:rPr>
        <w:t>Offence Act</w:t>
      </w:r>
      <w:r>
        <w:rPr>
          <w:rFonts w:ascii="arial" w:eastAsia="arial" w:hAnsi="arial" w:cs="arial"/>
          <w:color w:val="000000"/>
          <w:sz w:val="20"/>
          <w:lang w:val="en-US" w:eastAsia="en-US" w:bidi="ar-SA"/>
        </w:rPr>
        <w:t xml:space="preserve"> applies.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Yielding right of way on left turn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summary, a left-turning driver must yield to oncoming traffic that is in the intersection or so close as to constitute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An approaching vehicle is an "immediate hazard" if it is so close to the intersection that its driver must take some sudden or violent action to avoid the threat of a collision with the vehicle that is attempting a left turn: </w:t>
      </w:r>
      <w:r>
        <w:rPr>
          <w:rFonts w:ascii="arial" w:eastAsia="arial" w:hAnsi="arial" w:cs="arial"/>
          <w:i/>
          <w:color w:val="000000"/>
          <w:sz w:val="20"/>
          <w:lang w:val="en-US" w:eastAsia="en-US" w:bidi="ar-SA"/>
        </w:rPr>
        <w:t>Raie v. Thorpe</w:t>
      </w:r>
      <w:r>
        <w:rPr>
          <w:rFonts w:ascii="arial" w:eastAsia="arial" w:hAnsi="arial" w:cs="arial"/>
          <w:color w:val="000000"/>
          <w:sz w:val="20"/>
          <w:lang w:val="en-US" w:eastAsia="en-US" w:bidi="ar-SA"/>
        </w:rPr>
        <w:t xml:space="preserve"> (1963), 43 W.W.R. 405 at 406 (B.C.C.A.). The point in time to assess whether the through driver is an "immediate hazard" is the moment before the left-turning driver actually starts to make the turn: </w:t>
      </w:r>
      <w:r>
        <w:rPr>
          <w:rFonts w:ascii="arial" w:eastAsia="arial" w:hAnsi="arial" w:cs="arial"/>
          <w:i/>
          <w:color w:val="000000"/>
          <w:sz w:val="20"/>
          <w:lang w:val="en-US" w:eastAsia="en-US" w:bidi="ar-SA"/>
        </w:rPr>
        <w:t>Raie</w:t>
      </w:r>
      <w:r>
        <w:rPr>
          <w:rFonts w:ascii="arial" w:eastAsia="arial" w:hAnsi="arial" w:cs="arial"/>
          <w:color w:val="000000"/>
          <w:sz w:val="20"/>
          <w:lang w:val="en-US" w:eastAsia="en-US" w:bidi="ar-SA"/>
        </w:rPr>
        <w:t>, at p. 414.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analytical framework that is often applied to the determination of liability for a motor vehicle accident is based upon one of the drivers being characterized as "dominant""and the other as "servient". The driver with the right of way is the dominant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Nerval v. Khehra</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2012 BCCA 436</w:t>
        </w:r>
      </w:hyperlink>
      <w:r>
        <w:rPr>
          <w:rFonts w:ascii="arial" w:eastAsia="arial" w:hAnsi="arial" w:cs="arial"/>
          <w:color w:val="000000"/>
          <w:sz w:val="20"/>
          <w:lang w:val="en-US" w:eastAsia="en-US" w:bidi="ar-SA"/>
        </w:rPr>
        <w:t xml:space="preserve">, the B.C. Court of Appeal outlined the two-stage analysis to assess liability pursuant to s. 174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At the first stage the court must determine whether an immediate hazard was present when the left-turning driver commenced the turn. If no immediate hazard was present, the left-turning driver becomes the dominant driver with the right of way: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At the second stage of the analysis, even if the through driver is found to have been the dominant driver with the right of way, the Court must determine whether the through driver was nonetheless negligent and at fault for causing or contributing to the accident: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xml:space="preserve"> at para.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will now review the evidence with the law in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All of the witnesses gave evidence in an honest, straight-forward manner. It was clear that they were all trying their best to be as accurate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They were also, for the most part, fair about the weaknesses or shortcomings in their evidence:</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Brodie admitted that he was talking to his wife and was not paying full attention;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Nimrichter fairly described all of the concerns occupying his thoughts as he negotiated the turn;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Plowright was clearly focussed on the semi that was coming right at him and did not see Mr. Ranahan's motorcycle until seconds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Considering all of the evidence, I prefer the evidence of Mr. Ranahan to the evidence of the other witnesses as to what was going on in the intersection as he approached.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He is the only one that had a view of the entire intersection. He was paying attention to what the B-train was doing and he is the only one that can say what he was doing. His evidence fits with the evidence of the other witnesses except for the evidence of Mr. Nimrichter that he did not see the motorcycle when he commenced his turn. Of note, Mr. Plowright corroborates Mr. Ranahan's evidence regarding the evasive action he took to try to avoid the collision. He also testified that he could hear Mr. Ranahan's motorcycle at the time the semi commenced its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As a result, when evidence conflicts with his evidence, it is Mr. Ranahan's evidence that I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Taking all of the evidence into consideration, I find the following facts regarding the Accident:</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Ranahan had a full, unobstructed view of the intersection as he came around Finnegan's corner;</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light was green as he approached the intersection;</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saw the semi approach the intersection and move into the left turning lane. Mr. Ranahan noted that it was going to make a left turn onto Dangerous Goods Route;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semi did not stop when it reached the intersection as the light was green;</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Nimrichter was preoccupied with the presence of Mr. Plowright's motorcycle that was stopped on the wrong side of the road right in the path of the difficult turn that he was about to make;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he started into his turn, Mr. Nimrichter's attention was focussed on making sure that he did not hit Mr. Plowright;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Mr. Nimrichter did not notice the motorcycle driven by Mr. Ranahan when he should have;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Ranahan was approaching the intersection when Mr. Nimrichter started his turn;</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Ranahan's motorcycle was close enough to the intersection that it constituted an immediate hazard as per s. 174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and Mr. Nimrichter should not have commenced his turn;</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Ranahan locked his brakes and tried to veer to the right side of the road toward the ditch in an attempt to avoid an accident;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Nimrichter kept turning and Mr. Ranahan hit the front driver's side corner of the semi; and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Ranahan was driving within a reasonable margin of the speed limit and did not in any way contribute to or cause the Accident. Despite his best efforts to avoid the Accident, he could not prevent it.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 Re: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It follows that I find that Mr. Ranahan was the dominant driver at all times and that he did not cause or contribute to the Accident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Nimrichter is wholly at fault for the collision. Judgment will go against him and Iron Horse Enterprises &amp; Logistics Inc. for Mr. Ranahan's damages as I have assessed them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III.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now turn to the issue of non-pecuniary damages. In order to assess these damages I must consider causation and 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Causation is an issue as Mr. Ranahan was involved in a motor vehicle accident on March 3, 2009, just over six months before the September 9, 2009 accident on his motorcycle.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Ranahan was born January 20, 1962 in the Kitwanga area and grew up in Dawson Creek. In 1985 he met his wife Shauna. They separated shortly after the Accident but are still close. They have a son, Matthew, 27, a daughter Breanne, 22 and two young grandchildren. He is a devoted family 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Ranahan lives in a house on ten acres in New Hazelton, an area that is an outdoor playground. Matthew and his family live close to Mr. Ranahan and he spends a lot of time with them. Breanne lives with Mr. Ranahan when she is home from college in Victoria and plans to live with him when she completes her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Ranahan left high school in grade 10 (1978) and has worked ever since. He worked on oil rigs right after school and for the Dawson Creek Parks and Recreation Department for nine years before he started working in the logging industry first as a skidder then a faller.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He became self-employed in the early 1980's and remains so to this day. He began his own business approximately 20 years ago and incorporated as Paul Ranahan &amp; Son Contracting Ltd. in 2007.</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Pre-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Before the Accident Mr. Ranahan was extremely active. He enjoyed snowmobiling, fishing, hiking and working around his property; activities that he would often engage in with his children. He was in good health and he kept himself in excellent physical condition through exercise and lifting weights.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According to Sky Jones, a faller that was trained by Mr. Ranahan in 2005 and who worked with him in camps before the Accident, Mr. Ranahan was well respected in camps and was one of the top producers. According to Mr. Jones, Mr. Ranahan had no limitations physically.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Matthew Ranahan started working with his father in 2006. He described his father at work prior to the Accident as: "strong, go go go, find as much work as you can, no sitting around". He testified that in 2009 before the Accident, despite being much younger, he could not keep up with his father as a logger.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March 3, 2009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On March 3, 2009, Mr. Ranahan was a passenger in a car that was involved in a motor vehicle accident. In that accident he suffered injuries to his right shoulder, left hand and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a result of the injuries he suffered, Mr. Ranahan had to take three months off work. He returned to work in July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accept Mr. Ranahan's evidence that the injuries he suffered in the March 2009 accident had virtually resolved before the September accident. The injury to his low back had healed. There remained some tingling in his left hand that has never resolved. His right shoulder was 90% healed and has not improved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At the time of the September accident Mr. Ranahan was back at work full-time. His tree falling business was prospering. There was no lack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He was involved in a job for Dunne-za Industries at the time of the Accident. That job started in late August 2009 and was to complete in December 2009.</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After the September 2009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After the impact, Mr. Ranahan was thrown from his motorcycle and landed on the ground unconscious.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He came to several times for brief flashes but his first real memory was the following morning in the hospital. His head was pounding and his body hurt all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He suffered three fractured ribs, a fractured collarbone, and a fractured wrist - all on the left side of his body. His lungs had collapsed. He had a cut under his chin, a black eye and had bruising down the left side of his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Ranahan was x-rayed many times and was discharged from hospital after two days. His son picked him up and drove him home, a trip that took twelve long painful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He saw his family doctor, Dr. Appleton four days later. The plan was to rest and heal.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Ranahan went to the emergency ward on September 21 as he could not breathe. He was x-rayed and sent home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He was having more and more difficulty breathing to the point that he thought he was going to die. He had to sleep sitting up as he could not get any breath lying down. He returned to the emergency ward about three days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He ended up going to Terrace hospital where he was admitted into the Intensive Care Unit. A CT scan showed that he had a ruptured spleen that needed to be operated on. In the operating room a tube was placed into his chest and 1.14 litres of blood was drained from his heart sac.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Ranahan was discharged from hospital on October 2,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next two months were torture for him. He suffered from intense chest pain and had great difficulty breathing. He was unable to sleep and had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He saw Dr. Appleton three times between October 20 and mid-December, 2009. He repeatedly told Dr. Appleton that he was suffering from tightness in his chest, difficulty breathing, dizziness, headaches and light-headedness. Mr. Ranahan felt that he was not getting any help so he decided to look for a new doctor closer to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 December 16, 2009, Mr. Ranahan went to see a new family doctor, Dr. Shrestha. He saw him for a number of months but it seemed to Mr. Ranahan that Dr. Shrestha did not care about his condition so he switched to Dr. Wiens in early May, 2010. Dr. Wiens remains his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Ranahan started physiotherapy in January 2010. At that time he was suffering pain and tightness in his chest, neck, back and left shoulder and he was having difficulty breathing, particularly when his chest got tight.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Ranahan returned to work falling trees in May 2010. He was still not feeling well but had to pay his bills and look after his daughter. He felt that he could not safely fall trees because of his physical limitations; working as a supervisor was more manageable.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Chest/shoulder/neck pain and constriction has been a constant issue since the Accident. It has not dissipated and affects his ability to work and engage in the activities he enjoys, for example:</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can no longer fish as handling a rod puts pressure on his chest;</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hiking is difficult as his chest constricts on exertion and he is unable to breathe;</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running and lifting weights are hard for the same reason;</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unable to snowmobile like he used to because if he gets stuck he does not have the strength to get his snowmobile out;</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trouble working around his house and property as again, his chest constricts on exertion and he does not have the strength he did before the Accident;</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cannot lift or play with his grandchildren without having pain in his chest area; and</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unable to fall trees as it is too physically demanding. The physical exertion causes spasms in his chest which are extremely painful and makes it difficult for him to breathe.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constant pain has affected him emotionally. The pain has defined his life since September 2009. His life has become a series of medical appointments. He is worried about the future and how will he support himself. He described his emotional state in his testimony: "I'm right down. I have no idea what future holds for me. I have to be strong for my family. I stand strong for them and my two grandchildren but deep down I'm upset and scared."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find Mr. Ranahan to be a credible, straight-forward witness. He did not exaggerate or overstate his symptoms or difficulties. It is clear from his evidence that he is desperately trying to move forward and that all he wants is his life back.</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Matthew Ranahan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plaintiff's son described his father as "strong, brave, caring and loving". He testified that his father is a changed man since the Accident. Before the Accident his father was strong and fit, now he is "half the man he was". Matthew Ranahan showed how his father now carries himself: bent over with his head bent forward and shoulders scrunched up. This is in stark contrast to the upright posture he had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Matthew Ranahan testified that now when he walks through the bush with his father they have to stop and take breaks so his father can catch his breath.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According to Matthew Ranahan, his father is not able to work falling trees like he used to. His father used to work a full day then return to camp to lift weights. Now he is in obvious pain and often has trouble breathing. He is not as productive as he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His father also has trouble doing chores around his home that pre-accident were no problem. For example his father now has to use an electric splitter to cut the firewood that heats his house instead of doing it himself. Also his father's roof is in need of repair and he is not able to fix it himself.</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Sky Jones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Sky Jones testified that he worked with Mr. Ranahan from November 2013 to April 2014. Mr. Jones worked as a faller and Mr. Ranahan a supervisor on the job. Mr. Jones said that Mr. Ranahan was physically not the same person as he was before the Accident. At one point during the job Mr. Ranahan had to go to the nearest town to see a doctor because he was suffering severe chest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Medical/Expert Evidence</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Graham Pollard, Physiotherapist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Graham Pollard has been a physiotherapist for 27 years. He is the owner of a physiotherapy clinic in Smithers.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Ranahan attended Mr. Pollard's clinic from April 3, 2009 to May 28, 2010 and then again from May 27, 2011 to the end of that year. He was treated for injuries suffered in the first accident and the second.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After the first accident, Mr. Ranahan complained of pain in his right shoulder, right hand and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After the second accident, he complained of pain and restricted movement in his left chest, neck and shoulder. He also reported difficulty breathing. These complaints continued throughout the period he attended the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Pollard testified that Mr. Ranahan, a fit, strong, muscular man was trying to exercise to get better. There was a continuous pattern of some improvement with treatment then regression with increased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Overall there was no improvement in Mr. Ranahan's condition through physiotherapy.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James Wiens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Wiens has been a family doctor since 2002. He has a full scope practice in New Hazelton. He became Mr. Ranahan's doctor in the spring of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Wiens described Mr. Ranahan as a family man who is trying to do the best with how he is. Mr. Ranahan's primary complaint is of pain in the left side of the chest wall to the left side of his neck. Dr. Wiens testified that Mr. Ranahan has spasms in that area which increase with exertion. Shortness of breath is associated to this chest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Over the six and a half years that he has been his family doctor, Dr. Wiens has been very committed to trying to resolve or ease Mr. Ranahan's issues. He has referred him to many specialists and for many tests and treatments including:</w:t>
      </w:r>
      <w:r>
        <w:rPr>
          <w:rFonts w:ascii="arial" w:eastAsia="arial" w:hAnsi="arial" w:cs="arial"/>
          <w:sz w:val="20"/>
          <w:lang w:val="en-US" w:eastAsia="en-US" w:bidi="ar-SA"/>
        </w:rPr>
        <w:cr/>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massage therapy;</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respirologist;</w:t>
      </w:r>
    </w:p>
    <w:p>
      <w:pPr>
        <w:numPr>
          <w:numId w:val="4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neurologist who administered Botox treatments on Mr. Ranahan's neck;</w:t>
      </w:r>
    </w:p>
    <w:p>
      <w:pPr>
        <w:numPr>
          <w:numId w:val="4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orthopedic surgeon who performed orthoscopic surgery on his left knee;</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stress test to see if the chest spasms were related to a heart issue (they were not);</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MRI and x-rays of his chest;</w:t>
      </w:r>
    </w:p>
    <w:p>
      <w:pPr>
        <w:numPr>
          <w:numId w:val="4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blood work;</w:t>
      </w:r>
    </w:p>
    <w:p>
      <w:pPr>
        <w:numPr>
          <w:numId w:val="4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MRI of his brain;</w:t>
      </w:r>
    </w:p>
    <w:p>
      <w:pPr>
        <w:numPr>
          <w:numId w:val="4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ECG and CT scan of his neck; and</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bone 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addition to the above, Dr. Wiens has tried numerous medications to help Mr. Ranahan sleep and manage pain. Over the years he has prescribed stronger and stronger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2014, Dr. Wiens prescribed morphine. As he testified, "it is a place you do not want to go to" but he went there because he was not having any success in managing the pain. In his words, it was a reflection on the failure of the treatments they had tried.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Ranahan does not like taking medications in the first place but could not tolerate the morphine.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By May 11, 2015, Dr. Wiens testified that Mr. Ranahan was in more pain than ever. He prescribed oxycocet and gabapentin, which Dr. Wiens described as very serious pain medications. They did not assist.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Wiens testified that, throughout the years, Mr. Ranahan has been a compliant patient. In addition to following his recommendations, Mr. Ranahan has been trying to help himself recover through exercise and a healthy diet.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the end, nothing has worked. The chronic pain in his left chest, neck and shoulder area persist and continue to have a significant impact on Mr. Ranahan's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According to Dr. Wiens, all that is left for Mr. Ranahan is pain management and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cross-examination, Dr. Wiens was questioned about Mr. Ranahan's knee problems. It was put to him that the orthopedic specialist that saw him regarding his knee issues in 2012 opined that within 10 years, Mr. Ranahan's knees would be shot. Dr. Wiens testified that in the last few years Mr. Ranahan's knees have not been giving him trouble.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Tony Giantomaso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Tony Giantomaso, a physiatrist, was called by the plaintiff to give opinion evidence in the field of physiatry with a specialty in musculoskeletal and traumatic injuries and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He examined Mr. Ranahan on April 12, 2014 and again on February 6, 2016. He spent a couple of hours with him in total.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He remembers Mr. Ranahan distinctly as, in his words, he has an unusual injury and because he is "super 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During his examination, Dr. Giantomaso noticed that Mr. Ranahan held his neck tilted slightly and his shoulder slightly hiked up. This was consistent with the evidence of Matthew Ranahan regarding how his father now holds himself. Ms. Shivji, the plaintiff's occupational therapist noticed this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Dr. Giantomaso's opinion Mr. Ranahan's injuries were caused by a high velocity blunt force trauma to the left chest; an impact with enough force to go through his chest and bruise his heart, lung and spleen.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defendant argues that this opinion should be given little weight as it is outside of this witness's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Giantomaso is a medical doctor with a specialty in physical medicine and rehabilitation. He treats people that have been injured for musculoskeletal injuries and pain, for example, oil field workers that have had their bodies crushed. Implicit in treating a patient is diagnosing the cause of that pain. As he testified, thoracic injuries are common.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With respect to Mr. Ranahan's future, Dr. Giantomaso's opinion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Ranahan experienced, especially in the second accident, orthopaedic multitrauma. In my opinion it is likely that he will continue to require management for chronic pain including pain medications, therapies, and possibly future operations/surgical management in the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clear that Mr. Ranahan did have some pre-existing issues, but was functioning at a very high level including full-time employment in a heavy work environment without the need for significant medication management or therapy. It is clear that post-trauma he has been left with multiple injuries including soft tissue injuries to the neck, posttraumatic headaches, aggravation, and anatomical derangement of both shoulders as well as his knee and significant ongoing chest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these limitations will significantly continue to alter his overall enjoyment of life and decrease, his vocational options permanently.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Giantomaso opines that Mr. Ranahan has met maximum medical improvement and is unlikely to make any significant future gains.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To help him cope with pain and the realities of his life as they now are, Dr. Giantomaso recommends that Mr. Ranahan attend a pain clinic, ideally a multi-disciplinary clinic, with both physiotherapists and psychologists.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As for Mr. Ranahan's ability to work, Dr. Giantomaso testified that his injury is so severe that he could reasonably not work again. The fact that he is working but limiting himself is, in the doctor's view, more than reasonable. In his opinion, lifting light objects once in a while might not be a problem but doing so repeatedly would wear him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He accepts Ms. Shivji's opinion that Mr. Ranahan should be capable of working as a logging supervisor.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John Arthur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John Arthur, a retired Orthopaedic surgeon, testified for the defence. He examined Mr. Ranahan on April 16, 2014. According to the plaintiff, the examination lasted twenty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find Dr. Arthur to be a very fair witness but he completely missed Mr. Ranahan's chest injury, stating that it was "not a significant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defendants argue that Mr. Ranahan failed to tell Dr. Arthur that he was suffering from debilitating chest symptoms and that exertion was a trigger. I find it hard to believe that Mr. Ranahan would leave that out. He was examined by Drs. Arthur and Giantomaso and Ms. Shivji within days of each other. Both Dr. Giantomaso and Ms. Shivji were told about the devastating chest injury. Plus Dr. Arthur has noted in his report that Mr. Ranahan reported to him that his chest felt tight and that at times when he is deep breathing it feels tight.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Moreover, when asked in cross-examination whether he noticed that Mr. Ranahan holds his head/neck slightly tilted and his left shoulder scrunched up, Dr. Arthur responded that he did not. Both Dr. Giantomaso and Ms. Shivji noticed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Nor does Dr. Arthur recall seeing the clinical records of Dr. Devonshire regarding the treatments she administered to Mr. Ranahan's chest/neck and shoulder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conclude that Dr. Arthur failed to grasp the severity of Mr. Ranahan's injuries. For that reason, I prefer the opinions of Drs. Wiens and Giantomaso to 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Shrestha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Shrestha was called by the defence. He was Mr. Ranahan's family doctor from December 16, 2009 to April 12, 2010 when Mr. Ranahan felt that Dr. Shrestha was not helping him and he changed to Dr. Wiens.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Ranahan's concerns were not unfounded. Dr. Shrestha clearly had no appreciation for the severity of the injuries suffered by Mr. Ranahan.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Shrestha's clinical records from one visit to the next indicate a serious disconnect as if he is talking about a different patient each time. There is no continuity from one appointment to the next. Injuries noted in one visit are not mentioned in the next. Dr. Shrestha's notation of Mr. Ranahan's age changes from one visit to the next.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Shrestha's records and conclusions do not fit with any of the other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Accordingly I do not accept any of Dr. Shrestha's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Jasmine Shivji, Occupational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Ms. Shivji is an occupational therapist who conducted a functional capacity examination of Mr. Ranahan on April 15, 2014. She conducted two follow up telephone conversations with him on February 3 and 22, 2016 in order to update her opinion. She also retested him on November 21, 2016, to determine if wearing knee braces affected his knee function. She prepared three reports that outline her findings and provide a number of future care recommendations as well as the cost of those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Ms. Shivji conducted extensive testing of Mr. Ranahan's physical abilities. Among her observations are the following:</w:t>
      </w:r>
      <w:r>
        <w:rPr>
          <w:rFonts w:ascii="arial" w:eastAsia="arial" w:hAnsi="arial" w:cs="arial"/>
          <w:sz w:val="20"/>
          <w:lang w:val="en-US" w:eastAsia="en-US" w:bidi="ar-SA"/>
        </w:rPr>
        <w:cr/>
      </w:r>
    </w:p>
    <w:p>
      <w:pPr>
        <w:numPr>
          <w:numId w:val="4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a slightly uneven posture as he holds his left shoulder higher than his right;</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difficulty lifting heavier weights and experienced shortness of breath;</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complained of muscle tightness on the left side of his neck when looking down;</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reduced range of motion in his right shoulder;</w:t>
      </w:r>
    </w:p>
    <w:p>
      <w:pPr>
        <w:numPr>
          <w:numId w:val="5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participated in the testing with full physical effort and tended to minimise his symptoms;</w:t>
      </w:r>
    </w:p>
    <w:p>
      <w:pPr>
        <w:numPr>
          <w:numId w:val="5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stair climbing test he reported chest tightness;</w:t>
      </w:r>
    </w:p>
    <w:p>
      <w:pPr>
        <w:numPr>
          <w:numId w:val="5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his left shoulder and neck were stiff with repetitive lifting and he lifted by leading with his non-dominant right arm/shoulder and exhibited shortness of breath;</w:t>
      </w:r>
    </w:p>
    <w:p>
      <w:pPr>
        <w:numPr>
          <w:numId w:val="5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beginning of the day, he reported having pain in the left side of the back of his neck, and chest; and</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end of the day of testing he reported the same plus pain in the front left shoulder and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Ms. Shivji is of the opinion that Mr. Ranahan is no longer able to work as a tree faller due to his physical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Ms. Shivji is further of the opinion that Mr. Ranahan is better suited for supervisory jobs with the caveat that he may have difficulty if the job involves medium to heavy strength, frequent walking, occasional kneeling, reaching and neck extension because of shoulder, chest, neck, left wrist and knee limitations.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Findings of fact as to Mr. Ranahan's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For the reasons set out above, I do not accept the evidence of Drs. Arthur and Shrestha.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find the remaining witnesses credible and reliable. They were clearly trying to be as fair and accurate as possible. Their evidence fits together in all material respects. Accordingly I accept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evidence is uniform that Mr. Ranahan has healed to the point possible, is unlikely to make further progress medically and will continue to suffer chronic pain and restriction in movement related to the left chest/neck/shoulder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 accept that the injuries have left him unable to work as a tree faller. This impacts not only Mr. Ranahan's ability to earn a living but also shatters his dream of working with his son to build Paul Ranahan &amp; Son Contracting Ltd. It is expected that he will be able to work as a supervisor on logging jobs or on jobs that are less physically demanding but the evidence is clear that there is not as much work in that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 further accept that Mr. Ranahan is no longer able to engage in the recreational activities that he so enjoyed prior to the Accident or in keeping fit. He has trouble playing with his grandchildren.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He is impacted in everyday activities as well. He is afraid to drive in fear of being hit again. He is unable to perform routine maintenance around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Understandably his mental well-being has been considerably affected. I accept his evidence that he is at a low point in his life and is scared for the future. That is a significant statement coming from Mr. Ranahan who is clearly a resilient man.</w:t>
      </w:r>
      <w:r>
        <w:rPr>
          <w:rFonts w:ascii="arial" w:eastAsia="arial" w:hAnsi="arial" w:cs="arial"/>
          <w:sz w:val="20"/>
          <w:lang w:val="en-US" w:eastAsia="en-US" w:bidi="ar-SA"/>
        </w:rPr>
        <w:cr/>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Causation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Justice Fisher recently outlined the appropriate test regarding causation in </w:t>
      </w:r>
      <w:r>
        <w:rPr>
          <w:rFonts w:ascii="arial" w:eastAsia="arial" w:hAnsi="arial" w:cs="arial"/>
          <w:i/>
          <w:color w:val="000000"/>
          <w:sz w:val="20"/>
          <w:lang w:val="en-US" w:eastAsia="en-US" w:bidi="ar-SA"/>
        </w:rPr>
        <w:t>Chappell v. Loyie,</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2016 BCSC 1722</w:t>
        </w:r>
      </w:hyperlink>
      <w:r>
        <w:rPr>
          <w:rFonts w:ascii="arial" w:eastAsia="arial" w:hAnsi="arial" w:cs="arial"/>
          <w:color w:val="000000"/>
          <w:sz w:val="20"/>
          <w:lang w:val="en-US" w:eastAsia="en-US" w:bidi="ar-SA"/>
        </w:rPr>
        <w:t xml:space="preserve"> at paras. 4 to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Causation is established where the plaintiff proves on a balance of probabilities that the defendant caused or contributed to his injury. This general "but for" test is set out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and confirmed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This test does not require scientific precision; causation is a question of fact that may best be answered by applying ordinary common sense: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328. Moreover, the plaintiff does not have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At para. 17 of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the court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will frequently be a myriad of other background events which were necessary preconditions to the injury occurring. ... As long as a defendant is </w:t>
      </w:r>
      <w:r>
        <w:rPr>
          <w:rFonts w:ascii="arial" w:eastAsia="arial" w:hAnsi="arial" w:cs="arial"/>
          <w:i/>
          <w:color w:val="000000"/>
          <w:sz w:val="20"/>
          <w:lang w:val="en-US" w:eastAsia="en-US" w:bidi="ar-SA"/>
        </w:rPr>
        <w:t>part</w:t>
      </w:r>
      <w:r>
        <w:rPr>
          <w:rFonts w:ascii="arial" w:eastAsia="arial" w:hAnsi="arial" w:cs="arial"/>
          <w:color w:val="000000"/>
          <w:sz w:val="20"/>
          <w:lang w:val="en-US" w:eastAsia="en-US" w:bidi="ar-SA"/>
        </w:rPr>
        <w:t xml:space="preserve">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Therefore, even where there are other potential non-tortious causes of an injury, such as degenerative changes, the defendant will still be found liable if the plaintiff can prove that the accident caused or contributed to the injury. The contribution must be material, in the sense that there is a substantial connection between the accident and the injury, beyond a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paras. 9-11.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McLachlin C.J.C. discussed the difference between causation as the source of the loss and the rules of damage assessment in tort, at para. 78: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rules of causation consider generally whether "but for" the defendant's acts, the plaintiff's damages would have been incurred on a balance of probabilities.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In short, the essential purpose of tort law is to restore the plaintiff to the position he would have enjoyed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It is not permissible to apportion liability between tortious and non-tortious causes, as the plaintiff would not be adequately compensated. However, where there are multiple causes of a plaintiff's injuries, the key factual question is whether the injuries are divisible or indivisible. Divisible injuries are those that can be separated so that their damages can be assessed independently. Indivisible injuries are those that cannot be separated: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 20.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If the injury is divisible, a plaintiff can recover from the defendant only the damages attributable to the injury caused or contributed to by that defendant. If the injury is indivisible, a plaintiff can recover from the defendant 100% of the damages attributable to the injury caused or contributed to by that defendant regardless of the contribution to the injury by others: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24; </w:t>
      </w:r>
      <w:r>
        <w:rPr>
          <w:rFonts w:ascii="arial" w:eastAsia="arial" w:hAnsi="arial" w:cs="arial"/>
          <w:i/>
          <w:color w:val="000000"/>
          <w:sz w:val="20"/>
          <w:lang w:val="en-US" w:eastAsia="en-US" w:bidi="ar-SA"/>
        </w:rPr>
        <w:t>Bradley; B.P.B. v. M.M.B</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2009 BCCA 365</w:t>
        </w:r>
      </w:hyperlink>
      <w:r>
        <w:rPr>
          <w:rFonts w:ascii="arial" w:eastAsia="arial" w:hAnsi="arial" w:cs="arial"/>
          <w:color w:val="000000"/>
          <w:sz w:val="20"/>
          <w:lang w:val="en-US" w:eastAsia="en-US" w:bidi="ar-SA"/>
        </w:rPr>
        <w:t xml:space="preserve"> at para. 33; see also </w:t>
      </w:r>
      <w:r>
        <w:rPr>
          <w:rFonts w:ascii="arial" w:eastAsia="arial" w:hAnsi="arial" w:cs="arial"/>
          <w:i/>
          <w:color w:val="000000"/>
          <w:sz w:val="20"/>
          <w:lang w:val="en-US" w:eastAsia="en-US" w:bidi="ar-SA"/>
        </w:rPr>
        <w:t>E.D.G. v. Hammer</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2003 SCC 52</w:t>
        </w:r>
      </w:hyperlink>
      <w:r>
        <w:rPr>
          <w:rFonts w:ascii="arial" w:eastAsia="arial" w:hAnsi="arial" w:cs="arial"/>
          <w:color w:val="000000"/>
          <w:sz w:val="20"/>
          <w:lang w:val="en-US" w:eastAsia="en-US" w:bidi="ar-SA"/>
        </w:rPr>
        <w:t xml:space="preserve"> at paras. 29-33.</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 of damage and pre-existing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As the court said in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a plaintiff is only to be restored to his original position, and not a better position. A defendant is not required to compensate a plaintiff for any debilitating effects arising from a pre-existing condition that the plaintiff would have experienced anyway, and if there is a measureable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this is to be taken into account in reducing the overall award: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 </w:t>
      </w:r>
      <w:r>
        <w:rPr>
          <w:rFonts w:ascii="arial" w:eastAsia="arial" w:hAnsi="arial" w:cs="arial"/>
          <w:i/>
          <w:color w:val="000000"/>
          <w:sz w:val="20"/>
          <w:lang w:val="en-US" w:eastAsia="en-US" w:bidi="ar-SA"/>
        </w:rPr>
        <w:t>Moore v. Kyba</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2012 BCCA 361</w:t>
        </w:r>
      </w:hyperlink>
      <w:r>
        <w:rPr>
          <w:rFonts w:ascii="arial" w:eastAsia="arial" w:hAnsi="arial" w:cs="arial"/>
          <w:color w:val="000000"/>
          <w:sz w:val="20"/>
          <w:lang w:val="en-US" w:eastAsia="en-US" w:bidi="ar-SA"/>
        </w:rPr>
        <w:t xml:space="preserve"> at para. 43. In addition, damages caused by other non-tortious causes that occur after the defendant's wrongful act must be taken into account: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at para. 80. This is referred to as the "crumbling skull" doctrine. It is important to note that any reduction made to take these factors into account does not reduce the damages; it simply awards the damages which the law allows: see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at para. 84.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In addition, a tortfeasor is liable for a plaintiff's injuries even if the injuries are unexpectedly severe owing to a pre-existing condition. As the court said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34, the tortfeasor must take the victim as he finds him, and is liable even though the plaintiff's losses are more dramatic than they would be for the average person. This is known as the "thin skull rule".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There has been some confusion in the law with respect to these labels. In </w:t>
      </w:r>
      <w:r>
        <w:rPr>
          <w:rFonts w:ascii="arial" w:eastAsia="arial" w:hAnsi="arial" w:cs="arial"/>
          <w:i/>
          <w:color w:val="000000"/>
          <w:sz w:val="20"/>
          <w:lang w:val="en-US" w:eastAsia="en-US" w:bidi="ar-SA"/>
        </w:rPr>
        <w:t>A. (T.W.N.A.) v. Canada (Ministry of Indian Affairs)</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the court clarified this at para. 30 by stating that the "simple idea" expressed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was clear and direct and "both latent and active pre-existing conditions must be considered in assessing the plaintiff's original position." At para. 48: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...Whether manifest or not, a weakness inherent in a plaintiff that might realistically cause or contribute to the loss claimed regardless of the tort is relevant to the assessment of damages. It is a contingency that should be accounted for in the award. Moreover, such a contingency does not have to be proven to a certainty. Rather, it should be given weight according to its relative likelihood.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Hypothetical and future events -- how the plaintiff's life would have gone without the tortious injury -- need not be proven on a balance of probabilities. They are given weight according to their relative likelihood, or the probability of their occurrence. A future or hypothetical possibility is to be taken into account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 re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Considering all of the evidence, I am satisfied on a balance of probabilities that the injuries that are causing Mr. Ranahan enduring problems are all as a result of the September accident and not the March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 reject the defendants' argument that the injuries were pre-existing. Although there is an indication that Mr. Ranahan has pre-existing injuries including osteoarthritis, there is no evidence that they have ever been a problem. Mr. Ranahan was able to function physically at a high level before the Accident. In the Accident he suffered a broken collarbone, three broken ribs, and internal injuries in the thoracic region. His collarbone and some of his ribs did not heal properly. He now suffers from chronic pain in the chest, collarbone and neck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do not have to rely on Dr. Giantomaso's opinion regarding causation; it accords with common sense. The injuries suffered in the motorcycle accident were to the very areas that continue to cause Mr. Ranahan problems.</w:t>
      </w:r>
      <w:r>
        <w:rPr>
          <w:rFonts w:ascii="arial" w:eastAsia="arial" w:hAnsi="arial" w:cs="arial"/>
          <w:sz w:val="20"/>
          <w:lang w:val="en-US" w:eastAsia="en-US" w:bidi="ar-SA"/>
        </w:rPr>
        <w:cr/>
      </w:r>
    </w:p>
    <w:p>
      <w:pPr>
        <w:numPr>
          <w:numId w:val="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Quantum</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An award of non-pecuniary damages does not depend upon the seriousness of the injury, but on its ability to ameliorate the condition of the victim considering his or her particular situation. The gravity of the injury alone is not determinative. An appreciation of the individual's loss is the key. There is no "tariff". An award will vary in each case to meet the specific circumstances of the individual case: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at 637.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Gohringer v. Hernando-Lazo et al</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2009 BCSC 420</w:t>
        </w:r>
      </w:hyperlink>
      <w:r>
        <w:rPr>
          <w:rFonts w:ascii="arial" w:eastAsia="arial" w:hAnsi="arial" w:cs="arial"/>
          <w:color w:val="000000"/>
          <w:sz w:val="20"/>
          <w:lang w:val="en-US" w:eastAsia="en-US" w:bidi="ar-SA"/>
        </w:rPr>
        <w:t>, Russell, J. outlined the factors to be considered by the Court in assessing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[81] The purpose of non-pecuniary damage awards is to compensate the plaintiff for "pain, suffering, loss of enjoyment of life and loss of amenities": </w:t>
      </w:r>
      <w:r>
        <w:rPr>
          <w:rFonts w:ascii="arial" w:eastAsia="arial" w:hAnsi="arial" w:cs="arial"/>
          <w:b/>
          <w:i/>
          <w:color w:val="000000"/>
          <w:sz w:val="20"/>
          <w:lang w:val="en-US" w:eastAsia="en-US" w:bidi="ar-SA"/>
        </w:rPr>
        <w:t>Jackson v. Lai</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2007 BCSC 1023</w:t>
        </w:r>
      </w:hyperlink>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[2007] B.C.J. No. 1535</w:t>
        </w:r>
      </w:hyperlink>
      <w:r>
        <w:rPr>
          <w:rFonts w:ascii="arial" w:eastAsia="arial" w:hAnsi="arial" w:cs="arial"/>
          <w:color w:val="000000"/>
          <w:sz w:val="20"/>
          <w:lang w:val="en-US" w:eastAsia="en-US" w:bidi="ar-SA"/>
        </w:rPr>
        <w:t xml:space="preserve"> at para. 134; see also </w:t>
      </w:r>
      <w:r>
        <w:rPr>
          <w:rFonts w:ascii="arial" w:eastAsia="arial" w:hAnsi="arial" w:cs="arial"/>
          <w:b/>
          <w:i/>
          <w:color w:val="000000"/>
          <w:sz w:val="20"/>
          <w:lang w:val="en-US" w:eastAsia="en-US" w:bidi="ar-SA"/>
        </w:rPr>
        <w:t>Andrews v. Grand &amp; Toy Alberta Ltd</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Kuskis v. Tin</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[2008] B.C.J. No. 1248</w:t>
        </w:r>
      </w:hyperlink>
      <w:r>
        <w:rPr>
          <w:rFonts w:ascii="arial" w:eastAsia="arial" w:hAnsi="arial" w:cs="arial"/>
          <w:color w:val="000000"/>
          <w:sz w:val="20"/>
          <w:lang w:val="en-US" w:eastAsia="en-US" w:bidi="ar-SA"/>
        </w:rPr>
        <w:t xml:space="preserve">. While each award must be made with reference to the particular circumstances and facts of the case, other cases may serve as a guide to assist the court in arriving at an award that is just and fair to both parties: </w:t>
      </w:r>
      <w:r>
        <w:rPr>
          <w:rFonts w:ascii="arial" w:eastAsia="arial" w:hAnsi="arial" w:cs="arial"/>
          <w:b/>
          <w:i/>
          <w:color w:val="000000"/>
          <w:sz w:val="20"/>
          <w:lang w:val="en-US" w:eastAsia="en-US" w:bidi="ar-SA"/>
        </w:rPr>
        <w:t>Kuskis</w:t>
      </w:r>
      <w:r>
        <w:rPr>
          <w:rFonts w:ascii="arial" w:eastAsia="arial" w:hAnsi="arial" w:cs="arial"/>
          <w:color w:val="000000"/>
          <w:sz w:val="20"/>
          <w:lang w:val="en-US" w:eastAsia="en-US" w:bidi="ar-SA"/>
        </w:rPr>
        <w:t xml:space="preserve"> at para. 136.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[82] There are a number of factors that courts must take into account when assessing this type of claim. Justice Kirkpatrick, writing for the majority, in </w:t>
      </w:r>
      <w:r>
        <w:rPr>
          <w:rFonts w:ascii="arial" w:eastAsia="arial" w:hAnsi="arial" w:cs="arial"/>
          <w:b/>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263 D.L.R. (4th) 19</w:t>
        </w:r>
      </w:hyperlink>
      <w:r>
        <w:rPr>
          <w:rFonts w:ascii="arial" w:eastAsia="arial" w:hAnsi="arial" w:cs="arial"/>
          <w:color w:val="000000"/>
          <w:sz w:val="20"/>
          <w:lang w:val="en-US" w:eastAsia="en-US" w:bidi="ar-SA"/>
        </w:rPr>
        <w:t>, outlines the factors to consider, at para. 46: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inexhaustive list of common factors cited in </w:t>
      </w:r>
      <w:r>
        <w:rPr>
          <w:rFonts w:ascii="arial" w:eastAsia="arial" w:hAnsi="arial" w:cs="arial"/>
          <w:b/>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t>
      </w:r>
      <w:r>
        <w:rPr>
          <w:rFonts w:ascii="arial" w:eastAsia="arial" w:hAnsi="arial" w:cs="arial"/>
          <w:b/>
          <w:i/>
          <w:color w:val="000000"/>
          <w:sz w:val="20"/>
          <w:lang w:val="en-US" w:eastAsia="en-US" w:bidi="ar-SA"/>
        </w:rPr>
        <w:t>Boyd v. Harris</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b/>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 xml:space="preserve"> (B.C. C.A.)).</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Mr. Ranahan seeks non-pecuniary damages in the range of $125,000 to $150,000 for the following reasons:</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significant impact the injuries have had on all aspects of his life that bring him enjoyment;</w:t>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impact on his premium earning years;</w:t>
      </w:r>
    </w:p>
    <w:p>
      <w:pPr>
        <w:numPr>
          <w:numId w:val="7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injuries are permanent; and</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impact on him emotionally particularly because he fears that he will no longer be able to help his children for whom he sees himself a lifelong provider having been abandoned by his own father at a young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He cites the following cases: </w:t>
      </w:r>
      <w:r>
        <w:rPr>
          <w:rFonts w:ascii="arial" w:eastAsia="arial" w:hAnsi="arial" w:cs="arial"/>
          <w:i/>
          <w:color w:val="000000"/>
          <w:sz w:val="20"/>
          <w:lang w:val="en-US" w:eastAsia="en-US" w:bidi="ar-SA"/>
        </w:rPr>
        <w:t>Chappell v. Loyie, 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Salame v. Sutherland</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2016 BCSC 1610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Easton v. Chrunka</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2006 BCSC 1396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Power v. White</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2012 BCCA 197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The defendants submit that the proper award is in the range of $55,000 to $70,000 and rely on the following cases in support of that position: </w:t>
      </w:r>
      <w:r>
        <w:rPr>
          <w:rFonts w:ascii="arial" w:eastAsia="arial" w:hAnsi="arial" w:cs="arial"/>
          <w:i/>
          <w:color w:val="000000"/>
          <w:sz w:val="20"/>
          <w:lang w:val="en-US" w:eastAsia="en-US" w:bidi="ar-SA"/>
        </w:rPr>
        <w:t>Milburn v. Ernst</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2012 BCSC 93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Gohringer v. Hernandez- Lazo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Andrews v. Mainster</w:t>
      </w:r>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2014 BCSC 541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my view, the cases provided by the defendant are not helpful because they generally involve less serious injuries of a more transient nature than those in this case. They also involve serious pre-existing or unrelated injuries which I do not find to be applicable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The 2010 </w:t>
      </w:r>
      <w:r>
        <w:rPr>
          <w:rFonts w:ascii="arial" w:eastAsia="arial" w:hAnsi="arial" w:cs="arial"/>
          <w:i/>
          <w:color w:val="000000"/>
          <w:sz w:val="20"/>
          <w:lang w:val="en-US" w:eastAsia="en-US" w:bidi="ar-SA"/>
        </w:rPr>
        <w:t>Power</w:t>
      </w:r>
      <w:r>
        <w:rPr>
          <w:rFonts w:ascii="arial" w:eastAsia="arial" w:hAnsi="arial" w:cs="arial"/>
          <w:color w:val="000000"/>
          <w:sz w:val="20"/>
          <w:lang w:val="en-US" w:eastAsia="en-US" w:bidi="ar-SA"/>
        </w:rPr>
        <w:t xml:space="preserve"> case cited by the plaintiff is the closest factually to the case before me. In that case, the plaintiff, a 50 year old father of two suffered a torn pectoralis major muscle, pain in his chest, arm and shoulder, significant and permanent limitation in arm and shoulder, injury and pain in neck and buttock. Mr. Justice Verhoeven summarised the claim for non-pecuniary damages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[82] In this case, Mr. Power has suffered a very significant and permanent loss to the lifestyle he previously enjoyed. Virtually all of his previous physical activities have been severely curtailed. Prior to the accident Mr. Powers physical vigour was central to his life and lifestyle. His mood and emotional well being have been negatively affected. His relationship with his wife has been harmed. His ability to improve and maintain his property, quite obviously a source of great pleasure and pride to him formerly, is all but completely gone.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Power</w:t>
      </w:r>
      <w:r>
        <w:rPr>
          <w:rFonts w:ascii="arial" w:eastAsia="arial" w:hAnsi="arial" w:cs="arial"/>
          <w:color w:val="000000"/>
          <w:sz w:val="20"/>
          <w:lang w:val="en-US" w:eastAsia="en-US" w:bidi="ar-SA"/>
        </w:rPr>
        <w:t xml:space="preserve"> the award for non-pecuniary damages was $135,000.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 re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Taking into consideration the impact of the injuries on Mr. Ranahan, the law and the case authorities cited, I assess the plaintiff's non-pecuniary loss at $145,000.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IV. PAST LOSS OF OPPORTUNITY AND DIMINISHED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The essential purpose of an award for past loss of opportunity and diminished earning capacity is to provide the plaintiff with full compensation for all of his pecuniary losses, subject to rules of remoteness and mitigation: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(1978), 83 D.L.R. (3d) 452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It is the difference between the plaintiff's original position just before occurrence of the negligent act or omission, and the injured position after and as a result of such act or omission, that comprises the plaintiff's loss: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34-35.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In the recent decision of </w:t>
      </w:r>
      <w:r>
        <w:rPr>
          <w:rFonts w:ascii="arial" w:eastAsia="arial" w:hAnsi="arial" w:cs="arial"/>
          <w:i/>
          <w:color w:val="000000"/>
          <w:sz w:val="20"/>
          <w:lang w:val="en-US" w:eastAsia="en-US" w:bidi="ar-SA"/>
        </w:rPr>
        <w:t>Grewal v. Naumann,</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2017 BCCA 158</w:t>
        </w:r>
      </w:hyperlink>
      <w:r>
        <w:rPr>
          <w:rFonts w:ascii="arial" w:eastAsia="arial" w:hAnsi="arial" w:cs="arial"/>
          <w:color w:val="000000"/>
          <w:sz w:val="20"/>
          <w:lang w:val="en-US" w:eastAsia="en-US" w:bidi="ar-SA"/>
        </w:rPr>
        <w:t xml:space="preserve">, Goepel J.A. reaffirmed the position taken by the B.C. Court of Appeal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where Rowles J.A. held that because claims for past and future loss of earning capacity both require the court to consider hypothetical events, the court must assess the likelihood of those events occurring. Mr. Justice Goepel summarized the key principles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The governing authority in this Court is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this Court, after an extensive review of the authorities, rejected the proposition that a claim for past loss of opportunity had to be established on a balance of probabilities. Rowles J.A. wrote for the court. She explained that the plaintiff in the first instance was required to establish both liability and causation on a balance of probabilities. This required the plaintiff to establish that the respondent's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whole or in part, caused the accident, and that the injuries the appellant sustained in the accident caused or contributed to the loss for which damages were sought (para. 26).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Rowles J.A. then went on to discuss the assessment of damages. She noted that the same test applies regardless of whether you are assessing past or future loss of earning capacity. In both situations the judge is considering hypothetical events. She reasoned: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[29] ... 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I note that neither </w:t>
      </w:r>
      <w:r>
        <w:rPr>
          <w:rFonts w:ascii="arial" w:eastAsia="arial" w:hAnsi="arial" w:cs="arial"/>
          <w:i/>
          <w:color w:val="000000"/>
          <w:sz w:val="20"/>
          <w:lang w:val="en-US" w:eastAsia="en-US" w:bidi="ar-SA"/>
        </w:rPr>
        <w:t>Reynolds</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[2015] B.C.J. No. 1036</w:t>
        </w:r>
      </w:hyperlink>
      <w:r>
        <w:rPr>
          <w:rFonts w:ascii="arial" w:eastAsia="arial" w:hAnsi="arial" w:cs="arial"/>
          <w:color w:val="000000"/>
          <w:sz w:val="20"/>
          <w:lang w:val="en-US" w:eastAsia="en-US" w:bidi="ar-SA"/>
        </w:rPr>
        <w:t xml:space="preserve"> nor </w:t>
      </w:r>
      <w:r>
        <w:rPr>
          <w:rFonts w:ascii="arial" w:eastAsia="arial" w:hAnsi="arial" w:cs="arial"/>
          <w:i/>
          <w:color w:val="000000"/>
          <w:sz w:val="20"/>
          <w:lang w:val="en-US" w:eastAsia="en-US" w:bidi="ar-SA"/>
        </w:rPr>
        <w:t>Ostrikoff</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[2015] B.C.J. No. 1676</w:t>
        </w:r>
      </w:hyperlink>
      <w:r>
        <w:rPr>
          <w:rFonts w:ascii="arial" w:eastAsia="arial" w:hAnsi="arial" w:cs="arial"/>
          <w:color w:val="000000"/>
          <w:sz w:val="20"/>
          <w:lang w:val="en-US" w:eastAsia="en-US" w:bidi="ar-SA"/>
        </w:rPr>
        <w:t xml:space="preserve"> referenced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To the extent that those decisions could be read to hold that a past hypothetical event must be proven on the balance of probabilities, they must be regarded as </w:t>
      </w:r>
      <w:r>
        <w:rPr>
          <w:rFonts w:ascii="arial" w:eastAsia="arial" w:hAnsi="arial" w:cs="arial"/>
          <w:i/>
          <w:color w:val="000000"/>
          <w:sz w:val="20"/>
          <w:lang w:val="en-US" w:eastAsia="en-US" w:bidi="ar-SA"/>
        </w:rPr>
        <w:t>per incuriam</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In summary, an assessment of loss of both past and future earning capacity involves a consideration of hypothetical events. The plaintiff is not required to prove these hypothetical events on a balance of probabilities. A future or hypothetical possibility will be taken into consideration as long as it is a real and substantial possibility and not mere speculation. If the plaintiff establishes a real and substantial possibility, the Court must then determine the measure of damages by assessing the likelihood of the event. Depending on the facts of the case, a loss may be quantified either on an earnings approach or on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The assessment of past or future loss requires the court to estimate a pecuniary loss by weighing possibilities and probabilities of hypothetical events. The use of economic and statistical evidence does not turn the assessment into a calculation but can be a helpful tool in determining what is fair and reasonable in the circumstances: </w:t>
      </w:r>
      <w:r>
        <w:rPr>
          <w:rFonts w:ascii="arial" w:eastAsia="arial" w:hAnsi="arial" w:cs="arial"/>
          <w:i/>
          <w:color w:val="000000"/>
          <w:sz w:val="20"/>
          <w:lang w:val="en-US" w:eastAsia="en-US" w:bidi="ar-SA"/>
        </w:rPr>
        <w:t>Dunbar v. Mendez</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2016 BCCA 211</w:t>
        </w:r>
      </w:hyperlink>
      <w:r>
        <w:rPr>
          <w:rFonts w:ascii="arial" w:eastAsia="arial" w:hAnsi="arial" w:cs="arial"/>
          <w:color w:val="000000"/>
          <w:sz w:val="20"/>
          <w:lang w:val="en-US" w:eastAsia="en-US" w:bidi="ar-SA"/>
        </w:rPr>
        <w:t xml:space="preserve"> at para. 21.</w:t>
      </w:r>
    </w:p>
    <w:p>
      <w:pPr>
        <w:numPr>
          <w:numId w:val="7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Compensation for past wage loss or past loss of earning capacity is based on what a plaintiff would have, not could have, earned but for the injury that the plaintiff sustained; see, for example,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The assessment of past wage loss involves a consideration of the loss of earning capacity and not the loss of income itself. In </w:t>
      </w:r>
      <w:r>
        <w:rPr>
          <w:rFonts w:ascii="arial" w:eastAsia="arial" w:hAnsi="arial" w:cs="arial"/>
          <w:i/>
          <w:color w:val="000000"/>
          <w:sz w:val="20"/>
          <w:lang w:val="en-US" w:eastAsia="en-US" w:bidi="ar-SA"/>
        </w:rPr>
        <w:t>Rowe,</w:t>
      </w:r>
      <w:r>
        <w:rPr>
          <w:rFonts w:ascii="arial" w:eastAsia="arial" w:hAnsi="arial" w:cs="arial"/>
          <w:color w:val="000000"/>
          <w:sz w:val="20"/>
          <w:lang w:val="en-US" w:eastAsia="en-US" w:bidi="ar-SA"/>
        </w:rPr>
        <w:t xml:space="preserve"> the court considered claims for past income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Thus, in my view, a claim for what is often described as "past loss of income" is actually a claim for loss of earning capacity; that is, </w:t>
      </w:r>
      <w:r>
        <w:rPr>
          <w:rFonts w:ascii="arial" w:eastAsia="arial" w:hAnsi="arial" w:cs="arial"/>
          <w:color w:val="000000"/>
          <w:sz w:val="20"/>
          <w:u w:val="single"/>
          <w:lang w:val="en-US" w:eastAsia="en-US" w:bidi="ar-SA"/>
        </w:rPr>
        <w:t>a claim for the loss of the value of the work that the injured plaintiff would have performed but was unable to perform because of the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Evidence of this value may take many forms. As was said by Kenneth D. Cooper-Stephenson in </w:t>
      </w:r>
      <w:r>
        <w:rPr>
          <w:rFonts w:ascii="arial" w:eastAsia="arial" w:hAnsi="arial" w:cs="arial"/>
          <w:b/>
          <w:i/>
          <w:color w:val="000000"/>
          <w:sz w:val="20"/>
          <w:lang w:val="en-US" w:eastAsia="en-US" w:bidi="ar-SA"/>
        </w:rPr>
        <w:t>Personal Injury Damages in Canada</w:t>
      </w:r>
      <w:r>
        <w:rPr>
          <w:rFonts w:ascii="arial" w:eastAsia="arial" w:hAnsi="arial" w:cs="arial"/>
          <w:color w:val="000000"/>
          <w:sz w:val="20"/>
          <w:lang w:val="en-US" w:eastAsia="en-US" w:bidi="ar-SA"/>
        </w:rPr>
        <w:t>, 2nd ed. (Scarborough, Ont.: Carswell, 1996) at 205-06,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essence of the task under this head of damages is to award compensation for any pecuniary loss which will result from an inability to work. "Loss of the value of work" is the substance of the claim -- loss of the value of any work the plaintiff would have done but for the accident but now will be unable to do. The loss framed in this way may be measured in different ways. Sometimes it will be measured by reference to the </w:t>
      </w:r>
      <w:r>
        <w:rPr>
          <w:rFonts w:ascii="arial" w:eastAsia="arial" w:hAnsi="arial" w:cs="arial"/>
          <w:i/>
          <w:color w:val="000000"/>
          <w:sz w:val="20"/>
          <w:lang w:val="en-US" w:eastAsia="en-US" w:bidi="ar-SA"/>
        </w:rPr>
        <w:t>actual earnings</w:t>
      </w:r>
      <w:r>
        <w:rPr>
          <w:rFonts w:ascii="arial" w:eastAsia="arial" w:hAnsi="arial" w:cs="arial"/>
          <w:color w:val="000000"/>
          <w:sz w:val="20"/>
          <w:lang w:val="en-US" w:eastAsia="en-US" w:bidi="ar-SA"/>
        </w:rPr>
        <w:t xml:space="preserve"> the plaintiff would have received; sometimes by a </w:t>
      </w:r>
      <w:r>
        <w:rPr>
          <w:rFonts w:ascii="arial" w:eastAsia="arial" w:hAnsi="arial" w:cs="arial"/>
          <w:i/>
          <w:color w:val="000000"/>
          <w:sz w:val="20"/>
          <w:lang w:val="en-US" w:eastAsia="en-US" w:bidi="ar-SA"/>
        </w:rPr>
        <w:t>replacement cost evaluation of tasks</w:t>
      </w:r>
      <w:r>
        <w:rPr>
          <w:rFonts w:ascii="arial" w:eastAsia="arial" w:hAnsi="arial" w:cs="arial"/>
          <w:color w:val="000000"/>
          <w:sz w:val="20"/>
          <w:lang w:val="en-US" w:eastAsia="en-US" w:bidi="ar-SA"/>
        </w:rPr>
        <w:t xml:space="preserve"> which the plaintiff will now be unable to perform; sometimes by an assessment of reduced company profits; and sometimes by the amount of secondary income lost, such as shared family income.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plaintiff submits that but for the Accident, it is reasonably likely that Mr. Ranahan would have worked full time as a tree faller.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defendants argue the following:</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court cannot be satisfied that there was full-time work available to Mr. Ranahan;</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30% reduction should be applied to the "loss of opportunity" periods where no jobs were lined up or offered to take into account the possibility that the plaintiff may not have been able to obtain work whenever he wished to do so;</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award for loss of past wages would be subject to a deduction for tax as per ss. 95 and 98 of the </w:t>
      </w:r>
      <w:r>
        <w:rPr>
          <w:rFonts w:ascii="arial" w:eastAsia="arial" w:hAnsi="arial" w:cs="arial"/>
          <w:i/>
          <w:color w:val="000000"/>
          <w:sz w:val="20"/>
          <w:lang w:val="en-US" w:eastAsia="en-US" w:bidi="ar-SA"/>
        </w:rPr>
        <w:t>Insurance (Motor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Experts regarding loss of income called by the plaintiff and defendant agree that that deduction should be 30%; and</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a duty to mitigate his income loss in a variety of ways including retraining, seeking other types of jobs and seeking work in other geographical areas.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Mr. Ranahan started tree falling in the 1990's. He enjoys falling and being out in the forest and fresh air. Building a business and being able to share it with his son is a dream come true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He is a certified tree faller and is, from the evidence at trial, well respected in the field and is known for his productivity. He has an excellent safety record and is at times employed on projects in a supervisory capacity. Mr. Ranahan incorporated in 2007 when he was told that oil and gas companies were going to start only contracting with companies. At that point he was doing a lot of seismic work in Alberta. It constituted about 20% of his work. Seismic work is less physically demanding than tree falling as the ground is flatter and the trees smaller. Most of the supervisory jobs are in the oil and gas field in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Following the Accident, Mr. Ranahan went back to work in around May 2010. He was still not feeling well but had to pay his bills. He was in his words "working at 50%". The next job he did was manageable because he was supervising which is not as physically taxing. Supervisors make $100 a day less than fallers.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plaintiff has not worked much in the last three years Falling is too hard on him physically. Plus he cannot look up to see which way the tree is falling so it is unsafe. He is able to do the less physically seismic work; in fact he worked doing that in 2013. Unfortunately there has not been work in the oil and gas industry since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Mr. Ranahan has never had any trouble getting work. He has not had to go out looking for it. When he works as a faller he makes on average $500-650 per day, usually the higher end of that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In terms of the future Mr. Ranahan had planned to work tree falling up to age 67 or 70 alongside his son. He is unsure what other work he can do with his limitations. He is a labourer; it is all he knows. Since his accident he tried to do automotive body work but had difficulty doing so with his weak left side. He has not tried anything else. He is hopeful that the oil and gas industry will come back and he can get supervisory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There was much evidence called at trial regarding the availability of tree falling work. It was consistent with the evidence of Mr. Ranahan that there is plenty of work for fallers.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Matthew Ranahan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Matthew Ranahan testified that there is a lot of work for tree fallers in the Terrace/Hazelton area. He has not had to call around to get the work; he keeps getting calls. He earned approximately $69,000 in 2015 and anticipated an income of $80,000 to $90,000 in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According to Matthew Ranahan, there would be no problem employing him and his father full-time. He has had to turn work away as he cannot keep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When asked about whether there was work for older fallers, Matthew Ranahan testified that there is, stating "experience puts more wood on the 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Sky Jones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Sky Jones has his own falling company. He lives in Hazelton and works primarily in the Terrace/Kitimat area. He testified that he has been "very very busy" in the last few years and that there is a demand for fallers as there is, in his words, always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pay rate for fallers varies from job to job but the current range is from $600 to $800 per day. In 2015 Mr. Jones made approximately $80,000 and expected to earn over $100,000 in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Sky Jones testified that most fallers are "older".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Duncan Henderson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Duncan Henderson has been a faller since 1977. At 61 years of age he still falls trees and expects to be doing so until he is 70. He testified that there is lots of work in the Terrace area. By choice he now works part-time. In 2016 he worked three and a half months and grossed approximately $70,000.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Mr. Henderson worked with Mr. Ranahan in 2007 and described him as "hard working, conscientious and has a good work ethic". He said Mr. Ranahan is someone you would want to have working for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Mr. Henderson has no issues getting work due to his age. He testified that most contractors look for fallers with years of experience. In his words "years of experience trump most anything else".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Thomas Blabey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Thomas Blabey is 59 years old and has worked as a faller in the Hazelton area for 41 years. He is working as a faller in Terrace earning $700 per day, $100 to $150 of which is expenses. According to Mr. Blabey the standard rate is $600 to $700 per day. He works 9 to 10 months a year by choice and expected to make $60,000 to $80,000 in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Mr. Blabey said that there is a shortage of fallers in the Terrace/Hazelton area. In the last 10 to 15 years he has found work whenever he wanted it. It is not unusual to find fallers his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Mr. Ranahan worked for Mr. Blabey in around 2008. Mr. Blabey describes him as a good to excellent worker.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Gordon Bryan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Gordon Bryan was called as a witness by the defendants. He is now a construction manager but worked as a faller in the past. He worked with Mr. Ranahan in 2007 and 2008 on a seismic project. He described him as "a very capable faller; a very hard working individual" who was always a top producer.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At the time of the Accident Mr. Ranahan was working on a project that Mr. Bryan was supervising. Mr. Ranahan was being paid $715 per day including expenses and the job was to continue to the end of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In 2013 Mr. Bryan hired Mr. Ranahan to do a six week hand falling job. Mr. Bryan was not on the job site other than to do the occasional check. According to Mr. Bryan, Mr. Ranahan was still a productive worker but he was not the same person as he was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Mr. Bryan testified that there is no shortage of work for fallers and that a lot of fallers continue to work into their 60's.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From this evidence I conclude that but for the Accident, it is reasonably likely that the following would have occurred:</w:t>
      </w:r>
      <w:r>
        <w:rPr>
          <w:rFonts w:ascii="arial" w:eastAsia="arial" w:hAnsi="arial" w:cs="arial"/>
          <w:sz w:val="20"/>
          <w:lang w:val="en-US" w:eastAsia="en-US" w:bidi="ar-SA"/>
        </w:rPr>
        <w:cr/>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Ranahan would have no difficulty finding as much work as he wanted;</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would have worked nine months each year as a faller; and</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would have earned an average of $80,000 a year exclusive of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With regard to the defendant's duty to mitigate argument, it is clear from all of the evidence that Mr. Ranahan, from the time of the Accident to the time of this trial has been trying to work as much as he possibly could while at the same time trying to get better. He returned to work in 2010 before he should have because he had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According to the defendants' calculations, Mr. Ranahan worked 85 days in 2010, 200 days in 2011, 129 days in 2012, 170 days in 2013 and 191 days in 2014. It is just in the last two years that he worked less (approximately 55-60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Mr. Ranahan tried to do automotive body work. He attended appointment after appointment pertaining to the Accident and worked on healing. The injuries suffered in the Accident have ended the life Mr. Ranahan had. It is not unreasonable that it would take him time to deal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Since the Accident, Mr. Ranahan has worked as much as he was able. I note Dr. Giantomaso's evidence that given his injuries, Mr. Ranahan could reasonably not ever work again. That he was able to do so much in the years following the Accident is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defendants bear the onus of proving a failure to mitigate. I find that they have failed to satisfy this burden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There remains two arguments with respect to past earnings that must be dealt with before a calculation can be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plaintiff points out that as a result of lost work Mr. Ranahan has lost numerous business deductions including phones, vehicle maintenance and fuel. They argue that his earning potential ought to be grossed up by 20% to compensate for that loss. I disagree. Assessing damages under this head is determining what earnings the plaintiff has lost, not what tax benefits he has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defendants submit that a 30% reduction should be applied to calculations for lost wages to account for the possibility that the plaintiff would not have been able to obtain work when he wished to. All of the witnesses testified that there was no shortage of work for fallers therefore I conclude that such a reduction is unwarranted.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 do however accept the evidence of the financial experts called by both parties that a variable cost deduction of 10% should be made to account for estimated saved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Taking into consideration the law and all of the evidence I find Mr. Ranahan's gross lost wages to be as follows: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1" type="#_x0000_t75" style="width:411pt;height:471pt">
            <v:imagedata r:id="rId314" o:title=""/>
          </v:shape>
        </w:pict>
      </w:r>
      <w:r>
        <w:rPr>
          <w:rFonts w:ascii="arial" w:eastAsia="arial" w:hAnsi="arial" w:cs="arial"/>
          <w:sz w:val="20"/>
          <w:lang w:val="en-US" w:eastAsia="en-US" w:bidi="ar-SA"/>
        </w:rPr>
        <w:t xml:space="preserve">  </w:t>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 re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 calculate past wage loss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3"/>
        <w:gridCol w:w="1150"/>
        <w:gridCol w:w="585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Gross Past Wage Loss</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$278,460</w:t>
            </w:r>
          </w:p>
        </w:tc>
        <w:tc>
          <w:tcPr>
            <w:tcW w:w="573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Less Variable Costs 10% </w:t>
      </w:r>
      <w:r>
        <w:rPr>
          <w:rFonts w:ascii="arial" w:eastAsia="arial" w:hAnsi="arial" w:cs="arial"/>
          <w:color w:val="000000"/>
          <w:sz w:val="20"/>
          <w:u w:val="single"/>
          <w:lang w:val="en-US" w:eastAsia="en-US" w:bidi="ar-SA"/>
        </w:rPr>
        <w:t>$ (27,846)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033"/>
        <w:gridCol w:w="74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$250,614</w:t>
            </w:r>
          </w:p>
        </w:tc>
        <w:tc>
          <w:tcPr>
            <w:tcW w:w="72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Less 30% Income Tax </w:t>
      </w:r>
      <w:r>
        <w:rPr>
          <w:rFonts w:ascii="arial" w:eastAsia="arial" w:hAnsi="arial" w:cs="arial"/>
          <w:color w:val="000000"/>
          <w:sz w:val="20"/>
          <w:u w:val="single"/>
          <w:lang w:val="en-US" w:eastAsia="en-US" w:bidi="ar-SA"/>
        </w:rPr>
        <w:t>$ (75,184)</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Net Past Wage Loss $175,430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 award $175,430 for past wage loss.</w:t>
      </w:r>
      <w:r>
        <w:rPr>
          <w:rFonts w:ascii="arial" w:eastAsia="arial" w:hAnsi="arial" w:cs="arial"/>
          <w:sz w:val="20"/>
          <w:lang w:val="en-US" w:eastAsia="en-US" w:bidi="ar-SA"/>
        </w:rPr>
        <w:cr/>
      </w:r>
    </w:p>
    <w:p>
      <w:pPr>
        <w:numPr>
          <w:numId w:val="8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Diminished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Pololos v. Cinnamon-Lopez</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2016 BCSC 81</w:t>
        </w:r>
      </w:hyperlink>
      <w:r>
        <w:rPr>
          <w:rFonts w:ascii="arial" w:eastAsia="arial" w:hAnsi="arial" w:cs="arial"/>
          <w:color w:val="000000"/>
          <w:sz w:val="20"/>
          <w:lang w:val="en-US" w:eastAsia="en-US" w:bidi="ar-SA"/>
        </w:rPr>
        <w:t>, Voith, J. described the legal principles that pertain to this head of loss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[133] The relevant legal principles are well-established:</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the extent possible, a plaintiff should be put in the position he/she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leave to appeal ref'd </w:t>
      </w:r>
      <w:hyperlink r:id="rId316" w:history="1">
        <w:r>
          <w:rPr>
            <w:rFonts w:ascii="arial" w:eastAsia="arial" w:hAnsi="arial" w:cs="arial"/>
            <w:i/>
            <w:color w:val="0077CC"/>
            <w:sz w:val="20"/>
            <w:u w:val="single"/>
            <w:shd w:val="clear" w:color="auto" w:fill="FFFFFF"/>
            <w:lang w:val="en-US" w:eastAsia="en-US" w:bidi="ar-SA"/>
          </w:rPr>
          <w:t>[2009] S.C.C.A. No. 197</w:t>
        </w:r>
      </w:hyperlink>
      <w:r>
        <w:rPr>
          <w:rFonts w:ascii="arial" w:eastAsia="arial" w:hAnsi="arial" w:cs="arial"/>
          <w:color w:val="000000"/>
          <w:sz w:val="20"/>
          <w:lang w:val="en-US" w:eastAsia="en-US" w:bidi="ar-SA"/>
        </w:rPr>
        <w:t>;</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central task of the Court is to compare the likely future of the plaintiff's working life if the Accident had not occurred with the plaintiff's likely future working life after the Accident;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assessment of loss must be based on the evidence, but requires an exercise of judgment and is not a mathematical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18;</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two possible approaches to assessment of loss of future earning capacity are the "earnings approach" and the "capital asset approach";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at para. 7 (S.C.); and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paras. 11-12;</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either approach, the plaintiff must prove that there is a "real and substantial possibility" of various future events leading to an income loss;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33;</w:t>
      </w:r>
    </w:p>
    <w:p>
      <w:pPr>
        <w:numPr>
          <w:numId w:val="8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earnings approach will be more appropriate when the loss is more easily measurable; </w:t>
      </w:r>
      <w:r>
        <w:rPr>
          <w:rFonts w:ascii="arial" w:eastAsia="arial" w:hAnsi="arial" w:cs="arial"/>
          <w:i/>
          <w:color w:val="000000"/>
          <w:sz w:val="20"/>
          <w:lang w:val="en-US" w:eastAsia="en-US" w:bidi="ar-SA"/>
        </w:rPr>
        <w:t>Westbroek v. Brizuela</w:t>
      </w:r>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2014 BCCA 48</w:t>
        </w:r>
      </w:hyperlink>
      <w:r>
        <w:rPr>
          <w:rFonts w:ascii="arial" w:eastAsia="arial" w:hAnsi="arial" w:cs="arial"/>
          <w:color w:val="000000"/>
          <w:sz w:val="20"/>
          <w:lang w:val="en-US" w:eastAsia="en-US" w:bidi="ar-SA"/>
        </w:rPr>
        <w:t xml:space="preserve"> at para. 64. Furthermore, while assessing an award for future loss of income is not a purely mathematical exercise, the Court should endeavour to use factual mathematical anchors as a starting foundation to quantify such loss; </w:t>
      </w:r>
      <w:r>
        <w:rPr>
          <w:rFonts w:ascii="arial" w:eastAsia="arial" w:hAnsi="arial" w:cs="arial"/>
          <w:i/>
          <w:color w:val="000000"/>
          <w:sz w:val="20"/>
          <w:lang w:val="en-US" w:eastAsia="en-US" w:bidi="ar-SA"/>
        </w:rPr>
        <w:t>Jurczak v. Mauro</w:t>
      </w:r>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2013 BCCA 507</w:t>
        </w:r>
      </w:hyperlink>
      <w:r>
        <w:rPr>
          <w:rFonts w:ascii="arial" w:eastAsia="arial" w:hAnsi="arial" w:cs="arial"/>
          <w:color w:val="000000"/>
          <w:sz w:val="20"/>
          <w:lang w:val="en-US" w:eastAsia="en-US" w:bidi="ar-SA"/>
        </w:rPr>
        <w:t xml:space="preserve"> at paras. 36-37.</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relying on an "earnings approach", the Court must nevertheless always consider the overall fairness and reasonableness of the award, taking into account all of the evidence;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agree with the plaintiffs that the earnings approach is appropriate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Based on all of the evidence I find there to be a real and substantial possibility of the following:</w:t>
      </w:r>
      <w:r>
        <w:rPr>
          <w:rFonts w:ascii="arial" w:eastAsia="arial" w:hAnsi="arial" w:cs="arial"/>
          <w:sz w:val="20"/>
          <w:lang w:val="en-US" w:eastAsia="en-US" w:bidi="ar-SA"/>
        </w:rPr>
        <w:cr/>
      </w:r>
    </w:p>
    <w:p>
      <w:pPr>
        <w:numPr>
          <w:numId w:val="8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but for the Accident Mr. Ranahan would have worked as a faller until he was 67 to 70;</w:t>
      </w:r>
    </w:p>
    <w:p>
      <w:pPr>
        <w:numPr>
          <w:numId w:val="9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would not have had any difficulty finding work ;</w:t>
      </w:r>
    </w:p>
    <w:p>
      <w:pPr>
        <w:numPr>
          <w:numId w:val="9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would have grossed $80,000 per year. Deducting 10% for estimated saved expenses, the average earnings would have been $72,000; and</w:t>
      </w:r>
    </w:p>
    <w:p>
      <w:pPr>
        <w:numPr>
          <w:numId w:val="9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Ranahan is able to work in some type of job in which he will earn an income slightly higher than what he has earned in the last two years which after deducting 10% to reflect estimated saved expenses would be $27,000.</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 re Diminished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Considering all of the evidence and all of the circumstances, I find that a fair and reasonable award for loss of future earning capacity is $475,000.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Mr. Ranahan seeks an award of $33,468 for cost of future care. This figure is based largely on the recommendations of Ms. Shivji and Dr. Giantomaso.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defendants submit that the only appropriate future costs that have medical support are a supervised exercise program, a gym pass and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This position ignores Dr. Giantomaso's evidence that Mr. Ranahan should be referred to a pain management clinic that has physiotherapists and psychologists to help him cope with pain and the realities of his new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The test for cost of future care is set out in </w:t>
      </w:r>
      <w:r>
        <w:rPr>
          <w:rFonts w:ascii="arial" w:eastAsia="arial" w:hAnsi="arial" w:cs="arial"/>
          <w:i/>
          <w:color w:val="000000"/>
          <w:sz w:val="20"/>
          <w:lang w:val="en-US" w:eastAsia="en-US" w:bidi="ar-SA"/>
        </w:rPr>
        <w:t>Bouchard v. Brown Bros. Motor Lease Canada Ltd</w:t>
      </w:r>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2011 BCSC 762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[182] There must be a medical justification for claims for cost of future care, and those claims must be reasonable and fair to both parties. The court must determine the services, medications, and aids that are reasonably necessary to promote the health of the plaintiff and access the likelihood that he will use them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Given the evidence, I find that pain management therapy and counselling to learn how to deal with his life as it now is are necessary to help Mr. Ranahan move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Taking all of the evidence into consideration I find that the future care items that are reasonably justified on the evidence are the following:</w:t>
      </w:r>
      <w:r>
        <w:rPr>
          <w:rFonts w:ascii="arial" w:eastAsia="arial" w:hAnsi="arial" w:cs="arial"/>
          <w:sz w:val="20"/>
          <w:lang w:val="en-US" w:eastAsia="en-US" w:bidi="ar-SA"/>
        </w:rPr>
        <w:cr/>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counselling;</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pain management therapy;</w:t>
      </w:r>
    </w:p>
    <w:p>
      <w:pPr>
        <w:numPr>
          <w:numId w:val="9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gym pass;</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supervised exercise program; and</w:t>
      </w:r>
    </w:p>
    <w:p>
      <w:pPr>
        <w:numPr>
          <w:numId w:val="9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Based on the above, I award $33,000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VI.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Special damages in the amount of $10,000 are agreed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VII. HEALTH CARE COSTS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The Province of B.C. makes a claim under the </w:t>
      </w:r>
      <w:r>
        <w:rPr>
          <w:rFonts w:ascii="arial" w:eastAsia="arial" w:hAnsi="arial" w:cs="arial"/>
          <w:i/>
          <w:color w:val="000000"/>
          <w:sz w:val="20"/>
          <w:lang w:val="en-US" w:eastAsia="en-US" w:bidi="ar-SA"/>
        </w:rPr>
        <w:t>Health Care Costs Recovery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2008, c. 27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seeking to recover the costs of Mr. Ranahan's medical treatment for injuries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xml:space="preserve"> permits the Province to recoup the cost of healthcare services provided to a person enrolled in the B.C. Medical Services Plan as a result of injuries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other wrongdoing of another. The Province claims $26,305.63. The parties do not contest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VIII.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In summary, Mr. Ranahan is entitled to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1150"/>
        <w:gridCol w:w="564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$145,000</w:t>
            </w:r>
          </w:p>
        </w:tc>
        <w:tc>
          <w:tcPr>
            <w:tcW w:w="553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091"/>
        <w:gridCol w:w="1255"/>
        <w:gridCol w:w="648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$175,430</w:t>
            </w:r>
          </w:p>
        </w:tc>
        <w:tc>
          <w:tcPr>
            <w:tcW w:w="634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1150"/>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 Capacity:</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$475,000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3"/>
        <w:gridCol w:w="1150"/>
        <w:gridCol w:w="585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$ 33,000</w:t>
            </w:r>
          </w:p>
        </w:tc>
        <w:tc>
          <w:tcPr>
            <w:tcW w:w="573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Special Damages: </w:t>
      </w:r>
      <w:r>
        <w:rPr>
          <w:rFonts w:ascii="arial" w:eastAsia="arial" w:hAnsi="arial" w:cs="arial"/>
          <w:color w:val="000000"/>
          <w:sz w:val="20"/>
          <w:u w:val="single"/>
          <w:lang w:val="en-US" w:eastAsia="en-US" w:bidi="ar-SA"/>
        </w:rPr>
        <w:t>$ 10,000</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Total $838,430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As the plaintiff has been successful, he shall have his costs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Finally, I order judgment against the defendants in the amount of $26,305.63 in favour of the Province of British Columbia pursuant to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MURRAY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2"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26" w:history="1">
        <w:r>
          <w:rPr>
            <w:rFonts w:ascii="arial" w:eastAsia="arial" w:hAnsi="arial" w:cs="arial"/>
            <w:b/>
            <w:bCs/>
            <w:i/>
            <w:color w:val="0077CC"/>
            <w:kern w:val="32"/>
            <w:sz w:val="28"/>
            <w:szCs w:val="32"/>
            <w:u w:val="single"/>
            <w:shd w:val="clear" w:color="auto" w:fill="FFFFFF"/>
            <w:lang w:val="en-US" w:eastAsia="en-US" w:bidi="ar-SA"/>
          </w:rPr>
          <w:t>Sharma v. Chan, [2017] B.C.J. No. 1055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P.G. Voith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24, May 5,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M132618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1055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27" w:history="1">
        <w:r>
          <w:rPr>
            <w:rFonts w:ascii="arial" w:eastAsia="arial" w:hAnsi="arial" w:cs="arial"/>
            <w:i/>
            <w:color w:val="0077CC"/>
            <w:sz w:val="20"/>
            <w:u w:val="single"/>
            <w:shd w:val="clear" w:color="auto" w:fill="FFFFFF"/>
            <w:lang w:val="en-US" w:eastAsia="en-US" w:bidi="ar-SA"/>
          </w:rPr>
          <w:t>2017 BCSC 912</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Sandeep Pal Sharma, Plaintiff, and Anna Chan and Abby Barton Chan,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3"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9" w:name="Keywords_11"/>
      <w:bookmarkEnd w:id="79"/>
      <w:r>
        <w:rPr>
          <w:rFonts w:ascii="arial" w:eastAsia="arial" w:hAnsi="arial" w:cs="arial"/>
          <w:b/>
          <w:color w:val="000000"/>
          <w:sz w:val="20"/>
          <w:lang w:val="en-US" w:eastAsia="en-US" w:bidi="ar-SA"/>
        </w:rPr>
        <w:t>Damages — Physical and psychological injuries — Body injuries — Soft tissue — Head injuries — Fibromyalgia or chronic pain — Psychological injuries — Cognitive impairment — Action by plaintiff for personal injury damages allowed — In 2009, defendant's vehicle collided with plaintiff's vehicle while attempting left turn — Defendant found 75 per cent liable — Plaintiff, age 19, required accommodation to finish high school — He was able to work full-time at brother's car detailing operation with help of medication — Expert and lay evidence established decrease in plaintiff's cognitive and emotional functionality was caused by accident — Plaintiff awarded $140,000 for non-pecuniary damages, $50,000 for past wage loss, $200,000 for future lost earning capacity, $38,000 for future costs of care and $3,169 for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Extent of incapacity — Cost of future care — Loss of earning capacity — Special damages — Non-pecuniary loss — Action by plaintiff for personal injury damages allowed — In 2009, defendant's vehicle collided with plaintiff's vehicle while attempting left turn — Defendant found 75 per cent liable — Plaintiff, age 19, required accommodation to finish high school — He was able to work full-time at brother's car detailing operation with help of medication — Expert and lay evidence established decrease in plaintiff's cognitive and emotional functionality was caused by accident — Plaintiff awarded $140,000 for non-pecuniary damages, $50,000 for past wage loss, $200,000 for future lost earning capacity, $38,000 for future costs of care and $3,169 for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0" w:name="Case Summary_10"/>
            <w:bookmarkEnd w:id="8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Sharma, against the defendants, the Chans, for personal injury damages. In April 2009, the plaintiff, age 19, was involved in a motor vehicle accident with a vehicle operated by Anna Chan, age 17. The vehicles collided when the defendant attempted a left hand turn on a yellow light. The plaintiff's vehicle careened into a light pole. Liability for the accident was contested. The plaintiff suffered various physical injuries and alleged he also suffered a mild traumatic brain injury (MTBI). The plaintiff required accommodation to graduate from high school. He was able to work full time at his brother's car detailing business with the assistance of pain medication. He submitted that the accident significantly impacted his cognitive and emotional functioning. The defendants submitted that the medical evidence did not support the diagnosis of an MTBI. They submitted that the plaintiff's cognitive and emotional functionality was consistent with his pre-accident state.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1" w:name="Holdings of Court_10"/>
            <w:bookmarkEnd w:id="81"/>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bore a greater degree of fault for the accident due to the initiation of a left turn without recognition of the immediate hazard posed by his oncoming vehicle. Liability was apportioned 75 per cent to the defendants and 25 per cent to the plaintiff. There was uncontested expert and lay evidence supporting the finding that the plaintiff's day-to-day social interactions, multiple aspects of his cognitive functionality, and aspects of his personality significantly changed after the accident. The plaintiff did not suffer from pre-existing physical or psychological difficulties. He chronic pain and cognitive difficulties were caused by the accident. The plaintiff was awarded $140,000 for non-pecuniary damages, $50,000 for past wage loss, $200,000 for future lost earning capacity, $38,000 for future costs of care and $3,169 for special damages, subject to apportionment.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2" w:name="Legislation Cited_8"/>
      <w:bookmarkEnd w:id="8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4"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328" w:history="1">
        <w:r>
          <w:rPr>
            <w:rFonts w:ascii="arial" w:eastAsia="arial" w:hAnsi="arial" w:cs="arial"/>
            <w:i/>
            <w:color w:val="0077CC"/>
            <w:sz w:val="20"/>
            <w:u w:val="single"/>
            <w:shd w:val="clear" w:color="auto" w:fill="FFFFFF"/>
            <w:lang w:val="en-US" w:eastAsia="en-US" w:bidi="ar-SA"/>
          </w:rPr>
          <w:t>R.S.B.C. 1996 c. 318, s. 128</w:t>
        </w:r>
      </w:hyperlink>
      <w:r>
        <w:rPr>
          <w:rFonts w:ascii="arial" w:eastAsia="arial" w:hAnsi="arial" w:cs="arial"/>
          <w:color w:val="000000"/>
          <w:sz w:val="20"/>
          <w:lang w:val="en-US" w:eastAsia="en-US" w:bidi="ar-SA"/>
        </w:rPr>
        <w:t>, s. 174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3" w:name="Counsel_11"/>
      <w:bookmarkEnd w:id="8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5" style="position:absolute;z-index:2517729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S.T. 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P. Armstrong,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4" w:name="Judgment_11"/>
      <w:bookmarkEnd w:id="84"/>
      <w:r>
        <w:pict>
          <v:line id="_x0000_s1086" style="position:absolute;z-index:2518241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 THE LIABILITY ISSUE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 THE RELEVANT EVIDENCE</w:t>
      </w:r>
      <w:r>
        <w:rPr>
          <w:rFonts w:ascii="arial" w:eastAsia="arial" w:hAnsi="arial" w:cs="arial"/>
          <w:sz w:val="20"/>
          <w:lang w:val="en-US" w:eastAsia="en-US" w:bidi="ar-SA"/>
        </w:rPr>
        <w:cr/>
      </w:r>
    </w:p>
    <w:p>
      <w:pPr>
        <w:numPr>
          <w:numId w:val="1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The Evidence of Mr Sharma and his Passengers ii) The Evidence of Ms. Chan iii) Mr. Luker's Report iv) The Evidence of Mr Thiel v) The Evidence of Ms. Foster and Ms. Feeney vi) The Evidence of Constable Walrod and the Police Reports that were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CREDIBILITY AND RELIABILITY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 ANALYSIS AND CONCLUSIONS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the Accident Happened ii) The 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THE DAMAGES CLAIM</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 MR. SHARMA'S INJURIES AND CAUSATION</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Physical Injuries and Emotional State ii) Cognitive Status iii) What Caused the Changes in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GENERAL DAMAGES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 THE PLAINTIFF'S PAST AND FUTURE LOSS OF CAPACITY CLAIMS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Past Wage Loss Claim ii) Lost Capacity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FUTURE COST OF CARE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E. SPECIAL DAMAGES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3. SUMMARY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5" w:name="P.G. VOITH J."/>
            <w:bookmarkEnd w:id="85"/>
            <w:r>
              <w:rPr>
                <w:rFonts w:ascii="arial" w:eastAsia="arial" w:hAnsi="arial" w:cs="arial"/>
                <w:b/>
                <w:color w:val="000000"/>
                <w:sz w:val="30"/>
                <w:lang w:val="en-US" w:eastAsia="en-US" w:bidi="ar-SA"/>
              </w:rPr>
              <w:t>P.G. VOITH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Mr. Sharma, was involved in a motor vehicle accident on April 9, 2009 (the "Accident"). It is common ground that the plaintiff had required some accommodation in order to graduate from high school. The plaintiff argues that, in addition to various physical injuries, he suffered a mild traumatic brain injury ("MTBI") in the Accident and that his cognitive and emotional functioning, in various respects, were significantly impacted.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in turn, argue that the medical records and other evidence that was generated at the time of the Accident, and in the period that followed thereafter, do not support the diagnosis that the plaintiff suffered a MTBI. The defendants also argue that the plaintiff's present level of cognitive and emotional functionality is consistent with his pre-Accident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central issues that arise in this case are:</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for the Accident;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suffered a decrease in his cognitive and social functioning subsequent to the Accident;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if any, injury did the plaintiff suffer in the Accident that has caused his present status.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1. </w:t>
      </w:r>
      <w:r>
        <w:rPr>
          <w:rFonts w:ascii="arial" w:eastAsia="arial" w:hAnsi="arial" w:cs="arial"/>
          <w:b/>
          <w:color w:val="000000"/>
          <w:sz w:val="20"/>
          <w:u w:val="single"/>
          <w:lang w:val="en-US" w:eastAsia="en-US" w:bidi="ar-SA"/>
        </w:rPr>
        <w:t>The Liability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the day of the Accident Mr. Sharma was 19 years old. He was driving his parent's car, a Chevy Malibu. He held an "L" license. His cousin sat in the front passenger seat while his brother was in the backseat.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Sharma was driving west on Maclure Road in Abbotsford. Maclure Road, which has a posted speed of 60 km/h, is a major east/west connector that passes through a residential area. Trethewey Street crosses Maclure Road in a north/south direction. Maclure Road has two lanes for both east and west bound traffic as well as a dedicated left turn lane in both directions. There are traffic and pedestrian lights that control traffic in all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Ms. Anna Chan, was driving her mother's dark blue Chevrolet Epica. Ms. Chan was 17 years old. She held an "N" license. She was on her way to a track practice at a nearby school and she was late for that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Chan had been driving east on Maclure Road when she tried to make a left hand turn onto Trethewey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two vehicles collided and the airbags in both vehicles were deployed. Both drivers were wearing their seatbelts. Mr. Sharma's vehicle subsequently struck a light pole on the intersection's northwest corner.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is apparent from the relevant photos and the evidence of various witnesses that the two vehicles struck each other with significant force. Both Ms. Chan and each of the occupants in Mr. Sharma's vehicle were taken to hospital by ambulance.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A. </w:t>
      </w:r>
      <w:r>
        <w:rPr>
          <w:rFonts w:ascii="arial" w:eastAsia="arial" w:hAnsi="arial" w:cs="arial"/>
          <w:b/>
          <w:color w:val="000000"/>
          <w:sz w:val="20"/>
          <w:u w:val="single"/>
          <w:lang w:val="en-US" w:eastAsia="en-US" w:bidi="ar-SA"/>
        </w:rPr>
        <w:t>The Relevant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are six distinct sources of evidence that are relevant to the circumstances of the Accident.</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Evidence of Mr. Sharma and his Passengers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Sharma testified that he was driving west on Maclure Road. He recalled approaching the intersection of Trethewey Street. He had no memory, however, of his vehicle being struck. He said that he "blacked out" and his next memory was of seeing the pole that his car had come to rest against. Mr. Sharma had some memory, however, of seeing Ms. Chan's vehicle driving in the opposite direction and of turning onto Trethewey Street before he "blacked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Sharma's last memory was that the light in his direction was green. Counsel for Mr. Sharma conceded, however, that the light was likely yellow as Mr. Sharma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his Examination for Discovery Mr. Sharma had said that he believed he was driving between 60 and 80 km/h prior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Sharma recalled that the police attended at the scene of the Accident, but he had no memory of speaking to the police. Mr. Jaspal Sharma and Mr. Manny Sharma, the plaintiff's cousin and brother respectively, had no relevant evidence to contribute. They were speaking to each other at the time of the collision and were unaware of the events that immediately preceded the Accident.</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Evidence of Ms. 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Chan was traveling eastbound on Maclure Road. She said that as she neared the intersection of Trethewey Street, she entered the left turn lane, she slowed down to approximately 10 km/h and she then came to a stop near the centre of the intersection. She said that there had initially been six cars coming in the opposite direction but by the time she reached the centre of the intersection three of the cars had passed. As she neared the intersection the light had been green but it turned yellow when she got into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She said that while she was stopped near the centre of the intersection two more cars passed in front of her. The light was yellow at this point. She believed the last remaining vehicle was traveling at the same speed as the two cars that had just passed before her. She estimated that there was a distance or gap of perhaps two and a half vehicles between the preceding vehicles and the last remaining car. She said that because she believed that the light was a "stale yellow" at this point and because she thought the last car would slow down or stop she thought she "could make it" through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She did not believe she had to accelerate excessively to make the turn. She accepted that she never saw the light turn red. She accepted that if she had waited and let the light turn red there would have been no collision. Finally, Ms. Chan accepted that after the Accident she had received a ticket for "failing to yield" and that she paid that ticket.</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Mr. Luker's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Luker is an engineer who prepared an accident reconstruction report. His expert report is important. The conclusions in the report were uncontradicted by any evidence from the defendants and its central conclusions were not challenged in any meaningful way on cross-examination. The engineering report is based on multiple sources of evidence including damage to the two vehicles and data from the airbag control modules in both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Luker was able to place the initial point of impact of the two vehicles within a half meter in any direction. That point of impact had the vehicles collide, engine to engine, at the point where Mr. Sharma's vehicle was halfway through Trethewey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 calculated the speed of the vehicle driven by Mr. Sharma, at the point of impact, as between 65 to 68 km/h. Of particular note is that Mr. Luker calculated that Ms. Chan's vehicle could not realistically have been positioned in the intersection where she believed it was when she began to make her turn. It would have required Ms. Chan's vehicle to have "an impossibly high acceleration rate" for her to have attained the speed that her vehicle reached at the point of impact with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Instead, Mr. Luker calculated the "nearest position" of Ms. Chan's vehicle "using the highest realistic acceleration rate" expected. Based on these calculations Ms. Chan's vehicle had stopped behind the stop line, in the left-hand turning lane of Maclure Road, before she began to accelerate into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This conclusion, in turn, meant that Ms. Chan's vehicle was "moving at 10 to 17 km/h" when it crossed the stop line and that it would have taken it from 2.5 to 3.1 seconds for it to reach impact from that point in time. I will return to the significance of this particular conclusion as well as several other conclusions drawn by Mr. Luker momentarily.</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Evidence of Mr. Thiel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Thiel is an engineering technologist with the City of Abbotsford. He provided detailed evidence relating to the "signal time plan" and the sequencing of the lights at Maclure Road and Trethewey Street on April 9, 2009 between 2 p.m. and 6 p.m. The plan enables one to fix with considerable precision how long specific lights were specific colors.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Evidence of Ms. Foster and Ms. Feeney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Foster and Ms. Feeney were each 13 years old at the time of the Accident. They had just left the home of Ms. Foster's mother and were waiting at the southwest corner of Maclure Road. Each had a limited memory in relation to numerous details. Both, however, distinctly recalled seeing the "walking man" light come on allowing them to cross Maclure Road. Ms. Feeney had a further clear recollection of seeing the light in the opposite direction turn 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Both said that they had begun to cross the street. Ms. Foster said they had crossed more than a lane into Maclure Road when she heard a collision. She next saw Ms. Chan's vehicle rolling back from the intersection. Ms. Feeney thought that they had walked past the first lane and were halfway into the second lane of Maclure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Feeney originally said that she saw a car "run a red light" through Maclure Road and that there was then "a huge crash". Later, however, she said that she neither saw nor heard the collision of the two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Neither Ms. Foster nor Ms. Feeney had a memory of seeing any other vehicles. Indeed Ms. Feeney said her recollection was that there was no traffic going in either direction. Both remembered speaking to the police after the Accident.</w:t>
      </w:r>
      <w:r>
        <w:rPr>
          <w:rFonts w:ascii="arial" w:eastAsia="arial" w:hAnsi="arial" w:cs="arial"/>
          <w:sz w:val="20"/>
          <w:lang w:val="en-US" w:eastAsia="en-US" w:bidi="ar-SA"/>
        </w:rPr>
        <w:cr/>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Evidence of Constable Walrod and the Police Reports that were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Constable Walrod was one of several officers who attended at the scene of the Accident. He spoke to each of Mr. Sharma and Ms. Chan. Another officer, Constable Pappius, spoke to Ms. Foster, Ms. Feeney and to other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Constable Walrod said that he had a memory of the Accident. He said that Ms. Chan seemed very shaken. His notes indicated that Ms. Chan had told him she had not seen the vehicle that struck her car until she was into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Constable Walrod said that Mr. Sharma was a little disoriented but he was more coherent than Ms. Chan. Mr. Sharma originally told Constable Walrod that he had been driving at about 80 km/h but he later said that he had been driving at a speed of 60 to 70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is apparent from the police reports that were filed that Constable Pappius interviewed Ms. Foster and Ms. Feeney as well as various other witnesses to the Accident. Constable Pappius was not called at trial but the notes of her interviews were marked without objection. Those notes are potentially significant in two respects. First, they reveal that a third witness, who was not called at trial, provided a report to Constable Pappius that was inconsistent with the evidence of Ms. Foster and Ms. Feeney. Because there was no explicit reference to the evidence of this witness at trial or in the closing submissions of counsel I have not considered the reports or observations of this third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Second, and more importantly, a diagram generated by Constable Pappius suggests that Ms. Foster and Ms. Feeney told Constable Pappius that Ms. Chan's vehicle did not begin to turn into the intersection until the "walking man" sign had come on. This diagram aligns with Constable Pappius's notes of what she was told. At trial, Ms. Feeney expressly said that the diagram prepared by Constable Pappius, which showed Ms. Chan's vehicle behind the stop line, was an error.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B. </w:t>
      </w:r>
      <w:r>
        <w:rPr>
          <w:rFonts w:ascii="arial" w:eastAsia="arial" w:hAnsi="arial" w:cs="arial"/>
          <w:b/>
          <w:color w:val="000000"/>
          <w:sz w:val="20"/>
          <w:u w:val="single"/>
          <w:lang w:val="en-US" w:eastAsia="en-US" w:bidi="ar-SA"/>
        </w:rPr>
        <w:t>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Credibility and reliability are two very different things. That difference was succinctly explained in </w:t>
      </w:r>
      <w:r>
        <w:rPr>
          <w:rFonts w:ascii="arial" w:eastAsia="arial" w:hAnsi="arial" w:cs="arial"/>
          <w:i/>
          <w:color w:val="000000"/>
          <w:sz w:val="20"/>
          <w:lang w:val="en-US" w:eastAsia="en-US" w:bidi="ar-SA"/>
        </w:rPr>
        <w:t>R. v. Morrissey</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(1995), 22 O.R. (3d) 514</w:t>
        </w:r>
      </w:hyperlink>
      <w:r>
        <w:rPr>
          <w:rFonts w:ascii="arial" w:eastAsia="arial" w:hAnsi="arial" w:cs="arial"/>
          <w:color w:val="000000"/>
          <w:sz w:val="20"/>
          <w:lang w:val="en-US" w:eastAsia="en-US" w:bidi="ar-SA"/>
        </w:rPr>
        <w:t xml:space="preserve"> (O.N.C.A.):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Testimonial evidence can raise veracity and accuracy concerns. The former relate to the witness's sincerity, that is, his or her willingness to speak the truth as the witness believes it to be. The latter concerns relate to the actual accuracy of the witness's testimony. The accuracy of a witness's testimony involves considerations of the witness's ability to accurately observe, recall and recount the events in issue. When one is concerned with a witness's veracity, one speaks of the witness's credibility. When one is concerned with the accuracy of a witness's testimony, one speaks of the reliability of that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There is no suggestion that the various witnesses I have referred to were not credible. Indeed I believe that each was forthright and that each endeavored to be truthful.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is to be remembered that these events occurred more than eight years ago. They happened quickly and in highly stressful circumstances. Most of the principal witnesses were in their teenage years at the time. All of these factors are relevant to the reliability of much of the evidence I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Vapheas v. Madden</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2014 BCSC 138</w:t>
        </w:r>
      </w:hyperlink>
      <w:r>
        <w:rPr>
          <w:rFonts w:ascii="arial" w:eastAsia="arial" w:hAnsi="arial" w:cs="arial"/>
          <w:color w:val="000000"/>
          <w:sz w:val="20"/>
          <w:lang w:val="en-US" w:eastAsia="en-US" w:bidi="ar-SA"/>
        </w:rPr>
        <w:t>, Adiar J. made the following pertinent observations: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In cases of this kind, witnesses (including parties) do their best, in response to questions from counsel, to give detailed evidence about such things as positions and movement of vehicles, the colour of traffic lights, distances and the length of time of events. However, witnesses are attempting to describe events that happened suddenly, and over what is often only a few seconds. Witnesses are not waiting for an accident to happen, ready to capture and recall every relevant detail years later in a trial. There is, therefore, a great deal of room for error and reconstruction, even though a witness is doing his or her best to recall and describe accurately what happened.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C. </w:t>
      </w:r>
      <w:r>
        <w:rPr>
          <w:rFonts w:ascii="arial" w:eastAsia="arial" w:hAnsi="arial" w:cs="arial"/>
          <w:b/>
          <w:color w:val="000000"/>
          <w:sz w:val="20"/>
          <w:u w:val="single"/>
          <w:lang w:val="en-US" w:eastAsia="en-US" w:bidi="ar-SA"/>
        </w:rPr>
        <w:t>Analysis and Conclusions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How the Accident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Sharma and his passengers gave very little relevant evidence. Mr. Sharma had only a faint memory of seeing Ms. Chan's car and little else. Little of Ms. Chan's evidence is, respectfully, reliable. She repeatedly placed herself in the middle of the intersection as she waited for the westbound traffic on Maclure Road to pass. Much of her evidence turns on this central fact. She felt she could "make it" through the intersection after the two cars that proceeded Mr. Sharma's vehicle had passed by, largely because of where she was located. Had she thought she was still positioned behind the stop line it would have been obviously unrealistic and unsafe to try to clear the 2 1/2 car gap in between these vehicles. I further observe that Constable Walrod's notes indicate that Ms. Chan had told him that she had not seen Mr. Sharma's vehicle until she turned into the intersection. That statement is clearly very different from what she said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is clear, instead, based on Mr. Luker's evidence, which I accept, that Ms. Chan's vehicle was still parked behind the stop line in the eastbound left turning lane on Maclure Road as Mr. Sharma's vehicle approached the intersection. I also observe, based on Constable Pappius's accident diagram and her notes, that this is where Ms. Foster and/or Ms. Feeney first told Constable Pappius that they saw Ms. Chan's car. Again, at trial, they had no memory of seeing this vehicle until after the collision when Ms. Foster said she saw it roll past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also consider that central aspects of the evidence of Ms. Foster and Ms. Feeney are unreliable. Mr. Sharma, based on the concession of his counsel, accepted that the traffic light, for traffic going through Maclure Road, was yellow as Mr. Sharma's car approached the intersection. Ms. Chan believed, as she was stopped in the center of the intersection, that the light was a "stale yellow".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evidence of both Ms. Foster and Ms. Feeney was that they saw the "walking man" light come on before they began to cross Maclure Road and that they then walked for more than a full lane across Maclure Road before Ms. Foster heard the sound of the collision. This is very hard to imagine.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chart and evidence provided by Mr. Thiel was that there would be an "all red" for two full seconds, in all directions, before the lights again turned green in one direction or before a pedestrian walk sign came on. This means that the lights on Maclure Road were red for a full two seconds before the "walking man" sign that Ms. Foster and Ms. Feeney said they saw came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do not know how long it would have taken Ms. Foster and Ms. Feeney to walk the ten to fifteen feet across one lane of traffic and into the second lane. Certainly it would have required another three or four seconds. I leave aside, for the moment, the inclusion or consideration of any reaction time before Ms. Foster and Ms. Feeney began to move after they first saw the "walking man" sign. Based on where Ms. Foster and Ms. Feeney said they were, when Ms. Foster said she heard the collision, at least five or six seconds would have had to pass after the light on Maclure Road turned red and before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Again, this is extremely unlikely. It would mean that both Mr. Sharma and Ms. Chan were oblivious to a light that had been red for a considerable time. It would also mean that the other cars going west on Maclure Road, in advance of Mr. Sharma's vehicle, that Ms. Chan described would also have crossed Trethewey Street on a red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 further factor is relevant. Ms. Feeney was adamant that Ms. Chan's vehicle was not stopped at the stop line in the left lane as she and Ms. Foster waited for the light to change so they could cross the road. This too is likely mistaken. Not only does it appear that this is what either she or Ms. Foster told Constable Pappius but, based on Mr. Luker's evidence, this is exactly where Ms. Chan's vehicle would have been positioned.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Yet another factor is relevant. Ms. Feeney, in her direct evidence, said that after the walking sign had come on and after she and Ms. Foster had moved into the intersection she saw a "guy run the red light straight through" and that there was then "a huge crash". In her cross-examination, however, she said several times that she did not recall either seeing or hearing the collision. Finally, Constable Pappius's notes do not make any explicit reference to Ms. Feeney having told her that Mr. Sharma's vehicle had run through a red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Ultimately, I place no weight on the evidence of Ms. Feeney or Ms. Foster. I return, instead, to the evidence of each of Ms. Chan and the concession of counsel for Mr. Sharma. This would mean that the light on Maclure Road was yellow as they approached the intersection. Several further considerations are now relevant; some of these considerations are factual and some are legal.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uncontradicted report of Mr. Luker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my analysis, the physical evidence shows that the Sharma Malibu was likely travelling at or just above the speed limit. There were no static visibility obstructions present during my scene inspection nor in the orthophotos which would have blocked the view between these two drivers. Therefore in my opinion the Malibu would have been visible to Ms. Chan when she started her turn and she could have avoided the collision by simply not initiating that motion.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avoidance opportunity for Mr. Sharma would have started after he first noticed the hazard posed by the Epica. That would begin once it crossed the stop line and entered into the intersection. As noted above, the Epica would have crossed the stop line 2.5 to 3.1 seconds before impact. It would take Mr. Sharma 1.6 seconds after that moment before he could begin his avoidance. By then it would be impossible to stop before entering the intersection and he would be 0.9 to 1.5 seconds from impact. At the low end of that range the collision would be unavoidable for him. At the top of that range the collision would be just avoidable because he could stop a few meters from impact by performing emergency braking. For most of the possibilities the collision would have been unavoidable for Mr. Sharma even if he did emergency braking.</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Two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R.S.B.C. 1966 c. 318 (the "Act") are relevant. Section 174 of the Act sets out the obligations of a driver who intends to turn left at an intersection: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Vapheas</w:t>
      </w:r>
      <w:r>
        <w:rPr>
          <w:rFonts w:ascii="arial" w:eastAsia="arial" w:hAnsi="arial" w:cs="arial"/>
          <w:color w:val="000000"/>
          <w:sz w:val="20"/>
          <w:lang w:val="en-US" w:eastAsia="en-US" w:bidi="ar-SA"/>
        </w:rPr>
        <w:t>, Adair J. described what constitutes an "immediate hazard"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An "immediate hazard" has been defined in these terms: if an approaching car is so close to the intersection when a driver attempts to make a left turn that a collision threatens unless there is some violent or sudden avoiding action on the part of the driver of the approaching car, then the approaching car is an immediate hazard. The point in time to assess whether the through driver is an "immediate hazard" is the moment before the driver who proposes to turn left actually starts to make the turn. The effect of s. 174 is to cast the burden of proving the absence of an immediate hazard at the moment the left turn begins onto the left-turning driver. Thus, if a left-turning driver asserts that he or she started to turn when it was safe to do so, then the burden of proving that fact rests with him or her. See </w:t>
      </w:r>
      <w:r>
        <w:rPr>
          <w:rFonts w:ascii="arial" w:eastAsia="arial" w:hAnsi="arial" w:cs="arial"/>
          <w:i/>
          <w:color w:val="000000"/>
          <w:sz w:val="20"/>
          <w:lang w:val="en-US" w:eastAsia="en-US" w:bidi="ar-SA"/>
        </w:rPr>
        <w:t>Raie v. Thorpe</w:t>
      </w:r>
      <w:r>
        <w:rPr>
          <w:rFonts w:ascii="arial" w:eastAsia="arial" w:hAnsi="arial" w:cs="arial"/>
          <w:color w:val="000000"/>
          <w:sz w:val="20"/>
          <w:lang w:val="en-US" w:eastAsia="en-US" w:bidi="ar-SA"/>
        </w:rPr>
        <w:t xml:space="preserve"> (1963), 43 W.W.R. 405 (B.C.C.A.), at p. 410, and </w:t>
      </w:r>
      <w:r>
        <w:rPr>
          <w:rFonts w:ascii="arial" w:eastAsia="arial" w:hAnsi="arial" w:cs="arial"/>
          <w:i/>
          <w:color w:val="000000"/>
          <w:sz w:val="20"/>
          <w:lang w:val="en-US" w:eastAsia="en-US" w:bidi="ar-SA"/>
        </w:rPr>
        <w:t>Nerval v. Khera</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2012 BCCA 436</w:t>
        </w:r>
      </w:hyperlink>
      <w:r>
        <w:rPr>
          <w:rFonts w:ascii="arial" w:eastAsia="arial" w:hAnsi="arial" w:cs="arial"/>
          <w:color w:val="000000"/>
          <w:sz w:val="20"/>
          <w:lang w:val="en-US" w:eastAsia="en-US" w:bidi="ar-SA"/>
        </w:rPr>
        <w:t>, at paras. 33-35.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the other hand, the obligations of a left turning driver are not absolute and such drivers are entitled to assume that other drivers will adhere to their own obligations. Section 128 of the Act is relevant and it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128 (1) When a yellow light alone is exhibited at an intersection by a traffic control signal, following the exhibition of a green light,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approaching the intersection and facing the yellow light must cause it to stop before entering the marked crosswalk on the near side of the intersection, or if there is no marked crosswalk, before entering the intersection, unless the stop cannot be made in safety,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yellow light alone is exhibited at a place other than an intersection by a traffic control signal,</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approaching the signal must cause it to stop before entering the nearest marked crosswalk in the vicinity of the signal, or if there is no marked crosswalk, before reaching the signal, unless the stop cannot be made in safety,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inter-relationship of s. 174 and s. 128 of the Act has been addressed in several recent decisions of this court; </w:t>
      </w:r>
      <w:r>
        <w:rPr>
          <w:rFonts w:ascii="arial" w:eastAsia="arial" w:hAnsi="arial" w:cs="arial"/>
          <w:i/>
          <w:color w:val="000000"/>
          <w:sz w:val="20"/>
          <w:lang w:val="en-US" w:eastAsia="en-US" w:bidi="ar-SA"/>
        </w:rPr>
        <w:t>Vapheas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Lee v. Tse</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2013 BCSC 1740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Cornish v. Khunkhun</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2015 BCSC 52</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Cornish</w:t>
      </w:r>
      <w:r>
        <w:rPr>
          <w:rFonts w:ascii="arial" w:eastAsia="arial" w:hAnsi="arial" w:cs="arial"/>
          <w:color w:val="000000"/>
          <w:sz w:val="20"/>
          <w:lang w:val="en-US" w:eastAsia="en-US" w:bidi="ar-SA"/>
        </w:rPr>
        <w:t>, the court provided the following summary: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[121] In </w:t>
      </w:r>
      <w:r>
        <w:rPr>
          <w:rFonts w:ascii="arial" w:eastAsia="arial" w:hAnsi="arial" w:cs="arial"/>
          <w:i/>
          <w:color w:val="000000"/>
          <w:sz w:val="20"/>
          <w:lang w:val="en-US" w:eastAsia="en-US" w:bidi="ar-SA"/>
        </w:rPr>
        <w:t>Lee v. Tse</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2013 BCSC 1740</w:t>
        </w:r>
      </w:hyperlink>
      <w:r>
        <w:rPr>
          <w:rFonts w:ascii="arial" w:eastAsia="arial" w:hAnsi="arial" w:cs="arial"/>
          <w:color w:val="000000"/>
          <w:sz w:val="20"/>
          <w:lang w:val="en-US" w:eastAsia="en-US" w:bidi="ar-SA"/>
        </w:rPr>
        <w:t>, Madam Justice Fleming summarized the effect of these sections as follows at para. 48: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summary then,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requires a left turning driver to yield to oncoming traffic that is in the intersection or so close as to constitute an "immediate hazard." A driver facing a yellow light must stop before entering an intersection unless the stop cannot be made in safety. A driver must not enter an intersection on a red light.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[122] However, Madam Justice Fleming reviewed a number of authorities dealing with the obligations of a left turning vehicle and stated that the duties in s. 174 are not absolute, and are subject to what is reasonable in the circumstances (at para. 49):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duty on a left turning driver pursuant to section 174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is not absolute. It is well established that left turning drivers are entitled to rely on the assumption that other drivers will obey the rules of the road, absent any reasonable indication to the contrary. In particular, a left turning driver is not required to wait until he or she sees that all approaching drivers have stopped: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[123] Her review of the authorities also led her to conclude that "[t]he weight of the authorities dealing with left turning drivers who commence their turn on a stale yellow or red light is to find the straight through driver entirely at fault" (para. 55). See for example: </w:t>
      </w:r>
      <w:r>
        <w:rPr>
          <w:rFonts w:ascii="arial" w:eastAsia="arial" w:hAnsi="arial" w:cs="arial"/>
          <w:i/>
          <w:color w:val="000000"/>
          <w:sz w:val="20"/>
          <w:lang w:val="en-US" w:eastAsia="en-US" w:bidi="ar-SA"/>
        </w:rPr>
        <w:t>Kokkinis v. Hall</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(1996), 71 B.C.A.C. 97</w:t>
        </w:r>
      </w:hyperlink>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19 B.C.L.R. (3d) 273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Henry v. Bennett</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2011 BCSC 1254</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[124] An exception to that line of authorities exists when it can be shown that both drivers breached their statutory duties and that both caused or contributed to the accident: see for example </w:t>
      </w:r>
      <w:r>
        <w:rPr>
          <w:rFonts w:ascii="arial" w:eastAsia="arial" w:hAnsi="arial" w:cs="arial"/>
          <w:i/>
          <w:color w:val="000000"/>
          <w:sz w:val="20"/>
          <w:lang w:val="en-US" w:eastAsia="en-US" w:bidi="ar-SA"/>
        </w:rPr>
        <w:t>Ziani v. Thede</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2011 BCSC 895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Ziani</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Shirley v. Regier</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(1997), 70 A.C.W.S. (3d) 826</w:t>
        </w:r>
      </w:hyperlink>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[1997] B.C.J. No. 1035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Shirley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Two further principles, that deal with who has to prove what, are relevant. First, the onus of establishing that a stop cannot be made safely is on the driver facing the yellow light; see </w:t>
      </w:r>
      <w:r>
        <w:rPr>
          <w:rFonts w:ascii="arial" w:eastAsia="arial" w:hAnsi="arial" w:cs="arial"/>
          <w:i/>
          <w:color w:val="000000"/>
          <w:sz w:val="20"/>
          <w:lang w:val="en-US" w:eastAsia="en-US" w:bidi="ar-SA"/>
        </w:rPr>
        <w:t>Vapheas</w:t>
      </w:r>
      <w:r>
        <w:rPr>
          <w:rFonts w:ascii="arial" w:eastAsia="arial" w:hAnsi="arial" w:cs="arial"/>
          <w:color w:val="000000"/>
          <w:sz w:val="20"/>
          <w:lang w:val="en-US" w:eastAsia="en-US" w:bidi="ar-SA"/>
        </w:rPr>
        <w:t xml:space="preserve"> at para. 34; and </w:t>
      </w:r>
      <w:r>
        <w:rPr>
          <w:rFonts w:ascii="arial" w:eastAsia="arial" w:hAnsi="arial" w:cs="arial"/>
          <w:i/>
          <w:color w:val="000000"/>
          <w:sz w:val="20"/>
          <w:lang w:val="en-US" w:eastAsia="en-US" w:bidi="ar-SA"/>
        </w:rPr>
        <w:t>Ziani v. Thede</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2011 BCSC 895</w:t>
        </w:r>
      </w:hyperlink>
      <w:r>
        <w:rPr>
          <w:rFonts w:ascii="arial" w:eastAsia="arial" w:hAnsi="arial" w:cs="arial"/>
          <w:color w:val="000000"/>
          <w:sz w:val="20"/>
          <w:lang w:val="en-US" w:eastAsia="en-US" w:bidi="ar-SA"/>
        </w:rPr>
        <w:t xml:space="preserve"> at para. 26. Second, the driver making the left hand turn bears the onus of proving the absence of an immediate hazard at the moment that he/she begins their left hand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expert report of Mr. Luker addresses both issues. That report concludes that Mr. Sharma was not, on balance, able to stop safely and that there clearly was an immediate hazard as Ms. Chan began her left turn. Based again, on what Ms. Chan told Constable Walrod she never saw Mr. Sharma's vehicle until she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At the same time it is clear, indeed it is conceded, that the light Mr. Sharma faced was yellow. How long that had been the case is unclear. There simply is no reliable evidence that addresses this question. To the extent the defendants seek to impose liability for the Accident on Mr. Sharma the onus of proving this lies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same uncertainty pertains to the speed that Mr. Sharma was driving at. Mr. Sharma's evidence, from the outset, has been unclear. He has at all times said that he was driving at between 60 to 80 km/h though he said two different things to Constable Walrod. Ms. Chan thought Mr. Sharma was driving at approximately the same speed as the cars that preceded him through the intersection. Constable Pappius's notes indicate that a ticket was to be issued to Mr. Sharma for speeding but there is no evidence that this was ever done. Mr. Luker opined that the speed of Mr. Sharma's car was slightly above the legal speed limit at the point of impact. There is no evidence that Mr. Sharma braked before the collision, he had no memory of his conduct immediately before the Accident, and that question was not put to the passengers in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such circumstances I consider that both Ms. Chan and Mr. Sharma bear some fault for the collision. I consider, however, that Ms. Chan bears the greater fault and I apportion liability for the Accident seventy five per cent to Ms. Chan and twenty five percent to Mr. Sharma.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2. </w:t>
      </w:r>
      <w:r>
        <w:rPr>
          <w:rFonts w:ascii="arial" w:eastAsia="arial" w:hAnsi="arial" w:cs="arial"/>
          <w:b/>
          <w:color w:val="000000"/>
          <w:sz w:val="20"/>
          <w:u w:val="single"/>
          <w:lang w:val="en-US" w:eastAsia="en-US" w:bidi="ar-SA"/>
        </w:rPr>
        <w:t>The Damages Claim</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 Mr. Sharma's Injuries and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Before turning to the various components of Mr. Sharma's claim it is first necessary to address certain bodies of evidence and to make certain findings of fact.</w:t>
      </w:r>
      <w:r>
        <w:rPr>
          <w:rFonts w:ascii="arial" w:eastAsia="arial" w:hAnsi="arial" w:cs="arial"/>
          <w:sz w:val="20"/>
          <w:lang w:val="en-US" w:eastAsia="en-US" w:bidi="ar-SA"/>
        </w:rPr>
        <w:cr/>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Physical Injuries and Emotional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Sharma suffered various physical injuries in the Accident. The nature of those injuries, how quickly some of them resolved, which injuries endured and the fact that such injuries were caused by the Accident are not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Sharma injured his neck, his left shoulder, his chest wall and his upper, mid and lower back. He had headaches. He was told to attended physiotherapy by his family doctor, Dr. Somani, and the relevant records indicate that he did so on a more than weekly basis for the next seven months. Most of these conditions resolved over time. His back and, in particular his lower back, has continued to cause him difficulty. Indeed it does so at the present time. Mr. Sharma continues to have periodic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October 2010, Mr. Sharma was referred to Dr. Sweeting, an orthopedic specialist, on account of ongoing neck and back pain. When Dr. Somani prepared his expert report, two years after the Accident, he indicated that Mr. Sharma had told him that his lower back was "seventy per cent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Sharma has held two principal jobs since the Accident. The first was at Discovery Books were he worked for about nine months starting in 2010. The second is at Abbotsford Car Buff. That business was purchased by Mr. Sharma's brother in April 2013 and the plaintiff has worked there since that time washing and detailing cars. Though the work is reasonably physical Mr. Sharma has been able to do the work, without interruption, on a full-time basis. He works eight hours a day, six days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It is clear, however, that the work takes a considerable toll on him. When he comes home from work he lies down. Either he or his fiancée, Ms. Sidhu, will periodically put a heating pad on his back. Sometimes Ms. Sidhu applies a salve or cream to his back. He takes Tylenol or other pain medications. Both the plaintiff and Ms. Sidhu said that he is unable to sit through a movie. Various experts who have examined him physically, some as recently as this year, identified ongoing tenderness over his lumbar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At trial the dominant issue was Mr. Sharma's cognitive capabilities and this issue tended to overwhelm Mr. Sharma's physical or emotional state. The experts who met with Mr. Sharma recorded, however, that Mr. Sharma reported significant levels of back pain. Dr. Muir, a psychiatrist called by the plaintiff, noted in his report that Mr. Sharma rated his pain as a 6/10. Dr. Nagaria, a neurologist called by the plaintiff, reported that Mr. Sharma rated his pain as an 8/10 though he said that this varied.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For a period of time after the Accident Mr. Sharma was anxious when he was driving. That anxiety, however,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At trial Mr. Sharma also indicated that he sometimes felt sad though this comment appeared to be directed to his ongoing physical complaints. Dr. Muir had administered both Beck Depression and Anxiety Inventories to Mr. Sharma. Those self-reports indicated mild depression and low anxiety. Dr. Bishop, a neuropsychologist, who met with Mr. Sharma in 2012, and again in 2014, considered Mr. Sharma to be mildly depressed with low mood and feelings of worthlessness.</w:t>
      </w:r>
      <w:r>
        <w:rPr>
          <w:rFonts w:ascii="arial" w:eastAsia="arial" w:hAnsi="arial" w:cs="arial"/>
          <w:sz w:val="20"/>
          <w:lang w:val="en-US" w:eastAsia="en-US" w:bidi="ar-SA"/>
        </w:rPr>
        <w:cr/>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Cognitive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Sharma was born prematurely. Though there was some suggestion that Mr. Sharma may have had an anoxic injury at birth there was no evidence of this at trial. It is clear that Mr. Sharma required some accommodation to get through his grade school years and high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 central, and necessary, thrust of the defendant's case was that Mr. Sharma is essentially the same person today, in terms of his cognitive functionality, as he was before the Accident. This thesis anchored the defendant's case and the opinions of at least one of its experts -- Dr. O'Shaughnessy.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consider that this thesis is invalid. My conclusion is based on several different bodies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Sharma comes from a family where his father was a mill worker and his mother was a seasonal laborer. He was never cognitively tested prior to the Accident. His elementary grades, certain other records and his high school transcripts establish, however, that Mr. Sharma was identified early on as having some speech and learning issues. He was accordingly put in an adapted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Pierce, the plaintiff's high school vice principal, who distinctly recalled Mr. Sharma, explained that students with an identified learning difficulty will either be placed into an adapted or a modified school program. This distinction is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Students in an adapted program are students who can meet the Ministry of Education's formal requirements for graduation and who will receive their high school, or Dogwood, diploma. To do so, however, these students require some accommodation or assistance. They may, for example, require more time to write an exam or they may require tutoring or they may write an exam that contains fewer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Students in a modified program, on the other hand, have learning difficulties that are expected to prevent them from being able to graduate from high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Sharma's high school transcript reveals that he failed some courses and had to repeat them. His grades were often quite poor. The fact is, however, that Mr. Sharma took and passed such courses as grade 11 math and the various other formal requirements that underlie a high school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Pierce also unequivocally denied or disputed that high school students who are unable to meet the formal academic requirements that are set provincially are somehow, nevertheless, pushed through the education system and granted their high school degrees. This suggestion had been posited, on more than one occasion, by counsel for the defendants and, for example, by Dr. O'Shaughnessy.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level of Mr. Sharma's present cognitive functionality is easily addressed and cannot be disputed. On account of various concerns Mr. Sharma first saw a psychologist, Dr. Bubber, in August 2011. Dr. Bubber administered some cursory forms of testing that identified that Mr. Sharma had some mild cognitive impairment. Dr. Bubber recommended that Mr. Sharma be sent for a full neuropsychological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That full evaluation was administered by Dr. Bishop. Dr. Bishop recognized, from Mr. Sharma's transcripts and from other records, that Mr. Sharma had some existing challenges and she opined that his "pre-accident general intellectual capacity was likely quite restricted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Bishop completed two evaluations. The first was completed in March 2012. The second was completed in May 2014. There were some modest improvements in some areas of Mr. Sharma's functionality that are identified in the second report. Both reports, however, whose conclusions are both uncontradicted and largely untested on cross examination, revealed that Mr. Sharma suffers from various serious impairments or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Bishop concluded that Mr. Sharma's current level of intellectual capacity was at the Mildly Retarded level of functioning. Mr. Sharma undertook numerous distinct tests that were directed to specific skill sets or types of reasoning. These tests overwhelmingly placed Mr. Sharma below 95% of his age/education peers. Various other tests assessed his academic achievement level. Thus, for each of word reading, sentence comprehension, and math computation Mr. Sharma performed at a grade three or four level. In spelling he performed at a grade six level. In tests that addressed concentration and memory Mr. Sharma generally placed in the bottom ten per cent of the population. He performed at a similar level in problem solving and in abstract reasoning. He had problems with emotional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Bishop concluded that the "majority of these restrictions reflect notable exacerbations of pre-MVA limitations in (these), and other, areas of behavioural functions". This conclusion, in turn, was based on the fact that that Mr. Sharma had been able, albeit with assistance, to graduate from high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Nordin, a vocational consultant, had Mr. Sharma undertake certain other tests in April 2013. On an academic achievement battery of tests that addressed word reading, sentence comprehension, spelling, math computation and reading Mr. Sharma again scored between a grade 1.7 to a grade 3.7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 a general aptitude battery of tests, testing nine different areas of aptitude, nearly half of the tests placed Mr. Sharma in the bottom 5th percentile of the population. His highest score placed him in the 35th percentile.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One further set of conclusions, apparent in several of the reports filed by experts for the plaintiff and the defendants, is relevant. Mr. Sharma displays no real awareness of his difficulties. This failing is acute. Dr. Bishop described it as "marked" and as "remarkable". Dr. Muir said it was "striking". This lack of awareness extends to "obvious face value restrictions" in areas such as speech, comprehension and memory as well as for behavioral limitations that include low initiation, restricted reasoning, ready irritability and intermittent low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second body of evidence that is pertinent arises from persons who knew Mr. Sharma before the Accident. Most are family members who have an ongoing relationship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Sharma's parents did not give evidence. Ms. Sidhu explained that she was unable to discuss her concerns relating to Mr. Sharma with his mother because there were cultural impediments to her doing so and because Mr. Sharma's mother thought Mr. Sharma was "perfect". Ms. Middlemass, who is the plaintiff's sister-in-law, reiterated the same themes and said that it would not "be her place" to talk to the plaintiff's mother about her son. In circumstances where five other family members, or near family members, gave evidence and where none of this evidence was challenged in any meaningful way I am not concerned that the plaintiff's parents did not give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Pierce, who as I said recalled Mr. Sharma, described him as someone who wanted to please and to fit in. He was well-known in the school and he fit in well. He liked to be included in activities such as basketball or school fundraisers. He described Mr. Sharma as "average".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have generally dealt with the evidence of Ms. Sidhu, the plaintiff's cousin, Mr. Jaspal Sharma, and his brother, Mr. Manny Sharma, as well as their respective spouses, Ms. Middlemass and Ms. Megan Sharma, collectively. They know him differently and in different contexts. Ms. Sidhu gave the fullest evidence of Mr. Sharma's pre-and post-Accident state. Ms. Middlemass knew Mr. Sharma from high school where they shared a class and where they overlapped briefly and from family gatherings starting in 2007 and thereafter. Ms. Megan Sharma, who has known the plaintiff since 2001, and Mr. Manny Sharma gave the fullest description of the plaintiff's ability to function in a work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was consistently described as "average" before the Accident. Ms. Megan Sharma thought that the plaintiff had had some speech problems. Ms. Middlemass never noticed any such problems. I observed Mr. Sharma for two days. It was clear that he struggled in numerous respects but I did not note any difficulty with his diction or ability to pronounce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Sharma was also consistently described as easygoing, outgoing and social before the Accident. He interacted well with his classmates. He went dancing or to the movies with Ms. Sidhu. He met with and interacted with her friends. At family gatherings he approached others and was an active participant in conversations.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He is now much less communicative. He does not initiate or engage in conversations. He responds to questions. He is easily angered and can go "from zero to a hundred" for no apparent reason. He shows no apparent interest in doing things in the evenings or on Sundays. He does little more than sit on the couch and watch TV. In the past he played basketball and was a regular gym goer. He no longer engages in these activities, though he did go to the gym after the Accident to exercise his back. He does not join family members for activities when he is invited to do so. Ms. Sidhu also, for example, now prefers to meet her friends when Mr. Sharma is not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Sharma, when he first met Ms. Sidhu, communicated with her online. He communicated in similar fashion with his friends. He liked video games. He would research topics that interested him and, in particular, cars. He would then discuss these matters with Ms. Sidhu. Mr. Sharma's computer is now broken and he engages in these activities far less than he did in the past though he will sometimes borrow Ms. Sidhu's laptop. Now, when he discusses something with Ms. Sidhu, he will frequently repeat himself and he adds little new content to these conversations.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Sharma also used to plan things for himself and Ms. Sidhu or they planned activities together. Ms. Sidhu has now assumed all such functions. She now directs Mr. Sharma's activities. When they cook a meal together she directs him step-by-step. If they make the same meal or perform the same task more than once she must again direct him step-by-step.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plaintiff's difficulties with initiative and memory are also significant. Mr. Sharma now has to be reminded about appointments or activities, sometimes repeatedly. Even so he will forget his commitments. This was not the case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These various categories of difficulty are also apparent in the plaintiff's employment or working life. At Abbotsford Car Buff the plaintiff's brother oversees most client, office, banking and business activities. The plaintiff does periodically answer the phone and he does interact with clients but he will report back to his brother who will ensure that things were done properly. The plaintiff will also print out receipts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Ms. Megan Sharma regularly works at Abbotsford Car Buff for a few hours on Saturdays. She has repeatedly, but without success, tried to teach the plaintiff how to handle some rudimentary computer tasks. She has tried repeatedly, but again without success, to teach the plaintiff to do certain administrative or clerical functions. She gave several examples of these efforts. The plaintiff will, for example, take cash from customers. He is to staple that cash to the appropriate invoice. He has been told repeatedly that a single staple will suffice but he continues to staple all four corners of the invoice to the cash that is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Each of the plaintiff, his brother and his sister-in-law confirmed that the plaintiff's brother consistently has to go over the plaintiff's work because he continues to miss things that he is required to do. Mr. Manny Sharma said that when he first bought his business he had assumed that the plaintiff, who had worked at a car detailing shop one summer in high school, would be able to guide him or assist him on aspects of the physical work. The reverse turned out to be true. The plaintiff's brother was forced to keep on a former employee of the business for much longer than he had planned to because the plaintiff was unable to do the work required of him. Mr. Manny Sharma said "I had to teach (the plaintiff) what I was learning".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He also testified that the plaintiff is still not able to do the work required of them. He gets distracted. He forgets to do aspects of what he is supposed to do. He said that he employs his brother because "he couldn't be anywhere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Sharma's brother did not pay him for his work for over two years because that work was of little value. He now pays his brother $13 an hour primarily because his brother is getting married and because he has to earn an income. He said that the plaintiff is still not worth this wage "but he is my brother".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consider that the various difficulties that were identified in the testing performed by Dr. Bishop aligned closely with Mr. Sharma's difficulties, as described in the anecdotal evidence of the lay witnesses that I heard 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Two further bodies of evidence are relevant. First, the plaintiff was on the stand for two days. It was patent that he suffers from various cognitive difficulties. There were numerous instances where he asked for questions to be repeated and, when those questions were repeated, he would still not understand what was being asked of him. There were numerous instances where he could not remember information he would normally be expected to recall. There were numerous instances where he did not understand specific words within the questions that he was asked.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His demeanor was wooden. His answers were very brief and he seemed to be unable to develop his evidence. Counsel for the defendants accepted that Mr. Sharma seemed "catatonic" during his direct evidence but argued that he appeared to become more comfortable and more responsive in his cross-examination. There is some truth to this. It was very clear, however, that Mr. Sharma did not function or respond as would an "average" individual or as would someone who had been able to graduate from high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Second, counsel for the defendants emphasized various pieces of video evidence that had been taken of Mr. Sharma at different times and in different contexts. That evidence showed him, for example, working at both Discovery Books and at Abbotsford Car Buff. The evidence did not, however, reveal any capabilities that were not freely admitted by Mr. Sharma or by other witnesses called by the plaintiff. They showed him doing physical work of different types. They showed him driving to and from work or home. They showed him speaking to other workers or to customers. The evidence did not, however, put a different complexion his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am satisfied, on the basis of the largely uncontested expert and lay evidence that I have referred to, that Mr. Sharma's day-to-day social interactions, multiple aspects of his cognitive functionality, as well as aspects of his personality have significantly changed since the Accident.</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iii) What Caused the Changes in the Plaintiff</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Most of the expert evidence that I heard was directed to the primary question of whether the plaintiff had suffered a MTBI. That evidence was, however, premised on very different assumptions. Indeed, there was a significant disconnect in how the experts for the defendants and the plaintiff respectively approached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defendants' experts, Drs. O'Shaughnessy and Dost, concluded that the plaintiff had not suffered a MTBI primarily because Mr. Sharma had not, immediately post-Accident, exhibited any of the objective </w:t>
      </w:r>
      <w:r>
        <w:rPr>
          <w:rFonts w:ascii="arial" w:eastAsia="arial" w:hAnsi="arial" w:cs="arial"/>
          <w:i/>
          <w:color w:val="000000"/>
          <w:sz w:val="20"/>
          <w:lang w:val="en-US" w:eastAsia="en-US" w:bidi="ar-SA"/>
        </w:rPr>
        <w:t>indicia</w:t>
      </w:r>
      <w:r>
        <w:rPr>
          <w:rFonts w:ascii="arial" w:eastAsia="arial" w:hAnsi="arial" w:cs="arial"/>
          <w:color w:val="000000"/>
          <w:sz w:val="20"/>
          <w:lang w:val="en-US" w:eastAsia="en-US" w:bidi="ar-SA"/>
        </w:rPr>
        <w:t xml:space="preserve"> of such an injury. He did not appear to be disoriented or confused, he had not been unconscious, his Glascow readings were normal. These conclusions were apparent from both ambulance records and the emergency room records that were created when the plaintiff was brought to the Abbotsford Hospital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To the extent the plaintiff had some loss of memory of the events relating to the Accident, or some headaches, or some interference with his sleep, or some irritability Drs. O'Shaughnessy and Dost concluded that there were other, more likely, explanations for these conditions. Neither Dr. O'Shaughnessy nor Dr. Dost had, however, spoken to collateral witnesses who could address the differences in the plaintiff's behavior and functionality post-Accident. Instead both, and in particular Dr. O'Shaughnessy, concluded or presumed that the plaintiff's pre-Accident and post-Accident functionality were consistent. Dr. O'Shaughnessy, during his cross-examination, indicated that his opinion would not have changed with certain further collateral information. Dr. Dost, conversely, acknowledged that access to such information might have been important and he should have sought it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plaintiff also called a psychiatrist and a neurologist, Drs. Muir and Nagaria respectively. Dr. Bishop had also provided an opinion that the plaintiff had suffered a MTBI. That opinion or diagnosis was objected to on the basis that Dr. Bishop, as a neuropsychologist, was not competent to provide such a diagnosis; see </w:t>
      </w:r>
      <w:r>
        <w:rPr>
          <w:rFonts w:ascii="arial" w:eastAsia="arial" w:hAnsi="arial" w:cs="arial"/>
          <w:i/>
          <w:color w:val="000000"/>
          <w:sz w:val="20"/>
          <w:lang w:val="en-US" w:eastAsia="en-US" w:bidi="ar-SA"/>
        </w:rPr>
        <w:t>Knight v. Fletcher</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58 B.C.A.C. 133</w:t>
        </w:r>
      </w:hyperlink>
      <w:r>
        <w:rPr>
          <w:rFonts w:ascii="arial" w:eastAsia="arial" w:hAnsi="arial" w:cs="arial"/>
          <w:color w:val="000000"/>
          <w:sz w:val="20"/>
          <w:lang w:val="en-US" w:eastAsia="en-US" w:bidi="ar-SA"/>
        </w:rPr>
        <w:t xml:space="preserve"> at para. 8; </w:t>
      </w:r>
      <w:r>
        <w:rPr>
          <w:rFonts w:ascii="arial" w:eastAsia="arial" w:hAnsi="arial" w:cs="arial"/>
          <w:i/>
          <w:color w:val="000000"/>
          <w:sz w:val="20"/>
          <w:lang w:val="en-US" w:eastAsia="en-US" w:bidi="ar-SA"/>
        </w:rPr>
        <w:t>Meghji v. Lee</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2009 BCSC 1542</w:t>
        </w:r>
      </w:hyperlink>
      <w:r>
        <w:rPr>
          <w:rFonts w:ascii="arial" w:eastAsia="arial" w:hAnsi="arial" w:cs="arial"/>
          <w:color w:val="000000"/>
          <w:sz w:val="20"/>
          <w:lang w:val="en-US" w:eastAsia="en-US" w:bidi="ar-SA"/>
        </w:rPr>
        <w:t xml:space="preserve"> at paras. 29 and 31; and </w:t>
      </w:r>
      <w:r>
        <w:rPr>
          <w:rFonts w:ascii="arial" w:eastAsia="arial" w:hAnsi="arial" w:cs="arial"/>
          <w:i/>
          <w:color w:val="000000"/>
          <w:sz w:val="20"/>
          <w:lang w:val="en-US" w:eastAsia="en-US" w:bidi="ar-SA"/>
        </w:rPr>
        <w:t>Bialkowski v. Banfield</w:t>
      </w:r>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2011 BCSC 1045</w:t>
        </w:r>
      </w:hyperlink>
      <w:r>
        <w:rPr>
          <w:rFonts w:ascii="arial" w:eastAsia="arial" w:hAnsi="arial" w:cs="arial"/>
          <w:color w:val="000000"/>
          <w:sz w:val="20"/>
          <w:lang w:val="en-US" w:eastAsia="en-US" w:bidi="ar-SA"/>
        </w:rPr>
        <w:t xml:space="preserve"> at paras. 23 and 24. At trial I upheld that central objection and I have not relied on those portions of Dr. Bishop's reports that trench on these prohibitions.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Drs. Muir and Nagaria did, however, when preparing their reports, have access to various sources of collateral information that revealed or indicated that the plaintiff was, in multiple respects, a changed person after the Accident. They then struggled to explain why those changes had occurred and, almost by deduction, concluded that the plaintiff must have suffered a MTBI. They never, however, really addressed the objective medical records that identified the plaintiff's state immediately after the Accident or the fact that the plaintiff had not exhibited the necessary and objective </w:t>
      </w:r>
      <w:r>
        <w:rPr>
          <w:rFonts w:ascii="arial" w:eastAsia="arial" w:hAnsi="arial" w:cs="arial"/>
          <w:i/>
          <w:color w:val="000000"/>
          <w:sz w:val="20"/>
          <w:lang w:val="en-US" w:eastAsia="en-US" w:bidi="ar-SA"/>
        </w:rPr>
        <w:t>indicia</w:t>
      </w:r>
      <w:r>
        <w:rPr>
          <w:rFonts w:ascii="arial" w:eastAsia="arial" w:hAnsi="arial" w:cs="arial"/>
          <w:color w:val="000000"/>
          <w:sz w:val="20"/>
          <w:lang w:val="en-US" w:eastAsia="en-US" w:bidi="ar-SA"/>
        </w:rPr>
        <w:t xml:space="preserve"> of a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Counsel for the plaintiff tried, in various ways, to address and explain these difficulties or deficiencies in the objective evidence. For example, Ms. Middlemass, who attended at the scene of the Accident, said that the plaintiff was distraught over the Accident and over his concern for his brother and cousin. She had had to intervene to help him answer some of the questions he was being asked by the police. Such emotional upset, however, is different from the state of disorientation that the experts described and that one would expect following an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Ultimately this tension between the manifest changes in the plaintiff following the Accident and the absence of objective evidence of a MTBI was explained by Dr. Dost. Before turning to that evidence let me first say that Dr. Dost both understood and fulfilled his role as an expert, who seeks to assist the court, to an unusual degree. He was extremely knowledgeable. He communicated plainly. He was even - handed and fair. I had considerable respect for his expertise and confidence in the evidence that he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Dost acknowledged in his cross-examination that it was possible that the plaintiff had suffered a MTBI. It was not, however, 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Instead Dr. Dost considered that it was likely or probable that Mr. Sharma's pre-existing cognitive frailties, in combination with both his ongoing and chronic back pain and his mild mood issues had caused a further impairment of his cognitive functioning and had given rise to the other changes I have described. In his words individuals with an existing cognitive deficiency "don't need that much to push them over the edge". The impact or "effect size" of ongoing pain on such individuals "can be huge".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Specifically, the existence of pre-existing cognitive difficulties, in combination with pain, is likely to cause further attention and cognitive problems that are "amplified by the pre-existing vulnerability". Indeed, in Dr. Dost's view Mr. Sharma's existing cognitive frailties, in combination with his ongoing pain and low level mood issues would "easily cause" Mr. Sharma's current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Dr. Dost also expressly referred to and agreed with those portions of Dr. Bishop's report that addressed Mr. Sharma's pre-existing vulnerabilities. These statements are found in segments of the reports of Dr. Bishop that were either not objected to or which do not, in my view, express opinions that are impermissible or beyond Dr. Bishop's purview. Thus, for example, Dr. Bishop said in her first report: "I'm of the opinion that Mr. Sharma very likely had a vulnerable brain to any further injury... This man must be presumed to have had a somewhat fragile brain to further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her second report Dr. Bishop said: "From what I understand Mr. Sharma was born preterm and with low weight: if so, he was at risk for learning difficulties, attentional deficits and other neurobehavioral problems. Individuals with such history are also recognized as more vulnerable to negative sequelae from even mild neurological insults compared with others that do not have pre-existing vulnerability".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Sharma's pre-existing vulnerabilities engage various well-settled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In the Honourable Allen M. Linden &amp; Bruce Feldthusen,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10th ed. (Toronto: LexisNexis Canada, 2015) at 403, the authors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most common recurring situation is the thin-skull or egg-shell problem, that is, where "the damage inflicted proves to be more serious than expected". It is, therefore, the easiest to handle because the rules are the most settled. [Footnotes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These "rules" were concisely summarized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...The "crumbling skull" doctrine is an awkward label for a fairly simple idea. It is named after the well-known "thin skull" rule, which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so-called "crumbling skull" rule simply recognizes that the pre-existing condition was inherent in the plaintiff's "original position". The defendant need not put the plaintiff in a position </w:t>
      </w:r>
      <w:r>
        <w:rPr>
          <w:rFonts w:ascii="arial" w:eastAsia="arial" w:hAnsi="arial" w:cs="arial"/>
          <w:color w:val="000000"/>
          <w:sz w:val="20"/>
          <w:u w:val="single"/>
          <w:lang w:val="en-US" w:eastAsia="en-US" w:bidi="ar-SA"/>
        </w:rPr>
        <w:t>better</w:t>
      </w:r>
      <w:r>
        <w:rPr>
          <w:rFonts w:ascii="arial" w:eastAsia="arial" w:hAnsi="arial" w:cs="arial"/>
          <w:color w:val="000000"/>
          <w:sz w:val="20"/>
          <w:lang w:val="en-US" w:eastAsia="en-US" w:bidi="ar-SA"/>
        </w:rPr>
        <w:t xml:space="preserve">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pp. 779-780 and John Munkman, </w:t>
      </w:r>
      <w:r>
        <w:rPr>
          <w:rFonts w:ascii="arial" w:eastAsia="arial" w:hAnsi="arial" w:cs="arial"/>
          <w:i/>
          <w:color w:val="000000"/>
          <w:sz w:val="20"/>
          <w:lang w:val="en-US" w:eastAsia="en-US" w:bidi="ar-SA"/>
        </w:rPr>
        <w:t>Damages for Personal Injuries and Death</w:t>
      </w:r>
      <w:r>
        <w:rPr>
          <w:rFonts w:ascii="arial" w:eastAsia="arial" w:hAnsi="arial" w:cs="arial"/>
          <w:color w:val="000000"/>
          <w:sz w:val="20"/>
          <w:lang w:val="en-US" w:eastAsia="en-US" w:bidi="ar-SA"/>
        </w:rPr>
        <w:t xml:space="preserve"> (9th ed. 1993), at pp. 39-40.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this can be taken into account in reducing the overall award: </w:t>
      </w:r>
      <w:r>
        <w:rPr>
          <w:rFonts w:ascii="arial" w:eastAsia="arial" w:hAnsi="arial" w:cs="arial"/>
          <w:i/>
          <w:color w:val="000000"/>
          <w:sz w:val="20"/>
          <w:lang w:val="en-US" w:eastAsia="en-US" w:bidi="ar-SA"/>
        </w:rPr>
        <w:t xml:space="preserve">Graham v. Rourke, </w:t>
      </w:r>
      <w:hyperlink r:id="rId339" w:history="1">
        <w:r>
          <w:rPr>
            <w:rFonts w:ascii="arial" w:eastAsia="arial" w:hAnsi="arial" w:cs="arial"/>
            <w:i/>
            <w:color w:val="0077CC"/>
            <w:sz w:val="20"/>
            <w:u w:val="single"/>
            <w:shd w:val="clear" w:color="auto" w:fill="FFFFFF"/>
            <w:lang w:val="en-US" w:eastAsia="en-US" w:bidi="ar-SA"/>
          </w:rPr>
          <w:t>[1990] O.J. No. 2314</w:t>
        </w:r>
      </w:hyperlink>
      <w:r>
        <w:rPr>
          <w:rFonts w:ascii="arial" w:eastAsia="arial" w:hAnsi="arial" w:cs="arial"/>
          <w:i/>
          <w:color w:val="000000"/>
          <w:sz w:val="20"/>
          <w:lang w:val="en-US" w:eastAsia="en-US" w:bidi="ar-SA"/>
        </w:rPr>
        <w:t xml:space="preserve"> supra, Malec v. J.C. Hutton Proprietary Ltd., supra:</w:t>
      </w:r>
      <w:r>
        <w:rPr>
          <w:rFonts w:ascii="arial" w:eastAsia="arial" w:hAnsi="arial" w:cs="arial"/>
          <w:color w:val="000000"/>
          <w:sz w:val="20"/>
          <w:lang w:val="en-US" w:eastAsia="en-US" w:bidi="ar-SA"/>
        </w:rPr>
        <w:t xml:space="preserve">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851-852. This is consistent with the general rule that the plaintiff must be returned to the position he would have been in, with all of its attendant risks and shortcomings, and not a better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Recent cases from both the B.C. Court of Appeal and B.C. Supreme Court continue to paraphrase this language. Some examples include; see </w:t>
      </w:r>
      <w:r>
        <w:rPr>
          <w:rFonts w:ascii="arial" w:eastAsia="arial" w:hAnsi="arial" w:cs="arial"/>
          <w:i/>
          <w:color w:val="000000"/>
          <w:sz w:val="20"/>
          <w:lang w:val="en-US" w:eastAsia="en-US" w:bidi="ar-SA"/>
        </w:rPr>
        <w:t>T.W.N.A. v. Canada (Ministry of Indian Affairs)</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at paras. 26-37; </w:t>
      </w:r>
      <w:r>
        <w:rPr>
          <w:rFonts w:ascii="arial" w:eastAsia="arial" w:hAnsi="arial" w:cs="arial"/>
          <w:i/>
          <w:color w:val="000000"/>
          <w:sz w:val="20"/>
          <w:lang w:val="en-US" w:eastAsia="en-US" w:bidi="ar-SA"/>
        </w:rPr>
        <w:t>Zacharias v. Leys</w:t>
      </w:r>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2005 BCCA 560</w:t>
        </w:r>
      </w:hyperlink>
      <w:r>
        <w:rPr>
          <w:rFonts w:ascii="arial" w:eastAsia="arial" w:hAnsi="arial" w:cs="arial"/>
          <w:color w:val="000000"/>
          <w:sz w:val="20"/>
          <w:lang w:val="en-US" w:eastAsia="en-US" w:bidi="ar-SA"/>
        </w:rPr>
        <w:t xml:space="preserve"> at paras. 13-21; </w:t>
      </w:r>
      <w:r>
        <w:rPr>
          <w:rFonts w:ascii="arial" w:eastAsia="arial" w:hAnsi="arial" w:cs="arial"/>
          <w:i/>
          <w:color w:val="000000"/>
          <w:sz w:val="20"/>
          <w:lang w:val="en-US" w:eastAsia="en-US" w:bidi="ar-SA"/>
        </w:rPr>
        <w:t>Penland v. Lofting</w:t>
      </w:r>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2008 BCSC 507</w:t>
        </w:r>
      </w:hyperlink>
      <w:r>
        <w:rPr>
          <w:rFonts w:ascii="arial" w:eastAsia="arial" w:hAnsi="arial" w:cs="arial"/>
          <w:color w:val="000000"/>
          <w:sz w:val="20"/>
          <w:lang w:val="en-US" w:eastAsia="en-US" w:bidi="ar-SA"/>
        </w:rPr>
        <w:t xml:space="preserve"> at paras. 93-97; and </w:t>
      </w:r>
      <w:r>
        <w:rPr>
          <w:rFonts w:ascii="arial" w:eastAsia="arial" w:hAnsi="arial" w:cs="arial"/>
          <w:i/>
          <w:color w:val="000000"/>
          <w:sz w:val="20"/>
          <w:lang w:val="en-US" w:eastAsia="en-US" w:bidi="ar-SA"/>
        </w:rPr>
        <w:t>Carr v. Simpson</w:t>
      </w:r>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2010 BCSC 1511</w:t>
        </w:r>
      </w:hyperlink>
      <w:r>
        <w:rPr>
          <w:rFonts w:ascii="arial" w:eastAsia="arial" w:hAnsi="arial" w:cs="arial"/>
          <w:color w:val="000000"/>
          <w:sz w:val="20"/>
          <w:lang w:val="en-US" w:eastAsia="en-US" w:bidi="ar-SA"/>
        </w:rPr>
        <w:t xml:space="preserve"> at paras. 113-117.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It remains necessary, however, in thin-skull cases, to establish that the "defendant's conduct actually </w:t>
      </w:r>
      <w:r>
        <w:rPr>
          <w:rFonts w:ascii="arial" w:eastAsia="arial" w:hAnsi="arial" w:cs="arial"/>
          <w:i/>
          <w:color w:val="000000"/>
          <w:sz w:val="20"/>
          <w:lang w:val="en-US" w:eastAsia="en-US" w:bidi="ar-SA"/>
        </w:rPr>
        <w:t>caused</w:t>
      </w:r>
      <w:r>
        <w:rPr>
          <w:rFonts w:ascii="arial" w:eastAsia="arial" w:hAnsi="arial" w:cs="arial"/>
          <w:color w:val="000000"/>
          <w:sz w:val="20"/>
          <w:lang w:val="en-US" w:eastAsia="en-US" w:bidi="ar-SA"/>
        </w:rPr>
        <w:t xml:space="preserve"> the aggravated harm"; the Honourable Allen M. Linden &amp; Feldthusen at 412 (emphasis in original). It is therefore useful to summarize certain core principles that define and explain what constitutes causation for tort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Brewster v. Li</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2013 BCSC 774</w:t>
        </w:r>
      </w:hyperlink>
      <w:r>
        <w:rPr>
          <w:rFonts w:ascii="arial" w:eastAsia="arial" w:hAnsi="arial" w:cs="arial"/>
          <w:color w:val="000000"/>
          <w:sz w:val="20"/>
          <w:lang w:val="en-US" w:eastAsia="en-US" w:bidi="ar-SA"/>
        </w:rPr>
        <w:t>, I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[81] The test for causation in Canada is the "but-for" test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 37, </w:t>
      </w:r>
      <w:hyperlink r:id="rId101" w:history="1">
        <w:r>
          <w:rPr>
            <w:rFonts w:ascii="arial" w:eastAsia="arial" w:hAnsi="arial" w:cs="arial"/>
            <w:i/>
            <w:color w:val="0077CC"/>
            <w:sz w:val="20"/>
            <w:u w:val="single"/>
            <w:shd w:val="clear" w:color="auto" w:fill="FFFFFF"/>
            <w:lang w:val="en-US" w:eastAsia="en-US" w:bidi="ar-SA"/>
          </w:rPr>
          <w:t>8 B.C.L.R. (5th) 247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21-22, </w:t>
      </w:r>
      <w:hyperlink r:id="rId97"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 </w:t>
      </w:r>
      <w:hyperlink r:id="rId99"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SCC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8, </w:t>
      </w:r>
      <w:hyperlink r:id="rId98" w:history="1">
        <w:r>
          <w:rPr>
            <w:rFonts w:ascii="arial" w:eastAsia="arial" w:hAnsi="arial" w:cs="arial"/>
            <w:i/>
            <w:color w:val="0077CC"/>
            <w:sz w:val="20"/>
            <w:u w:val="single"/>
            <w:shd w:val="clear" w:color="auto" w:fill="FFFFFF"/>
            <w:lang w:val="en-US" w:eastAsia="en-US" w:bidi="ar-SA"/>
          </w:rPr>
          <w:t>[2012] 2 S.C.R. 181</w:t>
        </w:r>
      </w:hyperlink>
      <w:r>
        <w:rPr>
          <w:rFonts w:ascii="arial" w:eastAsia="arial" w:hAnsi="arial" w:cs="arial"/>
          <w:color w:val="000000"/>
          <w:sz w:val="20"/>
          <w:lang w:val="en-US" w:eastAsia="en-US" w:bidi="ar-SA"/>
        </w:rPr>
        <w:t>). To assess whether the defendant caused an injury, the trial judge asks if, without the defendant's tortious act, the injury would have resulted. If the answer is "yes", the defendant is not liable for the injury or the losses flowing from it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41). If the answer is "no", the defendant is liable to the plaintiff for the </w:t>
      </w:r>
      <w:r>
        <w:rPr>
          <w:rFonts w:ascii="arial" w:eastAsia="arial" w:hAnsi="arial" w:cs="arial"/>
          <w:i/>
          <w:color w:val="000000"/>
          <w:sz w:val="20"/>
          <w:lang w:val="en-US" w:eastAsia="en-US" w:bidi="ar-SA"/>
        </w:rPr>
        <w:t>whole</w:t>
      </w:r>
      <w:r>
        <w:rPr>
          <w:rFonts w:ascii="arial" w:eastAsia="arial" w:hAnsi="arial" w:cs="arial"/>
          <w:color w:val="000000"/>
          <w:sz w:val="20"/>
          <w:lang w:val="en-US" w:eastAsia="en-US" w:bidi="ar-SA"/>
        </w:rPr>
        <w:t xml:space="preserve"> of the losses flowing from the injury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22 and 41).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[82] Once causation for an injury is established, the defendant is liable to the plaintiff for </w:t>
      </w:r>
      <w:r>
        <w:rPr>
          <w:rFonts w:ascii="arial" w:eastAsia="arial" w:hAnsi="arial" w:cs="arial"/>
          <w:i/>
          <w:color w:val="000000"/>
          <w:sz w:val="20"/>
          <w:lang w:val="en-US" w:eastAsia="en-US" w:bidi="ar-SA"/>
        </w:rPr>
        <w:t>all</w:t>
      </w:r>
      <w:r>
        <w:rPr>
          <w:rFonts w:ascii="arial" w:eastAsia="arial" w:hAnsi="arial" w:cs="arial"/>
          <w:color w:val="000000"/>
          <w:sz w:val="20"/>
          <w:lang w:val="en-US" w:eastAsia="en-US" w:bidi="ar-SA"/>
        </w:rPr>
        <w:t xml:space="preserve"> of the loss(es) flowing from that injury. The losses "flowing" from an injury are those losses which the plaintiff proves, on a balance of probabilities, would not have occurred "but-for" the defendant's act (</w:t>
      </w:r>
      <w:r>
        <w:rPr>
          <w:rFonts w:ascii="arial" w:eastAsia="arial" w:hAnsi="arial" w:cs="arial"/>
          <w:i/>
          <w:color w:val="000000"/>
          <w:sz w:val="20"/>
          <w:lang w:val="en-US" w:eastAsia="en-US" w:bidi="ar-SA"/>
        </w:rPr>
        <w:t>Blackwater SCC</w:t>
      </w:r>
      <w:r>
        <w:rPr>
          <w:rFonts w:ascii="arial" w:eastAsia="arial" w:hAnsi="arial" w:cs="arial"/>
          <w:color w:val="000000"/>
          <w:sz w:val="20"/>
          <w:lang w:val="en-US" w:eastAsia="en-US" w:bidi="ar-SA"/>
        </w:rPr>
        <w:t xml:space="preserve"> at para. 78;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 26, </w:t>
      </w:r>
      <w:hyperlink r:id="rId62" w:history="1">
        <w:r>
          <w:rPr>
            <w:rFonts w:ascii="arial" w:eastAsia="arial" w:hAnsi="arial" w:cs="arial"/>
            <w:i/>
            <w:color w:val="0077CC"/>
            <w:sz w:val="20"/>
            <w:u w:val="single"/>
            <w:shd w:val="clear" w:color="auto" w:fill="FFFFFF"/>
            <w:lang w:val="en-US" w:eastAsia="en-US" w:bidi="ar-SA"/>
          </w:rPr>
          <w:t>33 B.C.L.R. (4th) 76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The "but for" test does not require the plaintiff to show that a defendant's tortious conduct was the sole cause of an injury.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Major J. confirmed this fundamental principle: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The law does not excuse a defendant from liability merely because other causal factors for which he is not responsible also helped produce the harm: Fleming,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200. It is sufficient if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w:t>
      </w:r>
      <w:r>
        <w:rPr>
          <w:rFonts w:ascii="arial" w:eastAsia="arial" w:hAnsi="arial" w:cs="arial"/>
          <w:color w:val="000000"/>
          <w:sz w:val="20"/>
          <w:u w:val="single"/>
          <w:lang w:val="en-US" w:eastAsia="en-US" w:bidi="ar-SA"/>
        </w:rPr>
        <w:t>a</w:t>
      </w:r>
      <w:r>
        <w:rPr>
          <w:rFonts w:ascii="arial" w:eastAsia="arial" w:hAnsi="arial" w:cs="arial"/>
          <w:color w:val="000000"/>
          <w:sz w:val="20"/>
          <w:lang w:val="en-US" w:eastAsia="en-US" w:bidi="ar-SA"/>
        </w:rPr>
        <w:t xml:space="preserve"> cause of the harm: </w:t>
      </w:r>
      <w:r>
        <w:rPr>
          <w:rFonts w:ascii="arial" w:eastAsia="arial" w:hAnsi="arial" w:cs="arial"/>
          <w:i/>
          <w:color w:val="000000"/>
          <w:sz w:val="20"/>
          <w:lang w:val="en-US" w:eastAsia="en-US" w:bidi="ar-SA"/>
        </w:rPr>
        <w:t>School Division of Assiniboine South, No. 3 v. Greater Winnipeg Gas Co.</w:t>
      </w:r>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[1971] 4 W.W.R. 746</w:t>
        </w:r>
      </w:hyperlink>
      <w:r>
        <w:rPr>
          <w:rFonts w:ascii="arial" w:eastAsia="arial" w:hAnsi="arial" w:cs="arial"/>
          <w:color w:val="000000"/>
          <w:sz w:val="20"/>
          <w:lang w:val="en-US" w:eastAsia="en-US" w:bidi="ar-SA"/>
        </w:rPr>
        <w:t xml:space="preserve"> (Man. C.A.), at p. 753, aff'd </w:t>
      </w:r>
      <w:r>
        <w:rPr>
          <w:rFonts w:ascii="arial" w:eastAsia="arial" w:hAnsi="arial" w:cs="arial"/>
          <w:i/>
          <w:color w:val="000000"/>
          <w:sz w:val="20"/>
          <w:lang w:val="en-US" w:eastAsia="en-US" w:bidi="ar-SA"/>
        </w:rPr>
        <w:t>[1973] 6 W.W.R. 765</w:t>
      </w:r>
      <w:r>
        <w:rPr>
          <w:rFonts w:ascii="arial" w:eastAsia="arial" w:hAnsi="arial" w:cs="arial"/>
          <w:color w:val="000000"/>
          <w:sz w:val="20"/>
          <w:lang w:val="en-US" w:eastAsia="en-US" w:bidi="ar-SA"/>
        </w:rPr>
        <w:t xml:space="preserve"> (S.C.C.), [1973] S.C.R. vi; Ken Cooper-Stephenson,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xml:space="preserve"> (2nd ed. 1996), at p. 748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This position is entrenched in our law and there is no reason at present to depart from it. If the law permitted apportionment between tortious causes and non-tortious causes, a plaintiff could recover 100 percent of his or her loss only when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color w:val="000000"/>
          <w:sz w:val="20"/>
          <w:u w:val="single"/>
          <w:lang w:val="en-US" w:eastAsia="en-US" w:bidi="ar-SA"/>
        </w:rPr>
        <w:t>sole</w:t>
      </w:r>
      <w:r>
        <w:rPr>
          <w:rFonts w:ascii="arial" w:eastAsia="arial" w:hAnsi="arial" w:cs="arial"/>
          <w:color w:val="000000"/>
          <w:sz w:val="20"/>
          <w:lang w:val="en-US" w:eastAsia="en-US" w:bidi="ar-SA"/>
        </w:rPr>
        <w:t xml:space="preserve"> cause of the injuries. Since most events are the result of a complex set of causes, there will frequently be non-tortious causes contributing to the injury. Defendants could frequently and easily identify non-tortious contributing causes, so plaintiffs would rarely receive full compensation even after proving that the defendant caused the injury. This would be contrary to established principles and the essential purpose of tort law, which is to restore the plaintiff to the position he or she would have enjoyed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 plaintiff need only establish a "substantial connection" between the injury and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order to find the defendant liable; see </w:t>
      </w:r>
      <w:r>
        <w:rPr>
          <w:rFonts w:ascii="arial" w:eastAsia="arial" w:hAnsi="arial" w:cs="arial"/>
          <w:i/>
          <w:color w:val="000000"/>
          <w:sz w:val="20"/>
          <w:lang w:val="en-US" w:eastAsia="en-US" w:bidi="ar-SA"/>
        </w:rPr>
        <w:t>Sam v. Wilson</w:t>
      </w:r>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2007 BCCA 622</w:t>
        </w:r>
      </w:hyperlink>
      <w:r>
        <w:rPr>
          <w:rFonts w:ascii="arial" w:eastAsia="arial" w:hAnsi="arial" w:cs="arial"/>
          <w:color w:val="000000"/>
          <w:sz w:val="20"/>
          <w:lang w:val="en-US" w:eastAsia="en-US" w:bidi="ar-SA"/>
        </w:rPr>
        <w:t xml:space="preserve"> at para. 109. A substantial connection is something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 see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the present case Mr. Sharma did not suffer from any pre-existing physical or psychological or emotional difficulties. It is undisputed that his chronic pain condition was caused by the Accident. So too, I have concluded, were his mild depression, or low mood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It is also clear that Mr. Sharma's pre-existing learning and other cognitive difficulties caused him to be particularly vulnerable to further "injury" from conditions such as chronic pain and mild depression or low mood. In this case, those conditions have served to significantly further impair Mr. Sharma's functionality, his circumstances and his prospects.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am satisfied that the many and varied changes in Mr. Sharma, that are detailed in the evidence that I have described, were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With the foregoing findings in hand I turn to address the various discrete claims that are advanced by the plaintiff.</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Damages for non-pecuniary losses are intended to compensate a plaintiff for pain, suffering, loss of enjoyment of life, and loss of amenities. The law recognizes that, while restitution is impossible for such losses, the object of non-pecuniary damages is to provide "substitute pleasures and amenities to make the life of the injured person more bearable"; see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97 (S.C.), aff'd </w:t>
      </w:r>
      <w:hyperlink r:id="rId346"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The various factors that a court will consider when assessing damages for non-pecuniary loss are described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leave to appeal ref'd, </w:t>
      </w:r>
      <w:hyperlink r:id="rId347"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These factors include the age of the plaintiff, the nature of his/her injuries, the severity and duration of the plaintiff's pain, disability, emotional suffering, loss or impairment of life, impairment of family and social relationships, impairment of physical and mental abilities, loss of lifestyle, and the plaintiff's stoicism.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Though the plaintiff had some academic and cognitive challenges prior to the Accident those challenges have to be put into context. They did not interfere, in any way, with the plaintiff's social interactions. He had friends. He was active. He participated in conversations and at social gatherings. He initiated or contributed to the planning of activities with others. He appears to have been a normal young man who would go dancing, go to movies or play basketball with his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He is now much more reclusive. He engages in virtually no such activities. He certainly initiates no such activities and is largely directed in what he does by others. He is periodically short tempered.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He also struggles with a relatively significant level of ongoing lower back pain. By virtue of his pre-existing cognitive capabilities, which have further deteriorated since the Accident, he is even more likely to be employed doing various forms of physical work. Such work will continue to contribute to his ongoing back pain. It is also relevant that it is now eight years since the Accident. There is no realistic prospect of his back pain improving.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Finally, a broad range of Mr. Sharma's cognitive skills have been impaired by the Accident. This includes such basic skills as language, reading and computation but it also extends to matters as fundamental as memory, initiative and concentration. For reasons that I will develop, his range of employment options has further narrowed. This impacts not only his loss of capacity claims but also the pleasure that he may have otherwise received from forms of employment that are now foreclosed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Counsel for both parties provided me with two categories of authorities. The first related to plaintiffs who had suffered various soft tissue injuries and who continued to have some ongoing difficulty with such injuries. These cases give rise to awards for non-pecuniary loss in the range of $60,000-$90,000.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The second group of authorities pertained to plaintiffs who had suffered MTBI's and the sequelae of such injuries. These cases, depending on the severity of the impairments at issue, give rise to a wider range of awards. In </w:t>
      </w:r>
      <w:r>
        <w:rPr>
          <w:rFonts w:ascii="arial" w:eastAsia="arial" w:hAnsi="arial" w:cs="arial"/>
          <w:i/>
          <w:color w:val="000000"/>
          <w:sz w:val="20"/>
          <w:lang w:val="en-US" w:eastAsia="en-US" w:bidi="ar-SA"/>
        </w:rPr>
        <w:t>Mayer v. Umabao</w:t>
      </w:r>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2016 BCSC 506</w:t>
        </w:r>
      </w:hyperlink>
      <w:r>
        <w:rPr>
          <w:rFonts w:ascii="arial" w:eastAsia="arial" w:hAnsi="arial" w:cs="arial"/>
          <w:color w:val="000000"/>
          <w:sz w:val="20"/>
          <w:lang w:val="en-US" w:eastAsia="en-US" w:bidi="ar-SA"/>
        </w:rPr>
        <w:t>, the court awarded a plaintiff $175,000 on account of various symptoms and cognitive deficiencies that appear to be more acute than those faced by Mr. Sharma. In addition, the plaintiff in that case had not suffered from any pre-accident cognitive impairments.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Mayer</w:t>
      </w:r>
      <w:r>
        <w:rPr>
          <w:rFonts w:ascii="arial" w:eastAsia="arial" w:hAnsi="arial" w:cs="arial"/>
          <w:color w:val="000000"/>
          <w:sz w:val="20"/>
          <w:lang w:val="en-US" w:eastAsia="en-US" w:bidi="ar-SA"/>
        </w:rPr>
        <w:t>, Young J., at paras. 260-269, addressed several further authorities where I consider, again, that the cognitive and other impairments suffered by the plaintiffs in those cases were broader in nature and more acute than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authorities that the plaintiff relied on and that involved MTBI injuries were both comparatively dated and inevitably involved somewhat different sets of circumstances. These cases, however, gave rise to award of approximately $125,000.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In this case I am mindful that Mr. Sharma is a young man. I am also mindful that he had some intellectual challenges prior to the Accident. Nevertheless, I am satisfied that the path of his life has been significantly altered. In </w:t>
      </w:r>
      <w:r>
        <w:rPr>
          <w:rFonts w:ascii="arial" w:eastAsia="arial" w:hAnsi="arial" w:cs="arial"/>
          <w:i/>
          <w:color w:val="000000"/>
          <w:sz w:val="20"/>
          <w:lang w:val="en-US" w:eastAsia="en-US" w:bidi="ar-SA"/>
        </w:rPr>
        <w:t>Mayer</w:t>
      </w:r>
      <w:r>
        <w:rPr>
          <w:rFonts w:ascii="arial" w:eastAsia="arial" w:hAnsi="arial" w:cs="arial"/>
          <w:color w:val="000000"/>
          <w:sz w:val="20"/>
          <w:lang w:val="en-US" w:eastAsia="en-US" w:bidi="ar-SA"/>
        </w:rPr>
        <w:t>, Young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[269] In conclusion of the general damage section of the decision, Curtis J. describes the now 67year-old Mr. Chowdhry as having lost a large measure of who he was. While human identity is partly associated with physical ability, it is much more related to a person's mental state and abilities. Mr. Chowdhry is quite simply not the man he was. Rather than being energetic and happy and employed as the lease manager, he is unemployed. Rather than being the social outgoing man he was, he is now socially withdrawn and has little or no interest about anything. Rather than supporting his family, he is dependent upon them in a way that corrodes his relationship with his wife and his children. Curtis J. assessed nonpecuniary damages at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consider that the foregoing comments are apposite. Having regard to the broad range of legal and factual considerations that I have identified I consider that an award of $140,000 fairly compensates Mr. Sharma for his non-pecuniary losses.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C. The Plaintiff's Past and Future Loss of Capacity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Before addressing each of these claims separately I wish to first summarize certain evidence that is relevant to both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plaintiff's wage loss claims, both past and present, recognize that Mr. Sharma suffered from various difficulties prior to the Accident. Thus, Mr. Teasley, the economist retained by the plaintiff, generated various wage loss calculations based on individuals who had not graduated from high school. He did so to recognize Mr. Sharma's pre-Accident limitations. Included in this group of individuals would be a further subset of individuals who had some learning disabilities. Mr. Hildebrand, the economist retained by the defendants, used a slightly different initial segment of the population and focused on males who worked in unskilled occupations. This database gave rise to figures that are approximately twenty per cent lower than the starting figures used by Mr. Teasley.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 Nordin's report is also relevant. He opined that he would have expected Mr. Sharma "to have relied on his physical intact abilities for employment (pre-injury). He likely would have been limited to unskilled work such as reflected in his work history to date ...". Table 1 of Mr. Nordin's report lists various types of employment that would have been available to Mr. Sharma before the Accident. Those forms of employment include light duty cleaners, grocery clerks, security guards, service station attendants and food counter attendants. The income for such individuals ranges from approximately $28,000 annually to approximately $38,000 annually.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 Sharma did not work for a period of time after the Accident. Dr. Somani's report expresses the opinion that Mr. Sharma "was incapable of working for approximately one year"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Sharma's work history is also relevant to his past and future loss of capacity claims. When in high school Mr. Sharma had worked part-time at McDonald's. It appears he also worked at Overwaitea's. He graduated from high school in 2006. He earned $2,092 in 2007 though he was uncertain of the source of this income. In 2008 he worked part-time for a security company that was owned by a cousin and he was paid cash for such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He worked for thirty seven weeks starting in 2010, or slightly more than a year after the Accident, at Discovery Books. He was laid off when Discovery Books closed. He earned $11,221 in 2010 and $16,004.54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He did not work for the balance of 2011 and 2012. He began to work for his brother at Abbotsford Car Buff in 2013 but was not paid for his work until 2015. In 2015 and 2016, Mr. Sharma earned $14,643 and approximately $27,000 respectively.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The Past Wage Loss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Ibbitson v. Cooper</w:t>
      </w:r>
      <w:r>
        <w:rPr>
          <w:rFonts w:ascii="arial" w:eastAsia="arial" w:hAnsi="arial" w:cs="arial"/>
          <w:color w:val="000000"/>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2012 BCCA 249</w:t>
        </w:r>
      </w:hyperlink>
      <w:r>
        <w:rPr>
          <w:rFonts w:ascii="arial" w:eastAsia="arial" w:hAnsi="arial" w:cs="arial"/>
          <w:color w:val="000000"/>
          <w:sz w:val="20"/>
          <w:lang w:val="en-US" w:eastAsia="en-US" w:bidi="ar-SA"/>
        </w:rPr>
        <w:t xml:space="preserve"> at para. 19, the court explained that a plaintiff's past income loss is to be assessed on the basis of a loss of capacity. Furthermore compensation for past loss of earning capacity is based on what a plaintiff would have, not could have, earned but for the injury he/she sustained;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at paras. 49-50;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The assessment of Mr. Sharma's past loss of capacity claim also requires considering certain past hypotheticals. More specifically, it is necessary to assess what employment opportunities or path Mr. Sharma would have followed had he not been injured.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Madam Justice Rowles set out the proper approach that should be applied to a hypothetical past wage loss claim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That instruction accurately reflects the distinction made in the case authorities between proof of actual events and proof of future or hypothetical events. 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plaintiff advanced a past wage loss claim of $100,000. That claim would cover the nearly nine years from the Accident to date. I consider that this claim is unrealistic. It relies on the average income figures generated by Mr. Teasley. These figures, based on Mr. Nordin's report and the report of Mr. Hildebrand are somewhat excessive. Furthermore, they do not recognize that Mr. Sharma only earned very modest incomes after high school but before his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At the same time it is clear that the plaintiff lost a full year of work on account of the Accident. It is also clear, based on the evidence of his brother and his sister-in-law, that his abilities in the workplace, even doing basic manual labor, are quite impaired. For practical purposes Mr. Sharma is being accommodated by his brother in circumstances where it appears unlikely that his job performance would be viewed as adequate in the marketplace.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On the other hand he appears to have performed adequately at Discovery Books until that entity closed its doors.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Finally, it is relevant that Mr. Sharma is a hard-working and responsible individual. He is always on time for work. He has worked six days a week, without complaint, for nearly four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Having regard to these considerations I am of the view that an award of $50,000 fairly compensates Mr. Sharma for his past wage loss claim.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Lost Capacity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Pololos v. Cinnamon-Lopez</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2016 BCSC 81</w:t>
        </w:r>
      </w:hyperlink>
      <w:r>
        <w:rPr>
          <w:rFonts w:ascii="arial" w:eastAsia="arial" w:hAnsi="arial" w:cs="arial"/>
          <w:color w:val="000000"/>
          <w:sz w:val="20"/>
          <w:lang w:val="en-US" w:eastAsia="en-US" w:bidi="ar-SA"/>
        </w:rPr>
        <w:t>, I summarized the legal principles that govern this head of loss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[133] The relevant legal principles are well-established: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the extent possible, a plaintiff should be put in the position he/she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leave to appeal ref'd </w:t>
      </w:r>
      <w:hyperlink r:id="rId316" w:history="1">
        <w:r>
          <w:rPr>
            <w:rFonts w:ascii="arial" w:eastAsia="arial" w:hAnsi="arial" w:cs="arial"/>
            <w:i/>
            <w:color w:val="0077CC"/>
            <w:sz w:val="20"/>
            <w:u w:val="single"/>
            <w:shd w:val="clear" w:color="auto" w:fill="FFFFFF"/>
            <w:lang w:val="en-US" w:eastAsia="en-US" w:bidi="ar-SA"/>
          </w:rPr>
          <w:t>[2009] S.C.C.A. No. 197</w:t>
        </w:r>
      </w:hyperlink>
      <w:r>
        <w:rPr>
          <w:rFonts w:ascii="arial" w:eastAsia="arial" w:hAnsi="arial" w:cs="arial"/>
          <w:color w:val="000000"/>
          <w:sz w:val="20"/>
          <w:lang w:val="en-US" w:eastAsia="en-US" w:bidi="ar-SA"/>
        </w:rPr>
        <w: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central task of the Court is to compare the likely future of the plaintiff's working life if the Accident had not occurred with the plaintiff's likely future working life after the Accident;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assessment of loss must be based on the evidence, but requires an exercise of judgment and is not a mathematical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18;</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two possible approaches to assessment of loss of future earning capacity are the "earnings approach" and the "capital asset approach";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at para. 7 (S.C.); and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paras. 11-12;</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either approach, the plaintiff must prove that there is a "real and substantial possibility" of various future events leading to an income loss;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33;</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earnings approach will be more appropriate when the loss is more easily measurable; </w:t>
      </w:r>
      <w:r>
        <w:rPr>
          <w:rFonts w:ascii="arial" w:eastAsia="arial" w:hAnsi="arial" w:cs="arial"/>
          <w:i/>
          <w:color w:val="000000"/>
          <w:sz w:val="20"/>
          <w:lang w:val="en-US" w:eastAsia="en-US" w:bidi="ar-SA"/>
        </w:rPr>
        <w:t>Westbroek v. Brizuela</w:t>
      </w:r>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2014 BCCA 48</w:t>
        </w:r>
      </w:hyperlink>
      <w:r>
        <w:rPr>
          <w:rFonts w:ascii="arial" w:eastAsia="arial" w:hAnsi="arial" w:cs="arial"/>
          <w:color w:val="000000"/>
          <w:sz w:val="20"/>
          <w:lang w:val="en-US" w:eastAsia="en-US" w:bidi="ar-SA"/>
        </w:rPr>
        <w:t xml:space="preserve"> at para. 64. Furthermore, while assessing an award for future loss of income is not a purely mathematical exercise, the Court should endeavour to use factual mathematical anchors as a starting foundation to quantify such loss; </w:t>
      </w:r>
      <w:r>
        <w:rPr>
          <w:rFonts w:ascii="arial" w:eastAsia="arial" w:hAnsi="arial" w:cs="arial"/>
          <w:i/>
          <w:color w:val="000000"/>
          <w:sz w:val="20"/>
          <w:lang w:val="en-US" w:eastAsia="en-US" w:bidi="ar-SA"/>
        </w:rPr>
        <w:t>Jurczak v. Mauro</w:t>
      </w:r>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2013 BCCA 507</w:t>
        </w:r>
      </w:hyperlink>
      <w:r>
        <w:rPr>
          <w:rFonts w:ascii="arial" w:eastAsia="arial" w:hAnsi="arial" w:cs="arial"/>
          <w:color w:val="000000"/>
          <w:sz w:val="20"/>
          <w:lang w:val="en-US" w:eastAsia="en-US" w:bidi="ar-SA"/>
        </w:rPr>
        <w:t xml:space="preserve"> at paras. 36-37.</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relying on an "earnings approach", the Court must nevertheless always consider the overall fairness and reasonableness of the award, taking into account all of the evidence;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this case the capital asset approach is better suited to addressing this component of the plaintiff's claim. Mr. Sharma was a young man when he was in the Accident. He had a very limited work history from which to draw conclusions or to undertake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Likely the best starting point for addressing what Mr. Sharma could or would have been capable of is found in the report of Mr. Nordin. That report, in combination with the calculations undertaken by each of Mr. Teasley and Mr. Hildebrand, assists in fixing some numerical values or establishing some "numerical anchors" for Mr. Sharma's lost capacity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particular I consider that the report of Mr. Hildebrand more reliably addresses the workforce attachment and other contingencies that a young person, with Mr. Sharma's pre-Accident limitations, would face. For example, such individuals are unemployed more often and tend to leave the workforce at a younger age than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Notwithstanding such pre-existing limitations, however, it is clear that Mr. Sharma's post-Accident employment challenges have increased appreciably. Mr. Nordin said: "I would expect him to be even more challenged to secure and maintain suitable employment in the competitive workforce".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This conclusion is self-evident. Mr. Sharma's ongoing low back pain may limit his ability to do even more physically challenging forms of work. The relative severity and breadth of his cognitive challenges will further limit his employment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Mr. Nordin concluded "Given (these limitations)..., at best, Mr. Sharma will likely need accommodating employment circumstances which primarily focus on physical tasks". This is consistent with the experience and evidence of the plaintiff's brother. Such requirements will necessarily further curtail Mr. Sharma's options. They will necessarily make him less attractive to potential employers.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Mr. Nordin also concluded that some forms of employment that would have been available to Mr. Sharma in the past, for example being a security guard, are likely no longer available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 have considered both that Mr. Sharma is a hard working person and that he appears to have a good support network around him that may continue to assist and guide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Mr. Sharma's brother explained, however, that while he presently intends to hold on to Abbotsford Car Buff he also intends to move into residential development and construction and that he has begun that transition. How long the plaintiff can expect to continue to work at Abbotsford Car Buff, in circumstances where his brother is not present to oversee or monitor his work, is uncertain.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There is no suggestion that any of Mr. Sharma's challenges, arising from the Accident are likely to improve. Conversely, Dr. Bishop opined that a "greater than age expected decline" in Mr. Sharma's abilities is likely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Mr. Hildebrand's report projected the future income of males with no certificate or degree at $838,692. He projected the future income of males in unskilled occupations at $687,984. These figures had already been adjusted to reflect various average labor market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Counsel for the plaintiff submitted that an award of $200,000 would fairly compensate Mr. Sharma for his future loss of capacity. I agree. I consider that that sum recognizes both Mr. Sharma's pre-Accident challenges and the further employment challenges that he now faces on account of his injuries and limitations.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D. Future Cost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The test for establishing a claim for cost of future care is set out in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(B.C. S.C.) at para. 211, aff'd </w:t>
      </w:r>
      <w:hyperlink r:id="rId346" w:history="1">
        <w:r>
          <w:rPr>
            <w:rFonts w:ascii="arial" w:eastAsia="arial" w:hAnsi="arial" w:cs="arial"/>
            <w:i/>
            <w:color w:val="0077CC"/>
            <w:sz w:val="20"/>
            <w:u w:val="single"/>
            <w:shd w:val="clear" w:color="auto" w:fill="FFFFFF"/>
            <w:lang w:val="en-US" w:eastAsia="en-US" w:bidi="ar-SA"/>
          </w:rPr>
          <w:t>(1985) 49 B.C.L.R. (2d) 99</w:t>
        </w:r>
      </w:hyperlink>
      <w:r>
        <w:rPr>
          <w:rFonts w:ascii="arial" w:eastAsia="arial" w:hAnsi="arial" w:cs="arial"/>
          <w:color w:val="000000"/>
          <w:sz w:val="20"/>
          <w:lang w:val="en-US" w:eastAsia="en-US" w:bidi="ar-SA"/>
        </w:rPr>
        <w:t xml:space="preserve"> (B.C.C.A.). That test is an objective one based on medical evidence. It is necessary for a plaintiff to provide a medical justification for claims for cost of future care and such claims must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Jacobsen v. Nike Canada Ltd.</w:t>
      </w:r>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(1996) 133 D.L.R. (4th) 377</w:t>
        </w:r>
      </w:hyperlink>
      <w:r>
        <w:rPr>
          <w:rFonts w:ascii="arial" w:eastAsia="arial" w:hAnsi="arial" w:cs="arial"/>
          <w:color w:val="000000"/>
          <w:sz w:val="20"/>
          <w:lang w:val="en-US" w:eastAsia="en-US" w:bidi="ar-SA"/>
        </w:rPr>
        <w:t xml:space="preserve"> (B.C. S.C.) at para. 182, the court wrote: "The test ... enunciated does not, in my view, require that the evidence of the specific care that is required by the plaintiff be provided by a medical doctor". Thus, in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McLachlin J. accepted the evidence of a rehabilitation expert as to the type of care that should be provided. This proposition was recently affirmed in </w:t>
      </w:r>
      <w:r>
        <w:rPr>
          <w:rFonts w:ascii="arial" w:eastAsia="arial" w:hAnsi="arial" w:cs="arial"/>
          <w:i/>
          <w:color w:val="000000"/>
          <w:sz w:val="20"/>
          <w:lang w:val="en-US" w:eastAsia="en-US" w:bidi="ar-SA"/>
        </w:rPr>
        <w:t>Giczi v. Kandola</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2014 BCSC 508</w:t>
        </w:r>
      </w:hyperlink>
      <w:r>
        <w:rPr>
          <w:rFonts w:ascii="arial" w:eastAsia="arial" w:hAnsi="arial" w:cs="arial"/>
          <w:color w:val="000000"/>
          <w:sz w:val="20"/>
          <w:lang w:val="en-US" w:eastAsia="en-US" w:bidi="ar-SA"/>
        </w:rPr>
        <w:t xml:space="preserve"> at para. 223. These conclusions are relevant because the future cost of care recommendations, that are relied on by the plaintiff, were made by Dr. Bishop.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A plaintiff is not entitled to an award for expenses that would have been incurred in any event; </w:t>
      </w:r>
      <w:r>
        <w:rPr>
          <w:rFonts w:ascii="arial" w:eastAsia="arial" w:hAnsi="arial" w:cs="arial"/>
          <w:i/>
          <w:color w:val="000000"/>
          <w:sz w:val="20"/>
          <w:lang w:val="en-US" w:eastAsia="en-US" w:bidi="ar-SA"/>
        </w:rPr>
        <w:t>Shapiro v. Dailey</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2012 BCCA 128</w:t>
        </w:r>
      </w:hyperlink>
      <w:r>
        <w:rPr>
          <w:rFonts w:ascii="arial" w:eastAsia="arial" w:hAnsi="arial" w:cs="arial"/>
          <w:color w:val="000000"/>
          <w:sz w:val="20"/>
          <w:lang w:val="en-US" w:eastAsia="en-US" w:bidi="ar-SA"/>
        </w:rPr>
        <w:t xml:space="preserve">. Furthermore it is necessary that a plaintiff establish that he/she is likely to use the services that have been recommended; </w:t>
      </w:r>
      <w:r>
        <w:rPr>
          <w:rFonts w:ascii="arial" w:eastAsia="arial" w:hAnsi="arial" w:cs="arial"/>
          <w:i/>
          <w:color w:val="000000"/>
          <w:sz w:val="20"/>
          <w:lang w:val="en-US" w:eastAsia="en-US" w:bidi="ar-SA"/>
        </w:rPr>
        <w:t>Coulter (Guardian ad litem) v. Leduc</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2005 BCCA 199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Maltese v. Pratap</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2014 BCSC 18</w:t>
        </w:r>
      </w:hyperlink>
      <w:r>
        <w:rPr>
          <w:rFonts w:ascii="arial" w:eastAsia="arial" w:hAnsi="arial" w:cs="arial"/>
          <w:color w:val="000000"/>
          <w:sz w:val="20"/>
          <w:lang w:val="en-US" w:eastAsia="en-US" w:bidi="ar-SA"/>
        </w:rPr>
        <w:t xml:space="preserve"> at paras. 75-78.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plaintiff retained Ms. Flores, an occupational therapist, to value the various care recommendations that were made by Dr. Bishop. Ms. Flores' report was prepared in May 2012. She confirmed that the figures she used in that report remain valid. The various care items that are referred to were not, however, developed at any length in either the evidence of Dr. Bishop or in the evidence of Ms. Flores.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Some aspects of what is proposed do not appear to be relevant any longer. Dr. Bishop, for example, proposed some counseling for Mr. Sharma to deal with the driving related anxiety that he had after the Accident. He no longer has such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On the other hand, Ms. Flores was not seriously cross-examined on her report, the recommendations made by Dr. Bishop were not challenged and the defendants made only limited submissions in relation to the plaintiff's cost of future care claim. Furthermore, Mr. Teasley generated various costs of care multipliers in his expert report. Mr. Hildebrand did not question or challenge those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Dr. Bishop recommended the following one time assessments or programs that are directed to assisting Mr. Sharma with his various difficulties:</w:t>
      </w:r>
      <w:r>
        <w:rPr>
          <w:rFonts w:ascii="arial" w:eastAsia="arial" w:hAnsi="arial" w:cs="arial"/>
          <w:sz w:val="20"/>
          <w:lang w:val="en-US" w:eastAsia="en-US" w:bidi="ar-SA"/>
        </w:rPr>
        <w:cr/>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speech assessment;</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pain management course;</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cognitive rehabilitation program directed primarily to the plaintiff's difficulties with memory; and</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vocational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These various programs have a total cost of approximately $8,000. Both the intended purpose and the cost of these programs appear to be sound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Dr. Bishop also recommended several programs that would have to be repeated periodically in the years to come. How frequently this would be required is necessarily uncertain. Two such programs appear particularly salient:</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occupational therapy to teach Mr. Sharma compensating strategies in the workplace; and</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vocational rehabilitation programs and return to work activation programs. These programs are intended to help Mr. Sharma when he loses his employment, as he likely will from time to time, and to assist him with the challenges of his new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 would award Mr. Sharma a further $30,000 on account of the cost of these programs. In total I award Mr. Sharma $38,000 for his future costs of care.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E.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Mr. Sharma claimed a total of $3,169.36 on account of various costs he has incurred. None of these figures were challenged and I award Mr. Sharma the full amount of his out-of-pocket expenses.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3. </w:t>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 have awarded Mr. Sharma the following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763"/>
        <w:gridCol w:w="56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Non-Pecuniary Damages</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$140,000.00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 Past Wage Loss</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 Future Loss of Capacity</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 Future Costs of Care</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$38,000.00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 Special Damages</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$3,169.36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$431,169.36</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 am satisfied that a global award of $431,169.36 fairly compensates Mr. Sharma for his injuries and losses arising from the Accident. This global award is to be reduced by twenty five per cent, on account of Mr. Sharma's responsibility for the Accident, and gives rise to a net award of $323,377.02.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Mr. Sharma is to have the costs of this action. If there are matters relating to the issue of costs that I am unaware of the parties can arrange, through the Registry, to address those matters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P.G. VOITH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7"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2" w:history="1">
        <w:r>
          <w:rPr>
            <w:rFonts w:ascii="arial" w:eastAsia="arial" w:hAnsi="arial" w:cs="arial"/>
            <w:b/>
            <w:bCs/>
            <w:i/>
            <w:color w:val="0077CC"/>
            <w:kern w:val="32"/>
            <w:sz w:val="28"/>
            <w:szCs w:val="32"/>
            <w:u w:val="single"/>
            <w:shd w:val="clear" w:color="auto" w:fill="FFFFFF"/>
            <w:lang w:val="en-US" w:eastAsia="en-US" w:bidi="ar-SA"/>
          </w:rPr>
          <w:t>Van Hove (Litigation guardian of) v. Boisselle, [2012] B.C.J. No. 667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N.H.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19,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3,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M124950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667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63" w:history="1">
        <w:r>
          <w:rPr>
            <w:rFonts w:ascii="arial" w:eastAsia="arial" w:hAnsi="arial" w:cs="arial"/>
            <w:i/>
            <w:color w:val="0077CC"/>
            <w:sz w:val="20"/>
            <w:u w:val="single"/>
            <w:shd w:val="clear" w:color="auto" w:fill="FFFFFF"/>
            <w:lang w:val="en-US" w:eastAsia="en-US" w:bidi="ar-SA"/>
          </w:rPr>
          <w:t>2012 BCSC 494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Alexander Gordon Thatcher Van Hove, by his litigation guardian, Christine Cuyler, Plaintiff, and Donna Boisselle, Defendant, and Insurance Corporation of British Columbia and L.J.D. Properties Ltd. carrying on business as The Artful Dodger Neighbourhood Pub and John Doe and Jane Doe,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8"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6" w:name="Keywords_12"/>
      <w:bookmarkEnd w:id="86"/>
      <w:r>
        <w:rPr>
          <w:rFonts w:ascii="arial" w:eastAsia="arial" w:hAnsi="arial" w:cs="arial"/>
          <w:b/>
          <w:color w:val="000000"/>
          <w:sz w:val="20"/>
          <w:lang w:val="en-US" w:eastAsia="en-US" w:bidi="ar-SA"/>
        </w:rPr>
        <w:t>Civil litigation — Civil procedure — Trials — Summary trial — Availability — Summary judgments — Availability — To dismiss action — Application by pub to dismiss third party claim dismissed — After drinking at pub, defendant was driven home, then left in her vehicle, struck plaintiff's father's vehicle, killing him — Defendant's insurer issued third party claim against pub alleging it caused or contributed to accident by over-serving defendant and allowing her to leave pub in intoxicated state — Not possible to find facts necessary to decide matter on summary trial — As there was no evidence of level of intoxication of defendant's partner, not possible to determine if pub met standard of care or if defendant's arrival home broke chain of causation.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Causation — Causal connection — Application by pub to dismiss third party claim dismissed — After drinking at pub, defendant was driven home, then left in her vehicle, struck plaintiff's father's vehicle, killing him — Defendant's insurer issued third party claim against pub alleging it caused or contributed to accident by over-serving defendant and allowing her to leave pub in intoxicated state — Not possible to find facts necessary to decide matter on summary trial — As there was no evidence of level of intoxication of defendant's partner, not possible to determine if pub met standard of care or if defendant's arrival home broke chain of causation.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Application by pub to dismiss third party claim dismissed — After drinking at pub, defendant was driven home, then left in her vehicle, struck plaintiff's father's vehicle, killing him — Defendant's insurer issued third party claim against pub alleging it caused or contributed to accident by over-serving defendant and allowing her to leave pub in intoxicated state — Not possible to find facts necessary to decide matter on summary trial — As there was no evidence of level of intoxication of defendant's partner, not possible to determine if pub met standard of care or if defendant's arrival home broke chain of causation.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Application by pub to dismiss third party claim dismissed — After drinking at pub, defendant was driven home, then left in her vehicle, struck plaintiff's father's vehicle, killing him — Defendant's insurer issued third party claim against pub alleging it caused or contributed to accident by over-serving defendant and allowing her to leave pub in intoxicated state — Not possible to find facts necessary to decide matter on summary trial — As there was no evidence of level of intoxication of defendant's partner, not possible to determine if pub met standard of care or if defendant's arrival home broke chain of causation.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7" w:name="Case Summary_11"/>
            <w:bookmarkEnd w:id="8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a pub owner to dismiss the third party claim against it. The plaintiff's father was killed when his vehicle was struck by the defendant. The defendant and her partner had been drinking at a pub. The defendant was driven home by her partner. Once at home, she got into an argument with her partner and left by car. Her car then struck the car of the plaintiff's father, who was killed. The defendant pleaded guilty to impaired driving. Her insurer held her in breach of her insurance policy and exercised its right to make itself a third party to the action. It then issued a third party notice against L.J.D. Properties Ltd., the owner of the pub at which the defendant had been drinking, for contribution and indemnity. The insurer claimed that the pub caused or contributed to the accident by over-serving the defendant and allowing her to leave the pub in an intoxicated state. The pub applied to have the third party notice against it dismissed on summary trial. It argued that even if it breached the applicable standard of care by over-serving the defendant and not taking steps to prevent her from driving, she arrived home safely and it was not foreseeable that she would begin driving at that point, and therefore the pub had fulfilled its duty to other users of the roads. Alternatively, the pub argued that its conduct did not cause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8" w:name="Holdings of Court_11"/>
            <w:bookmarkEnd w:id="88"/>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not possible to find the facts necessary to decide the matter on summary trial. There was no evidence of the level of intoxication of the defendant's partner and as such it was not possible to determine if the pub met the standard of care in allowing the defendant to leave with him or if their arrival home amounted to a safe arrival which broke the chain of causation.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9" w:name="Legislation Cited_9"/>
      <w:bookmarkEnd w:id="8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9"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9-7</w:t>
      </w:r>
      <w:r>
        <w:rPr>
          <w:rFonts w:ascii="arial" w:eastAsia="arial" w:hAnsi="arial" w:cs="arial"/>
          <w:color w:val="000000"/>
          <w:sz w:val="20"/>
          <w:lang w:val="en-US" w:eastAsia="en-US" w:bidi="ar-SA"/>
        </w:rPr>
        <w:t>, Rule 9-7(15)(a)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0" w:name="Counsel_12"/>
      <w:bookmarkEnd w:id="9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0" style="position:absolute;z-index:2517739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D.H. Goodwin.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Third Party Insurance Corporation of British Columbia: Timothy Pettit.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Third Party L.J.D. Properties Ltd.: Lorne P.S. Folick.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1" w:name="Judgment_12"/>
      <w:bookmarkEnd w:id="91"/>
      <w:r>
        <w:pict>
          <v:line id="_x0000_s1091" style="position:absolute;z-index:2518251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2" w:name="N.H. SMITH J."/>
            <w:bookmarkEnd w:id="92"/>
            <w:r>
              <w:rPr>
                <w:rFonts w:ascii="arial" w:eastAsia="arial" w:hAnsi="arial" w:cs="arial"/>
                <w:b/>
                <w:color w:val="000000"/>
                <w:sz w:val="30"/>
                <w:lang w:val="en-US" w:eastAsia="en-US" w:bidi="ar-SA"/>
              </w:rPr>
              <w:t>N.H.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arises out of a fatal motor vehicle accident that was allegedly caused by a drunk driver. A third party claim alleges that L.J.D. Properties Ltd ("L.J.D.") -- the owner of a pub at which the defendant driver had been drinking -- caused or contributed to the accident by over-serving the defendant and allowing her to leave the pub in an intoxicated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L.J.D. applies to have the Third Party Notice against it dismissed on summary trial pursuant to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This case differs from most others where claims have been made against commercial hosts in that the defendant did not drive away from the pub, but was driven home before deciding to drive somewhere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February 22, 2008, the defendant Donna Boisselle was drinking with her partner, Mr. Goll, at L.J.D.'s pub. They left the pub together and Mr. Goll drove them to their home. They had an argument after they got home and Ms. Boisselle, who on both of their accounts was quite intoxicated, left by car. Her car then struck the car of the plaintiff's father, Jack Van Hove, who was killed.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Ms. Boisselle pled guilty to impaired driving and was sentenced on November 10, 2009 to 18 months in prison and a further 36 months of probation: </w:t>
      </w:r>
      <w:r>
        <w:rPr>
          <w:rFonts w:ascii="arial" w:eastAsia="arial" w:hAnsi="arial" w:cs="arial"/>
          <w:i/>
          <w:color w:val="000000"/>
          <w:sz w:val="20"/>
          <w:lang w:val="en-US" w:eastAsia="en-US" w:bidi="ar-SA"/>
        </w:rPr>
        <w:t>R v. Boisselle,</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2009 BCPC 408</w:t>
        </w:r>
      </w:hyperlink>
      <w:r>
        <w:rPr>
          <w:rFonts w:ascii="arial" w:eastAsia="arial" w:hAnsi="arial" w:cs="arial"/>
          <w:color w:val="000000"/>
          <w:sz w:val="20"/>
          <w:lang w:val="en-US" w:eastAsia="en-US" w:bidi="ar-SA"/>
        </w:rPr>
        <w:t>. The Insurance Corporation of British Columbia ("ICBC") held her in breach of her insurance policy and exercised its statutory right to make itself a third party in this action, allowing it to defend the plaintiff's claim while denying its obligation to indemnify the defendant. ICBC then issued a further third party notice claiming contribution and indemnity from L.J.D.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this summary trial application, L.J.D. argues that even if it breached the applicable standard of care by serving alcohol to Ms. Boiselle to the point of intoxication and by failing to take steps to prevent her from driving, she in fact arrived safely home and it was not foreseeable that she would begin driving at that point. Therefore, L.J.D. argues that its duty to other users of the road was fulfilled or, alternatively, that its conduct did not cause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For the purposes of this application, L.J.D. has admitted the facts as alleged in the Third Party Notice, specifically paragraphs 4-8:</w:t>
      </w:r>
      <w:r>
        <w:rPr>
          <w:rFonts w:ascii="arial" w:eastAsia="arial" w:hAnsi="arial" w:cs="arial"/>
          <w:sz w:val="20"/>
          <w:lang w:val="en-US" w:eastAsia="en-US" w:bidi="ar-SA"/>
        </w:rPr>
        <w:cr/>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February 22, 2008, at approximately 7:30pm, the defendant attended the Artful Dodger with her common law partner Wesley Goll ...</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and Mr. Goll were served alcohol by John Doe and Jane Doe while at the Artful Dodger to the point that the defendant became heavily intoxicated.</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and Mr. Goll left the Artful Dodger at approximately 9:20 p.m. to return to their residence.</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Upon arrival at their residence, the defendant and Mr. Goll had an argument at which time the defendant left the residence and drove away.</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approximately 9:25 pm, at or near the 3500 block of 216 street, Langley, British Columbia, a motor vehicle owned and driven by the defendant collided with the motor vehicle of Jack Van Hove.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Rule 9-7(15)(a) of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 summary trial application, the court may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L.J.D. says the case is suitable for summary trial because there are no significant facts in dispute and the matter turns on applying straightforward, established law, i.e. the scope of the duty of care owed by a commercial liquor provider. It says judgment here could significantly shorten the trial scheduled for June 18, 2012. ICBC argues that there are important facts in dispute, with significant issues of credibility and/or reliability and that these issues cannot be resolved on the basis of affidavit evidence on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duty of care owed by a commercial liquor provider to patrons and third party highway users was set out in </w:t>
      </w:r>
      <w:r>
        <w:rPr>
          <w:rFonts w:ascii="arial" w:eastAsia="arial" w:hAnsi="arial" w:cs="arial"/>
          <w:i/>
          <w:color w:val="000000"/>
          <w:sz w:val="20"/>
          <w:lang w:val="en-US" w:eastAsia="en-US" w:bidi="ar-SA"/>
        </w:rPr>
        <w:t>Stewart v. Pettie</w:t>
      </w:r>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[1995] 1 S.C.R. 131</w:t>
        </w:r>
      </w:hyperlink>
      <w:r>
        <w:rPr>
          <w:rFonts w:ascii="arial" w:eastAsia="arial" w:hAnsi="arial" w:cs="arial"/>
          <w:color w:val="000000"/>
          <w:sz w:val="20"/>
          <w:lang w:val="en-US" w:eastAsia="en-US" w:bidi="ar-SA"/>
        </w:rPr>
        <w:t>,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clear that a bar owes a duty of care to patrons, and as a result, may be required to prevent an intoxicated patron from driving where it is apparent that he intends to drive. Equally such a duty is owed, in that situation, to third parties who may be using the highways. In fact, it is the same problem which creates the risk to the third parties as creates the risk to the patron. If the patron drives while intoxicated and is involved in an accident, it is only chance which results in the patron being injured rather than a third party. The risk to third parties from the patron's intoxicated driving is real and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Stewart</w:t>
      </w:r>
      <w:r>
        <w:rPr>
          <w:rFonts w:ascii="arial" w:eastAsia="arial" w:hAnsi="arial" w:cs="arial"/>
          <w:color w:val="000000"/>
          <w:sz w:val="20"/>
          <w:lang w:val="en-US" w:eastAsia="en-US" w:bidi="ar-SA"/>
        </w:rPr>
        <w:t xml:space="preserve">, the intoxicated driver was part of a group of four who left together. Only two of whom consumed had consumed alcohol and the court at para. 53 referred to its previous decision in </w:t>
      </w:r>
      <w:r>
        <w:rPr>
          <w:rFonts w:ascii="arial" w:eastAsia="arial" w:hAnsi="arial" w:cs="arial"/>
          <w:i/>
          <w:color w:val="000000"/>
          <w:sz w:val="20"/>
          <w:lang w:val="en-US" w:eastAsia="en-US" w:bidi="ar-SA"/>
        </w:rPr>
        <w:t>Jordan House Ltd. v. Menow</w:t>
      </w:r>
      <w:r>
        <w:rPr>
          <w:rFonts w:ascii="arial" w:eastAsia="arial" w:hAnsi="arial" w:cs="arial"/>
          <w:color w:val="000000"/>
          <w:sz w:val="20"/>
          <w:lang w:val="en-US" w:eastAsia="en-US" w:bidi="ar-SA"/>
        </w:rPr>
        <w:t xml:space="preserve">, </w:t>
      </w:r>
      <w:hyperlink r:id="rId366" w:history="1">
        <w:r>
          <w:rPr>
            <w:rFonts w:ascii="arial" w:eastAsia="arial" w:hAnsi="arial" w:cs="arial"/>
            <w:i/>
            <w:color w:val="0077CC"/>
            <w:sz w:val="20"/>
            <w:u w:val="single"/>
            <w:shd w:val="clear" w:color="auto" w:fill="FFFFFF"/>
            <w:lang w:val="en-US" w:eastAsia="en-US" w:bidi="ar-SA"/>
          </w:rPr>
          <w:t>[1974] S.C.R. 239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Laskin J. in </w:t>
      </w:r>
      <w:r>
        <w:rPr>
          <w:rFonts w:ascii="arial" w:eastAsia="arial" w:hAnsi="arial" w:cs="arial"/>
          <w:i/>
          <w:color w:val="000000"/>
          <w:sz w:val="20"/>
          <w:lang w:val="en-US" w:eastAsia="en-US" w:bidi="ar-SA"/>
        </w:rPr>
        <w:t>Jordan House Ltd. v. Menow</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made it clear that the hotel's duty to </w:t>
      </w:r>
      <w:r>
        <w:rPr>
          <w:rFonts w:ascii="arial" w:eastAsia="arial" w:hAnsi="arial" w:cs="arial"/>
          <w:i/>
          <w:color w:val="000000"/>
          <w:sz w:val="20"/>
          <w:lang w:val="en-US" w:eastAsia="en-US" w:bidi="ar-SA"/>
        </w:rPr>
        <w:t>Menow</w:t>
      </w:r>
      <w:r>
        <w:rPr>
          <w:rFonts w:ascii="arial" w:eastAsia="arial" w:hAnsi="arial" w:cs="arial"/>
          <w:color w:val="000000"/>
          <w:sz w:val="20"/>
          <w:lang w:val="en-US" w:eastAsia="en-US" w:bidi="ar-SA"/>
        </w:rPr>
        <w:t xml:space="preserve"> in that case could have been discharged by making sure "that he got home safely by taking him under its </w:t>
      </w:r>
      <w:r>
        <w:rPr>
          <w:rFonts w:ascii="arial" w:eastAsia="arial" w:hAnsi="arial" w:cs="arial"/>
          <w:color w:val="000000"/>
          <w:sz w:val="20"/>
          <w:u w:val="single"/>
          <w:lang w:val="en-US" w:eastAsia="en-US" w:bidi="ar-SA"/>
        </w:rPr>
        <w:t>charge or putting him under the charge of a responsible person</w:t>
      </w:r>
      <w:r>
        <w:rPr>
          <w:rFonts w:ascii="arial" w:eastAsia="arial" w:hAnsi="arial" w:cs="arial"/>
          <w:color w:val="000000"/>
          <w:sz w:val="20"/>
          <w:lang w:val="en-US" w:eastAsia="en-US" w:bidi="ar-SA"/>
        </w:rPr>
        <w:t xml:space="preserve"> ..." [p. 249]. Had Pettie been alone and intoxicated, Mayfield could have discharged its duty as established in </w:t>
      </w:r>
      <w:r>
        <w:rPr>
          <w:rFonts w:ascii="arial" w:eastAsia="arial" w:hAnsi="arial" w:cs="arial"/>
          <w:i/>
          <w:color w:val="000000"/>
          <w:sz w:val="20"/>
          <w:lang w:val="en-US" w:eastAsia="en-US" w:bidi="ar-SA"/>
        </w:rPr>
        <w:t>Jordan House Ltd. v. Menow</w:t>
      </w:r>
      <w:r>
        <w:rPr>
          <w:rFonts w:ascii="arial" w:eastAsia="arial" w:hAnsi="arial" w:cs="arial"/>
          <w:color w:val="000000"/>
          <w:sz w:val="20"/>
          <w:lang w:val="en-US" w:eastAsia="en-US" w:bidi="ar-SA"/>
        </w:rPr>
        <w:t xml:space="preserve"> by calling Pettie's wife or sister to take charge of him. How, then, can Mayfield be liable when Pettie was already in their charge, and they knew how much he had had to drink? While it is technically true that Stuart Pettie was not "put into" the care of his sober wife and sister, this is surely a matter of semantics. He was already in their care, and they knew how much he had to drink. It is not reasonable to suggest in these circumstances that Mayfield had to do more.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L.J.D. argues it's duty was discharged once Ms. Boiselle reached home safely, that her subsequent driving was not foreseeable and that her arrival home broke any chain of causation between its alleged breach of duty and the accident in which Mr. Van Hove was killed.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Some support for that proposition can be found in </w:t>
      </w:r>
      <w:r>
        <w:rPr>
          <w:rFonts w:ascii="arial" w:eastAsia="arial" w:hAnsi="arial" w:cs="arial"/>
          <w:i/>
          <w:color w:val="000000"/>
          <w:sz w:val="20"/>
          <w:lang w:val="en-US" w:eastAsia="en-US" w:bidi="ar-SA"/>
        </w:rPr>
        <w:t>Salm v. Coyle,</w:t>
      </w:r>
      <w:r>
        <w:rPr>
          <w:rFonts w:ascii="arial" w:eastAsia="arial" w:hAnsi="arial" w:cs="arial"/>
          <w:color w:val="000000"/>
          <w:sz w:val="20"/>
          <w:lang w:val="en-US" w:eastAsia="en-US" w:bidi="ar-SA"/>
        </w:rPr>
        <w:t xml:space="preserve"> </w:t>
      </w:r>
      <w:hyperlink r:id="rId367" w:history="1">
        <w:r>
          <w:rPr>
            <w:rFonts w:ascii="arial" w:eastAsia="arial" w:hAnsi="arial" w:cs="arial"/>
            <w:i/>
            <w:color w:val="0077CC"/>
            <w:sz w:val="20"/>
            <w:u w:val="single"/>
            <w:shd w:val="clear" w:color="auto" w:fill="FFFFFF"/>
            <w:lang w:val="en-US" w:eastAsia="en-US" w:bidi="ar-SA"/>
          </w:rPr>
          <w:t>2004 BCSC 112</w:t>
        </w:r>
      </w:hyperlink>
      <w:r>
        <w:rPr>
          <w:rFonts w:ascii="arial" w:eastAsia="arial" w:hAnsi="arial" w:cs="arial"/>
          <w:color w:val="000000"/>
          <w:sz w:val="20"/>
          <w:lang w:val="en-US" w:eastAsia="en-US" w:bidi="ar-SA"/>
        </w:rPr>
        <w:t>, where an intoxicated patron was picked up from the defendant's pub and driven home by a sober friend. She then went inside, took her father's car keys and drove away. In a judgement on summary trial the court said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of the opinion that all duties of care to Coyle and to the plaintiff as a result of Coyle's intoxication were satisfied when Coyle did not drive away from the pub and when she was delivered home safely by Collin. It does not matter if Millers Pub did not see to these safe arrangements itself but someone else did. The result was that all of its duties were satisfied and any risk of injury from Coyle's intoxication after she arrived home safely was not caused by any breach of duty on the part of Millers Pub.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Salm</w:t>
      </w:r>
      <w:r>
        <w:rPr>
          <w:rFonts w:ascii="arial" w:eastAsia="arial" w:hAnsi="arial" w:cs="arial"/>
          <w:color w:val="000000"/>
          <w:sz w:val="20"/>
          <w:lang w:val="en-US" w:eastAsia="en-US" w:bidi="ar-SA"/>
        </w:rPr>
        <w:t xml:space="preserve"> was distinguished in </w:t>
      </w:r>
      <w:r>
        <w:rPr>
          <w:rFonts w:ascii="arial" w:eastAsia="arial" w:hAnsi="arial" w:cs="arial"/>
          <w:i/>
          <w:color w:val="000000"/>
          <w:sz w:val="20"/>
          <w:lang w:val="en-US" w:eastAsia="en-US" w:bidi="ar-SA"/>
        </w:rPr>
        <w:t>Holton v. MacKinnon,</w:t>
      </w:r>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2005 BCSC 41</w:t>
        </w:r>
      </w:hyperlink>
      <w:r>
        <w:rPr>
          <w:rFonts w:ascii="arial" w:eastAsia="arial" w:hAnsi="arial" w:cs="arial"/>
          <w:color w:val="000000"/>
          <w:sz w:val="20"/>
          <w:lang w:val="en-US" w:eastAsia="en-US" w:bidi="ar-SA"/>
        </w:rPr>
        <w:t xml:space="preserve">. There the plaintiff, the defendant and a friend had been drinking together at two pubs. They drove to the plaintiff's home, then left with the defendant driving and the plaintiff a passenger. An accident followed and the plaintiff was injured. The court said, at paras. 428-429, </w:t>
      </w:r>
      <w:r>
        <w:rPr>
          <w:rFonts w:ascii="arial" w:eastAsia="arial" w:hAnsi="arial" w:cs="arial"/>
          <w:i/>
          <w:color w:val="000000"/>
          <w:sz w:val="20"/>
          <w:lang w:val="en-US" w:eastAsia="en-US" w:bidi="ar-SA"/>
        </w:rPr>
        <w:t>Salm</w:t>
      </w:r>
      <w:r>
        <w:rPr>
          <w:rFonts w:ascii="arial" w:eastAsia="arial" w:hAnsi="arial" w:cs="arial"/>
          <w:color w:val="000000"/>
          <w:sz w:val="20"/>
          <w:lang w:val="en-US" w:eastAsia="en-US" w:bidi="ar-SA"/>
        </w:rPr>
        <w:t xml:space="preserve"> did not apply because the defendant did not reach his own home: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important to note that MacKinnon never arrived home safely, and the chain of foreseeability and causation was never broken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satisfied then that at the time of the accident the Crab Shack and Garfinkel's both owed a duty of care to users of the highway, including MacKinnon's passengers, Holton and Martineau, arising out of MacKinnon's intoxication. That duty was not discharged by the brief stop-over at Holton's residence, or by the fact that Holton had arrived home safely and discharged any duty arising out of his intoxication.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Donaldson v. John Doe</w:t>
      </w:r>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2009 BCCA 38</w:t>
        </w:r>
      </w:hyperlink>
      <w:r>
        <w:rPr>
          <w:rFonts w:ascii="arial" w:eastAsia="arial" w:hAnsi="arial" w:cs="arial"/>
          <w:color w:val="000000"/>
          <w:sz w:val="20"/>
          <w:lang w:val="en-US" w:eastAsia="en-US" w:bidi="ar-SA"/>
        </w:rPr>
        <w:t>, the Court of Appeal stressed the importance of separately analysing and not conflating issues going to the separate concepts of duty of care, standard of care and causation. In that case, the plaintiff and a defendant had both been at a nightclub, which had given out souvenir glass beer mugs. While walking on the street outside the club, the defendant suddenly raised his arm and struck the plaintiff in the face with the beer mug.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trial judge, </w:t>
      </w:r>
      <w:hyperlink r:id="rId370" w:history="1">
        <w:r>
          <w:rPr>
            <w:rFonts w:ascii="arial" w:eastAsia="arial" w:hAnsi="arial" w:cs="arial"/>
            <w:i/>
            <w:color w:val="0077CC"/>
            <w:sz w:val="20"/>
            <w:u w:val="single"/>
            <w:shd w:val="clear" w:color="auto" w:fill="FFFFFF"/>
            <w:lang w:val="en-US" w:eastAsia="en-US" w:bidi="ar-SA"/>
          </w:rPr>
          <w:t>[2007] B.C.J. No. 829</w:t>
        </w:r>
      </w:hyperlink>
      <w:r>
        <w:rPr>
          <w:rFonts w:ascii="arial" w:eastAsia="arial" w:hAnsi="arial" w:cs="arial"/>
          <w:color w:val="000000"/>
          <w:sz w:val="20"/>
          <w:lang w:val="en-US" w:eastAsia="en-US" w:bidi="ar-SA"/>
        </w:rPr>
        <w:t>, dismissed the plaintiff's case against the operators of the nightclub, saying there was no duty because no foreseeable risk of harm had been created. The court of appeal upheld the result but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focussing on how Mr. Donaldson sustained his injury, the parties have conflated the concept of foreseeability in a duty of care analysis, and foreseeability in a standard of care analysis. A similar error was committed by the trial judge. These are two different legal concepts. In determining whether A owes a duty of care to B, foreseeability is a factor with respect to whether the relationship between them warrants imposing such a duty. The question is whether B falls within a class of persons who could reasonably be expected to be harmed by A's conduct. If a duty of care is found to exist, then foreseeability with respect to the specific risk of harm is considered in determining whether A was negligent, i.e., whether there has been a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duty of care that commercial hosts who serve alcohol owe to the general public arises out of the profit making nature of the enterprise and the well-known dangers associated with the product. It is generally foreseeable that intoxicated patrons may, as a direct result of their intoxication, cause injury to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question then becomes one of the standard of care -- whether, in the circumstances of a particular case, the commercial host did what was necessary to fulfill the duty. That inquiry includes the question of the whether the actual circumstances and means of injury were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 plaintiff who proves breach of both the duty and the standard of care must then prove causation - whether the breaches actually caused the injury, which would not have occurred "but for" the negligent conduct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L.J.D. in effect submits that Ms. Boiselle's safe arrival home proves that the standard of care was complied with and/or proves that the chain of causation was broken. In my view, that ignores the highly fact-specific nature of both inquiries. The proposition that L.J.D. puts forward may well be one the properly applies in many, if not most, cases of this kind, but it cannot be treated as a principle of law that applies regardless of any additional facts that may arise in an individual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One such fact in this case, on which I do not have sufficient evidence, is the level of Mr. Goll's intoxication. If L.J.D.'s employees knew or ought to have known that he was as intoxicated as Ms. Boiselle, or nearly so, it may be open to a trial judge to find, on all of the evidence, that allowing her to leave the pub in his company did not meet the standard of care. It may also be open to a trial judge to find that her arrival home with an equally intoxicated person did not amount to a "safe" arrival within the meaning of the authorities and did not break the chain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therefore find myself unable to find the facts necessary to decide this matter on summary trial and the third party's application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N.H.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2"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Ari v. Insurance Corporation of British Columbia, [2013] I.L.R. para. G-2529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Russell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July 22,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S123976</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[2013] I.L.R. para. G-2529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[2013] B.C.J. No. 1600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2013 BCSC 1308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Ufuk Ari Plaintiff v. Insurance Corporation of British Columbia Defendant</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3"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3" w:name="Keywords_13"/>
      <w:bookmarkEnd w:id="93"/>
      <w:r>
        <w:rPr>
          <w:rFonts w:ascii="arial" w:eastAsia="arial" w:hAnsi="arial" w:cs="arial"/>
          <w:b/>
          <w:color w:val="000000"/>
          <w:sz w:val="20"/>
          <w:lang w:val="en-US" w:eastAsia="en-US" w:bidi="ar-SA"/>
        </w:rPr>
        <w:t>Tort — Vicarious liability — Negligent protection of private information — Plaintiff alleged insurer's employee accessed private information without authorization — Plaintiff commenced action, and later amended claim — Insurer sought to have claim dismissed on basis it disclosed no reasonable claim — Court agreed in part — Law is clear that there is no recognized action for negligent breach of statutory duty — However, Court did not strike claim for vicarious liability — Although insurer's argument of insufficient connecting factors weakened plaintiff's case, it was not plain and obvious that the claim failed to disclose a reasonable claim in vicarious liability — Insurer's application allowed in part.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4" w:name="Case Summary_12"/>
            <w:bookmarkEnd w:id="94"/>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defendant insurer brought an application to have the action dismissed on the basis that it disclosed no reasonable claim. The plaintiff alleged, on behalf of himself and a proposed class of persons, that in or about 2010 and 2011, the plaintiff and at least 65 others had their personal information "wilfully and without a claim of right" accessed by an employee of the insurer for an unauthorized purpose. Apparently, many of these people subsequently had their premises, vehicles, and other personal possessions made the target of shootings, arson, and other property damage. In the amended statement of claim, the plaintiff abandoned certain claims--that the employee breached the plaintiff's privacy, that the insurer breached the plaintiff's right to privacy-- and clarified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to argue that the insurer breached various legislation in implementing its duty of care. A claim for vicarious liability also remained in the amended claim.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5" w:name="Holdings of Court_12"/>
            <w:bookmarkEnd w:id="95"/>
            <w:r>
              <w:rPr>
                <w:rFonts w:ascii="arial" w:eastAsia="arial" w:hAnsi="arial" w:cs="arial"/>
                <w:color w:val="000000"/>
                <w:sz w:val="20"/>
                <w:lang w:val="en-US" w:eastAsia="en-US" w:bidi="ar-SA"/>
              </w:rPr>
              <w:t>HELD: The application was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claim in vicarious liability against the insurer was not struck, but the remaining claims were struck. The Court addressed the claim that the insurer was vicariously liable for the acts of its employee in this case. The Court noted that no reported cases determining vicarious liability of an employer for an employee's breach of privacy were presented to it. In examining the precedents with respect to vicarious liability, the Court noted that the issue was whether there was a connection between the employment enterprise and the wrongdoing such that the imposition of vicarious liability for the wrongdoing, considering fair allocation of the consequences of the risk and/or deterrence, was justified. Although the Court agreed with the insurer that the only factor that appeared to exist to establish a sufficiency of connection was the opportunity the insurer's business afforded to the employee to abuse her power, the Court found that it was not plain and obvious that the amended claim failed to disclose a reasonable claim in vicarious liability. Next, the Court held that the clear status of the law in British Columbia is that it does not recognize an action for negligent breach of statutory duty. Therefore, the claim for negligent protection of private information failed to disclose a reasonable claim and was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6" w:name="Counsel_13"/>
      <w:bookmarkEnd w:id="9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4"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G.J. Collette for the plaintiff; R.R. Hira, QC, and M.L. Drouillard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7" w:name="Judgment_13"/>
      <w:bookmarkEnd w:id="97"/>
      <w:r>
        <w:pict>
          <v:line id="_x0000_s1095" style="position:absolute;z-index:2517749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8" w:name="L.D. RUSSELL J."/>
            <w:bookmarkEnd w:id="98"/>
            <w:r>
              <w:rPr>
                <w:rFonts w:ascii="arial" w:eastAsia="arial" w:hAnsi="arial" w:cs="arial"/>
                <w:b/>
                <w:color w:val="000000"/>
                <w:sz w:val="30"/>
                <w:lang w:val="en-US" w:eastAsia="en-US" w:bidi="ar-SA"/>
              </w:rPr>
              <w:t>L.D. RUSSELL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brought by the defendant, the Insurance Corporation of British Columbia ("ICBC"), for the plaintiff's Amended Notice of Civil Claim ("Amended Claim"), to be struck in its entirety on the basis that it fails to disclose a reasonable claim pursuant to R. 9-5(1)(a)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opposes the defendant's application. He asserts that it is not plain and obvious that the Amended Claim discloses no reasonable cause of action that cannot be remedied by a further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Amended Claim is brought on behalf of the plaintiff and on behalf of a proposed class of persons with similar claims pursuant to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 The plaintiff alleges that in or about 2010 and 2011, the plaintiff and at least 65 other individuals had their personal information "wilfully and without a claim of right" accessed by an employee of ICBC (the "Employee") for an unauthorized purpose. Many of those persons subsequently had their premises, vehicles and other personal possessions made the target of shootings, arson and other property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note that the only named defendant in the original Notice of Civil Claim, filed June 1, 2012, and the Amended Claim is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Amended Claim, the plaintiff claims against ICBC for:</w:t>
      </w:r>
      <w:r>
        <w:rPr>
          <w:rFonts w:ascii="arial" w:eastAsia="arial" w:hAnsi="arial" w:cs="arial"/>
          <w:sz w:val="20"/>
          <w:lang w:val="en-US" w:eastAsia="en-US" w:bidi="ar-SA"/>
        </w:rPr>
        <w:cr/>
      </w:r>
    </w:p>
    <w:p>
      <w:pPr>
        <w:numPr>
          <w:numId w:val="1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Damages pursuant to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Damages pursuant to the </w:t>
      </w:r>
      <w:r>
        <w:rPr>
          <w:rFonts w:ascii="arial" w:eastAsia="arial" w:hAnsi="arial" w:cs="arial"/>
          <w:i/>
          <w:color w:val="000000"/>
          <w:sz w:val="20"/>
          <w:lang w:val="en-US" w:eastAsia="en-US" w:bidi="ar-SA"/>
        </w:rPr>
        <w:t>Freedom of Information and Protection of Privacy Act</w:t>
      </w:r>
      <w:r>
        <w:rPr>
          <w:rFonts w:ascii="arial" w:eastAsia="arial" w:hAnsi="arial" w:cs="arial"/>
          <w:color w:val="000000"/>
          <w:sz w:val="20"/>
          <w:lang w:val="en-US" w:eastAsia="en-US" w:bidi="ar-SA"/>
        </w:rPr>
        <w: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Aggravated Damages;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and exemplary damages;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this honourable Court may deem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From my reading of the Amended Claim, the plaintiff alleges that:</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Employee wilfully and without a claim of right breached the plaintiff's right to privacy pursuant to the common law,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373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 and the </w:t>
      </w:r>
      <w:r>
        <w:rPr>
          <w:rFonts w:ascii="arial" w:eastAsia="arial" w:hAnsi="arial" w:cs="arial"/>
          <w:i/>
          <w:color w:val="000000"/>
          <w:sz w:val="20"/>
          <w:lang w:val="en-US" w:eastAsia="en-US" w:bidi="ar-SA"/>
        </w:rPr>
        <w:t>Freedom of Information and Protection of 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165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 for which ICBC is vicariously liable;</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ICBC breached the plaintiff's right to privacy pursuant to the common law,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by failing to secure the plaintiff's private information reasonably or at all;</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Counsel for the plaintiff in his Application Response and opening submissions clarified that the plaintiff alleges the Employee's breach of privacy is actionable under the common law and the </w:t>
      </w:r>
      <w:r>
        <w:rPr>
          <w:rFonts w:ascii="arial" w:eastAsia="arial" w:hAnsi="arial" w:cs="arial"/>
          <w:i/>
          <w:color w:val="000000"/>
          <w:sz w:val="20"/>
          <w:lang w:val="en-US" w:eastAsia="en-US" w:bidi="ar-SA"/>
        </w:rPr>
        <w: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ICBC applies to strike each of these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Counsel for the plaintiff in his Application Response and opening submissions clarified that the plaintiff alleges the Employee's breach of privacy is actionable under the common law and the </w:t>
      </w:r>
      <w:r>
        <w:rPr>
          <w:rFonts w:ascii="arial" w:eastAsia="arial" w:hAnsi="arial" w:cs="arial"/>
          <w:i/>
          <w:color w:val="000000"/>
          <w:sz w:val="20"/>
          <w:lang w:val="en-US" w:eastAsia="en-US" w:bidi="ar-SA"/>
        </w:rPr>
        <w: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He further clarified that the claims against ICBC are only grounded in vicarious liability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This position is different from what is claimed in the Amended Claim. Specifically, the plaintiff abandons the claim that the Employee breached the plaintiff's privacy rights pursuant to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He also abandons the allegation that ICBC breached the plaintiff's right to privacy pursuant to the common law,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by failing to secure the plaintiff's private information reasonably or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ICBC was "clarified" as follows in the Application Response, which says at paragraph 17 under Part 5 "Legal Basis":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a claim for negligent breach of statute; it is a claim for negligently implementing a legislative decree to protect private information ... The claim against ICBC under this aspect of the claim is not for loss arising from the fact it breached the legislation but for negligent acts or omissions done in implementing its legislated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On that latter point, counsel for the plaintiff is referring to a so-called legislated duty of care pursuant to s. 30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Protection of personal information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A public body must protect personal information in its custody or under its control by making reasonable security arrangements against such risks as unauthorized access, collection, use, disclosure or disposal.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argues that the legislature intended for this right to be enforced by way of a civil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will, accordingly, limit my analysis to whether it is plain and obvious, assuming the facts pleaded are true, that the claims against ICBC for:</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vicarious liability; and</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fail to disclose a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 consider the claim that the Employee breached the plaintiff's right to privacy under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abandoned.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 further consider the claim that ICBC breached the plaintiff's right to privacy pursuant to the common law,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abandoned.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have included a brief summary of the alleged incident from which the plaintiff's claims arise to provide context for the pleadings at issue in this application. This background is summarized from the Amended Claim. I note the facts pleaded are rather sparse.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January 2012, the plaintiff was visited by two plain clothes RCMP officers at his home. The officers questioned him about his whereabouts on particular dates in 2010. The officers informed the plaintiff that they were investigating a crime without going into further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received a letter from ICBC dated March 1, 2012. In that letter, ICBC advised that on June 17, 2010, an ICBC employee viewed the plaintiff's personal information "without an apparent business purpose". ICBC further advised the plaintiff that it had notified the RCMP of the unauthorized access on January 12, 2012. The RCMP had advised ICBC that this unauthorized access may be related to an ongoing criminal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No particulars are pleaded in relation to that criminal investigation. The plaintiff vaguely alleges those persons who had their information accessed for an unauthorized purpose were also the victims of targeted shootings, arson and personal property destruction.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Striking of Pleadings for Failure to Disclose a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law with regard to striking pleadings is not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Rule 9-5(1)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Scandalous, frivolous or vexatious matters</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 note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generally apply to proceedings commenced under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(see s.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By applying to strike the pleadings, ICBC anticipates the application for class certification and potentially enjoins it from being brought. By doing so, ICBC bears the burden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test on an application to strike pleadings is whether it is plain and obvious, assuming the facts pleaded are true, that the pleadings disclose no reasonable cause of action: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at para. 17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This test applies to R. 9-5(1): see </w:t>
      </w:r>
      <w:r>
        <w:rPr>
          <w:rFonts w:ascii="arial" w:eastAsia="arial" w:hAnsi="arial" w:cs="arial"/>
          <w:i/>
          <w:color w:val="000000"/>
          <w:sz w:val="20"/>
          <w:lang w:val="en-US" w:eastAsia="en-US" w:bidi="ar-SA"/>
        </w:rPr>
        <w:t>Woolsey v. Dawson Creek (City)</w:t>
      </w:r>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2011 BCSC 751</w:t>
        </w:r>
      </w:hyperlink>
      <w:r>
        <w:rPr>
          <w:rFonts w:ascii="arial" w:eastAsia="arial" w:hAnsi="arial" w:cs="arial"/>
          <w:color w:val="000000"/>
          <w:sz w:val="20"/>
          <w:lang w:val="en-US" w:eastAsia="en-US" w:bidi="ar-SA"/>
        </w:rPr>
        <w:t xml:space="preserve"> at para. 29; </w:t>
      </w:r>
      <w:r>
        <w:rPr>
          <w:rFonts w:ascii="arial" w:eastAsia="arial" w:hAnsi="arial" w:cs="arial"/>
          <w:i/>
          <w:color w:val="000000"/>
          <w:sz w:val="20"/>
          <w:lang w:val="en-US" w:eastAsia="en-US" w:bidi="ar-SA"/>
        </w:rPr>
        <w:t>Callan v. Cooke</w:t>
      </w:r>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2012 BCSC 1589</w:t>
        </w:r>
      </w:hyperlink>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Madam Justice Wilson, writing for the Court, explained that the test for striking a claim is not easily met at para. 980: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ranking with the others listed in Rule 19(24) of the British Columbia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should the relevant portions of a plaintiff's statement of claim be struck out under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[1999] B.C.J. No. 2160</w:t>
        </w:r>
      </w:hyperlink>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1999 CanLII 5860</w:t>
        </w:r>
      </w:hyperlink>
      <w:r>
        <w:rPr>
          <w:rFonts w:ascii="arial" w:eastAsia="arial" w:hAnsi="arial" w:cs="arial"/>
          <w:color w:val="000000"/>
          <w:sz w:val="20"/>
          <w:lang w:val="en-US" w:eastAsia="en-US" w:bidi="ar-SA"/>
        </w:rPr>
        <w:t xml:space="preserve"> (S.C.) at para. 34, Mr. Justice Romilly summarized the test another way. He held that so long as the pleadings disclose a triable issue, either as they exist or as they may be amended, the issue should go to trial. The fact that the case is weak or unlikely to succeed is not a ground for striking the pleadings. His reasons were adopted by the British Columbia Court of Appeal in </w:t>
      </w:r>
      <w:r>
        <w:rPr>
          <w:rFonts w:ascii="arial" w:eastAsia="arial" w:hAnsi="arial" w:cs="arial"/>
          <w:i/>
          <w:color w:val="000000"/>
          <w:sz w:val="20"/>
          <w:lang w:val="en-US" w:eastAsia="en-US" w:bidi="ar-SA"/>
        </w:rPr>
        <w:t>Poirier v. Community Futures Development Corp</w:t>
      </w:r>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2005 BCCA 169</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Chief Justice McLachlin identified the policy rationale for striking pleadings. She found that the power to strike out claims that have no reasonable prospect of success is an essential tool in the promotion of effective and fair litigation. It also promotes efficiency in the conduct of litigation and correct results (paras. 19 - 20). On the other hand, McLachlin C.J.C. noted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Valuable as it is, the motion to strike is a tool that must be used with care. The law is not static and unchanging. Actions that yesterday were deemed hopeless may tomorrow succeed. Before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xml:space="preserve">, [1932] A.C. 562 (H.L.) introduced a general duty of care to one's neighbour premised on foreseeability, few would have predicted that, absent a contractual relationship, a bottling company could be held liable for physical injury and emotional trauma resulting from a snail in a bottle of ginger beer. Before </w:t>
      </w:r>
      <w:r>
        <w:rPr>
          <w:rFonts w:ascii="arial" w:eastAsia="arial" w:hAnsi="arial" w:cs="arial"/>
          <w:i/>
          <w:color w:val="000000"/>
          <w:sz w:val="20"/>
          <w:lang w:val="en-US" w:eastAsia="en-US" w:bidi="ar-SA"/>
        </w:rPr>
        <w:t>Hedley Byrne &amp; Co. v. Heller &amp; Partners, Ltd.</w:t>
      </w:r>
      <w:r>
        <w:rPr>
          <w:rFonts w:ascii="arial" w:eastAsia="arial" w:hAnsi="arial" w:cs="arial"/>
          <w:color w:val="000000"/>
          <w:sz w:val="20"/>
          <w:lang w:val="en-US" w:eastAsia="en-US" w:bidi="ar-SA"/>
        </w:rPr>
        <w:t xml:space="preserve">, [1963] 2 All E.R. 575 (H.L.), a tort action for negligent misstatement would have been regarded as incapable of success. The history of our law reveals that often new developments in the law first surface on motions to strike or similar preliminary motions, like the one at issue in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xml:space="preserve"> Therefore, on a motion to strike, it is not determinative that the law has not yet recognized the particular claim. The court must rather ask whether, assuming the facts pleaded are true, there is a reasonable prospect that the claim will succeed. The approach must be generous and err on the side of permitting a novel but arguable claim to proceed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ICBC takes the position that neither it nor the Employee breached the privacy of the respondent. ICBC argues that it did not commit an intentional act giving rise to a breach of privacy. ICBC further submits that the Employee's acts were not deliberate, significant or highly offensive so as to give rise to a breach of privacy.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ICBC suggests the plaintiff conflates the actions under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 common law tort of privacy; each is a separate cause of action. In supplemental written argument, with no objection raised by plaintiff's counsel, ICBC submits that the common law tort of breach of privacy does not exist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Viewed objectively, the plaintiff's name and residential address enjoy a lesser degree of privacy in comparison to, as an example, confidential banking records, referring to the circumstances in </w:t>
      </w:r>
      <w:r>
        <w:rPr>
          <w:rFonts w:ascii="arial" w:eastAsia="arial" w:hAnsi="arial" w:cs="arial"/>
          <w:i/>
          <w:color w:val="000000"/>
          <w:sz w:val="20"/>
          <w:lang w:val="en-US" w:eastAsia="en-US" w:bidi="ar-SA"/>
        </w:rPr>
        <w:t>Jones v. Tsige</w:t>
      </w:r>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2012 ONCA 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Jones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Jones</w:t>
      </w:r>
      <w:r>
        <w:rPr>
          <w:rFonts w:ascii="arial" w:eastAsia="arial" w:hAnsi="arial" w:cs="arial"/>
          <w:color w:val="000000"/>
          <w:sz w:val="20"/>
          <w:lang w:val="en-US" w:eastAsia="en-US" w:bidi="ar-SA"/>
        </w:rPr>
        <w:t xml:space="preserve"> affirmed the existence of a common law cause of action for breach of privacy in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any event, ICBC submits that the only proposed class members who would possibly be entitled to relief would be those that suffered property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allegation that ICBC failed to secure private information reasonably or at all must also fail because breach of privacy is an intentional tort. Pursuant to the common law and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some type of act must violate the privacy of another in order to constitute an actionable tort; that act must be wilful and intentional. (The plaintiff abandoned this allegation in the Application Response, as noted above. All the same, I note this argument from ICBC for the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ICBC submits that it is not vicariously liable for the Employee's acts because there is no required policy rationale for imposing vicarious liability if the plaintiff already has a remedy pursuant to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ICBC alleges, is a comprehensive statutory scheme that provides for its own complaint procedures and remedies in relation to the protection and disclosure of personal information, thereby fulfilling the remedial and deterrence objectives of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ICBC argues there are no cases that determine the vicarious liability of an employer for breach of privacy. The factors for determining whether there is a significant connection between the creation or enhancement of a risk by an employer and the wrong that occurred also weigh against a finding of vicarious liability. Significantly, the policy reasons that found the doctrine of vicarious liability (providing a just and practical remedy and deterrence of future harm) are not engaged by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ICBC argues that the allegation of "negligent protection of personal information" is a novel cause of action. It is not actionable under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Nor does it satisfy the elements of the test for finding a duty of care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Finally, even if ICBC did owe a duty of care to the class members, the plaintiff has not adequately pleaded causation 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responds by arguing that it is not plain and obvious that the Amended Claim discloses no reasonable cause of action that cannot be remedied by further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plaintiff alleges that the Employee's breach of privacy is actionable under the common law and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that ICBC is vicariously liable for the unauthorized acts of the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Furthermore, the plaintiff submits ICBC owes a duty of care to the plaintiff and proposed class members to implement reasonable security arrangements to protect their private information. ICBC negligently failed to implement reasonable security arrangements to address the risk of unauthorized access, use and disclosure of the proposed class' personal information within its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With regard to the allegation of breach of privacy against the Employee, the plaintiff notes that the tort of invasion of privacy is not a novel cause of action: it has been recognized as an independent cause of action in Ontario and Nova Scotia. That action requires proof on a balance of probabilities that (i) the conduct was intentional; (ii) there must have been an invasion, without lawful justification, of private affairs or concerns; and (iii) a reasonable person would regard the invasion as highly offensive causing distress, humiliation or anguish. Counsel for the plaintiff submits that "proof of harm to an economic interest" is not an element of the cause of action. The plaintiff argues that while the personal information accessed by the Employee may not be as personal as found in </w:t>
      </w:r>
      <w:r>
        <w:rPr>
          <w:rFonts w:ascii="arial" w:eastAsia="arial" w:hAnsi="arial" w:cs="arial"/>
          <w:i/>
          <w:color w:val="000000"/>
          <w:sz w:val="20"/>
          <w:lang w:val="en-US" w:eastAsia="en-US" w:bidi="ar-SA"/>
        </w:rPr>
        <w:t>Jones</w:t>
      </w:r>
      <w:r>
        <w:rPr>
          <w:rFonts w:ascii="arial" w:eastAsia="arial" w:hAnsi="arial" w:cs="arial"/>
          <w:color w:val="000000"/>
          <w:sz w:val="20"/>
          <w:lang w:val="en-US" w:eastAsia="en-US" w:bidi="ar-SA"/>
        </w:rPr>
        <w:t>, the use of the illegally obtained information was highly offensive, causing distress, humiliation and anguish and 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maintains the claim in vicarious liability is a "merits-based" argument which ought to not be determined on an application to strike pleadings. Sufficient particulars have been pleaded such that it should not be struck. Permitting an employee to have ready-access to the personal information of a large number of individuals enhances the chances of invasion of privacy. The plaintiff alleges: "ICBC's enterprise and empowerment of the employee materially increased the risk of the harm that was done." ICBC should bear this loss, serving the policy goals of fair and effective compensation and deterrence of future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plaintiff also claims that ICBC has negligently failed to implement a legislative decree, found under s. 30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which provides that a public body must protect personal information in its custody or under its control by making reasonable security arrangements against such risks as unauthorized access, collection, use, disclosure or disposal. The plaintiff clarifies that it is not a claim for negligent breach of statute. As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does not provide any specific penalty or mechanism of enforcement for the duty established under s. 30, the court must infer that the legislature intended the right to be enforced by civil action. If the cause of action is novel, the viability of the claim will rest on the duty of care analysis. The plaintiff submits that there are no policy considerations to limit the Court from finding a duty of care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plaintiff argues that to find otherwise would leave the proposed class without any remedy for the "extensive damages" they have suffered as a result of ICBC's negligent implementation of the protections mandated under s. 30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finally submits that damage need not be pleaded as it is not an element of the tort of breach of privacy. In any event, the Amended Claim has particularized that many of the proposed class members had their premises, vehicles and other personal possessions made the target of shootings, arson and other property damage. This particularization, the plaintiff suggests, is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will begin by considering the allegation that ICBC is vicariously liable for the unauthorized acts of the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order to determine whether the Amended Claim discloses a reasonable claim for vicarious liability, I must first examine whether the pleadings disclose a reasonable claim against the Employee. The claims alleged against the Employee in the Amended Claim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The Employee, wilfully and without claim of right, breached the Plaintiff's right to privacy pursuant to the common law, the </w:t>
      </w:r>
      <w:r>
        <w:rPr>
          <w:rFonts w:ascii="arial" w:eastAsia="arial" w:hAnsi="arial" w:cs="arial"/>
          <w:i/>
          <w:color w:val="000000"/>
          <w:sz w:val="20"/>
          <w:u w:val="single"/>
          <w:lang w:val="en-US" w:eastAsia="en-US" w:bidi="ar-SA"/>
        </w:rPr>
        <w:t>Privacy</w:t>
      </w:r>
      <w:r>
        <w:rPr>
          <w:rFonts w:ascii="arial" w:eastAsia="arial" w:hAnsi="arial" w:cs="arial"/>
          <w:i/>
          <w:color w:val="000000"/>
          <w:sz w:val="20"/>
          <w:u w:val="single"/>
          <w:lang w:val="en-US" w:eastAsia="en-US" w:bidi="ar-SA"/>
        </w:rPr>
        <w:t>Act</w:t>
      </w:r>
      <w:r>
        <w:rPr>
          <w:rFonts w:ascii="arial" w:eastAsia="arial" w:hAnsi="arial" w:cs="arial"/>
          <w:color w:val="000000"/>
          <w:sz w:val="20"/>
          <w:u w:val="single"/>
          <w:lang w:val="en-US" w:eastAsia="en-US" w:bidi="ar-SA"/>
        </w:rPr>
        <w:t xml:space="preserve">, R.S.B.C. 1996, c. [373] and the </w:t>
      </w:r>
      <w:r>
        <w:rPr>
          <w:rFonts w:ascii="arial" w:eastAsia="arial" w:hAnsi="arial" w:cs="arial"/>
          <w:i/>
          <w:color w:val="000000"/>
          <w:sz w:val="20"/>
          <w:u w:val="single"/>
          <w:lang w:val="en-US" w:eastAsia="en-US" w:bidi="ar-SA"/>
        </w:rPr>
        <w:t>Freedom of Information and Protection of Privacy Act</w:t>
      </w:r>
      <w:r>
        <w:rPr>
          <w:rFonts w:ascii="arial" w:eastAsia="arial" w:hAnsi="arial" w:cs="arial"/>
          <w:color w:val="000000"/>
          <w:sz w:val="20"/>
          <w:u w:val="single"/>
          <w:lang w:val="en-US" w:eastAsia="en-US" w:bidi="ar-SA"/>
        </w:rPr>
        <w:t xml:space="preserve">, </w:t>
      </w:r>
      <w:r>
        <w:rPr>
          <w:rFonts w:ascii="arial" w:eastAsia="arial" w:hAnsi="arial" w:cs="arial"/>
          <w:i/>
          <w:color w:val="000000"/>
          <w:sz w:val="20"/>
          <w:u w:val="single"/>
          <w:lang w:val="en-US" w:eastAsia="en-US" w:bidi="ar-SA"/>
        </w:rPr>
        <w:t>R.S.B.C. 1996, c. 165</w:t>
      </w:r>
      <w:r>
        <w:rPr>
          <w:rFonts w:ascii="arial" w:eastAsia="arial" w:hAnsi="arial" w:cs="arial"/>
          <w:color w:val="000000"/>
          <w:sz w:val="20"/>
          <w:u w:val="single"/>
          <w:lang w:val="en-US" w:eastAsia="en-US" w:bidi="ar-SA"/>
        </w:rPr>
        <w:t>.</w:t>
      </w:r>
      <w:r>
        <w:rPr>
          <w:rFonts w:ascii="arial" w:eastAsia="arial" w:hAnsi="arial" w:cs="arial"/>
          <w:color w:val="000000"/>
          <w:sz w:val="20"/>
          <w:lang w:val="en-US" w:eastAsia="en-US" w:bidi="ar-SA"/>
        </w:rPr>
        <w:t xml:space="preserve"> At all material times hereto, the Defendant was the employer of individuals </w:t>
      </w:r>
      <w:r>
        <w:rPr>
          <w:rFonts w:ascii="arial" w:eastAsia="arial" w:hAnsi="arial" w:cs="arial"/>
          <w:color w:val="000000"/>
          <w:sz w:val="20"/>
          <w:u w:val="single"/>
          <w:lang w:val="en-US" w:eastAsia="en-US" w:bidi="ar-SA"/>
        </w:rPr>
        <w:t>the Employee</w:t>
      </w:r>
      <w:r>
        <w:rPr>
          <w:rFonts w:ascii="arial" w:eastAsia="arial" w:hAnsi="arial" w:cs="arial"/>
          <w:color w:val="000000"/>
          <w:sz w:val="20"/>
          <w:lang w:val="en-US" w:eastAsia="en-US" w:bidi="ar-SA"/>
        </w:rPr>
        <w:t xml:space="preserve"> who, </w:t>
      </w:r>
      <w:r>
        <w:rPr>
          <w:rFonts w:ascii="arial" w:eastAsia="arial" w:hAnsi="arial" w:cs="arial"/>
          <w:color w:val="000000"/>
          <w:sz w:val="20"/>
          <w:u w:val="single"/>
          <w:lang w:val="en-US" w:eastAsia="en-US" w:bidi="ar-SA"/>
        </w:rPr>
        <w:t>as a function of her employment duties</w:t>
      </w:r>
      <w:r>
        <w:rPr>
          <w:rFonts w:ascii="arial" w:eastAsia="arial" w:hAnsi="arial" w:cs="arial"/>
          <w:color w:val="000000"/>
          <w:sz w:val="20"/>
          <w:lang w:val="en-US" w:eastAsia="en-US" w:bidi="ar-SA"/>
        </w:rPr>
        <w:t xml:space="preserve">, had access to its data bases containing the private information of its customers including the Plaintiff, and is therefore vicariously liable for the breaches of privacy committed by it's </w:t>
      </w:r>
      <w:r>
        <w:rPr>
          <w:rFonts w:ascii="arial" w:eastAsia="arial" w:hAnsi="arial" w:cs="arial"/>
          <w:color w:val="000000"/>
          <w:sz w:val="20"/>
          <w:u w:val="single"/>
          <w:lang w:val="en-US" w:eastAsia="en-US" w:bidi="ar-SA"/>
        </w:rPr>
        <w:t>the</w:t>
      </w:r>
      <w:r>
        <w:rPr>
          <w:rFonts w:ascii="arial" w:eastAsia="arial" w:hAnsi="arial" w:cs="arial"/>
          <w:color w:val="000000"/>
          <w:sz w:val="20"/>
          <w:lang w:val="en-US" w:eastAsia="en-US" w:bidi="ar-SA"/>
        </w:rPr>
        <w:t xml:space="preserve"> Employee or agents, while employed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As stated above, I consider the claim against the Employee for breach of privacy pursuant to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abandoned.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 </w:t>
      </w:r>
      <w:r>
        <w:rPr>
          <w:rFonts w:ascii="arial" w:eastAsia="arial" w:hAnsi="arial" w:cs="arial"/>
          <w:color w:val="000000"/>
          <w:sz w:val="20"/>
          <w:u w:val="single"/>
          <w:lang w:val="en-US" w:eastAsia="en-US" w:bidi="ar-SA"/>
        </w:rPr>
        <w:t xml:space="preserve">Breach of Privacy pursuant to the </w:t>
      </w:r>
      <w:r>
        <w:rPr>
          <w:rFonts w:ascii="arial" w:eastAsia="arial" w:hAnsi="arial" w:cs="arial"/>
          <w:i/>
          <w:color w:val="000000"/>
          <w:sz w:val="20"/>
          <w:u w:val="single"/>
          <w:lang w:val="en-US" w:eastAsia="en-US" w:bidi="ar-SA"/>
        </w:rPr>
        <w: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Amended Claim alleges that the Employee wilfully and without a claim of right breached the plaintiff's right to privacy pursuant to the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At the outset, I must note that the plaintiff does not anywhere in his Application Response engage with the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that give rise to the statutory cause of action for breach of privacy. Instead, he refers generally to the elements of proof for the common law cause of action for breach of privacy in his discussion of the Employee's alleged breach of the plaintiff's privacy. As expressed by the applicant, plaintiff's counsel has conflated the common law cause of action with the statutory cause of action for violation of privacy. Despite these deficiencies in argument, I will go through the elements of the statutory cause of action for violation of privacy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Subsection 1(1)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establishes a statutory cause of action for violation of privacy. Subsections 1(2)-(4) circumscribe the scope of that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Section 1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Violation of privacy actionable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(1) It is a tort, actionable without proof of damage, for a person, wilfully and without a claim of right, to violate the privacy of another.</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degree of privacy to which a person is entitled in a situation or in relation to a matter is that which is reasonable in the circumstances, giving due regard to the lawful interests of others.</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the act or conduct of a person is a violation of another's privacy, regard must be given to the nature, incidence and occasion of the act or conduct and to any domestic or other relationship between the parties.</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subsections (1) to (3), privacy may be violated by eavesdropping or surveillance, whether or not accomplished by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Relevant exceptions are laid out under s. 2(2):</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 or conduct is not a violation of privacy if any of the following applies: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consented to by some person entitled to consent;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 or conduct was incidental to the exercise of a lawful right of defence of person or property;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(c) the act or conduct was authorized or required under a law in force in British Columbia, by a court or by any process of a court;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 or conduct was that of</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peace officer acting in the course of his or her duty to prevent, discover or investigate crime or to discover or apprehend the perpetrators of a crime, or</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public officer engaged in an investigation in the course of his or her duty under a law in force in British Columbia,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was neither disproportionate to the gravity of the crime or matter subject to investigation nor committed in the course of a trespass.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Hollinsworth v. BCTV</w:t>
      </w:r>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(1998), 59 B.C.L.R. (3d) 121</w:t>
        </w:r>
      </w:hyperlink>
      <w:r>
        <w:rPr>
          <w:rFonts w:ascii="arial" w:eastAsia="arial" w:hAnsi="arial" w:cs="arial"/>
          <w:color w:val="000000"/>
          <w:sz w:val="20"/>
          <w:lang w:val="en-US" w:eastAsia="en-US" w:bidi="ar-SA"/>
        </w:rPr>
        <w:t xml:space="preserve"> (C.A.) at para. 29, the British Columbia Court of Appeal defined "wilfully" under s. 1(1)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as "an intention to do an act which the person doing the act knew or should have known would violate the privacy of another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court then explained the meaning of "without a claim of right" at para.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move now to the phrase, "without a claim of right". I adopt the meaning given by Mr. Justice Seaton to that very phrase, "without a claim of right" in </w:t>
      </w:r>
      <w:r>
        <w:rPr>
          <w:rFonts w:ascii="arial" w:eastAsia="arial" w:hAnsi="arial" w:cs="arial"/>
          <w:i/>
          <w:color w:val="000000"/>
          <w:sz w:val="20"/>
          <w:lang w:val="en-US" w:eastAsia="en-US" w:bidi="ar-SA"/>
        </w:rPr>
        <w:t>Davis v. McArthur</w:t>
      </w:r>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(1969), 10 D.L.R. (3d) 250</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an honest belief in a state of facts which, if it existed, would be a legal justification or excuse....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Subsection 1(2)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instructs that the right to privacy is not absolute. Factors to be considered are set out under s. 1(3) -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Assuming the facts pleaded to be true, it is not plain and obvious that there is no reasonable claim in breach of privacy against the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While the Employee was authorized to access the plaintiff's personal information, the purpose for which the access was exercised was unauthorized.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 potential weakness in this claim may lie in the degree of privacy the plaintiff and other class members were entitled to in these circumstances, based on the nature of the information shared with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On the other hand, the alleged number of persons subjected to this privacy violation and the alleged criminal purpose for the breach, if accepted as true, strengthen the claim against the Employee for breach of privacy pursuant to s. 1(3)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Any potential liability for ICBC would arise under the doctrine of vicarious liability.</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Breach of Privacy pursuant to the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Amended Claim alleges the Employee wilfully and without a claim of right breached the plaintiff's right to privacy pursuant to the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There is no common law tort of invasion or breach of privacy in British Columbia: </w:t>
      </w:r>
      <w:r>
        <w:rPr>
          <w:rFonts w:ascii="arial" w:eastAsia="arial" w:hAnsi="arial" w:cs="arial"/>
          <w:i/>
          <w:color w:val="000000"/>
          <w:sz w:val="20"/>
          <w:lang w:val="en-US" w:eastAsia="en-US" w:bidi="ar-SA"/>
        </w:rPr>
        <w:t xml:space="preserve"> Hung v. Gardiner</w:t>
      </w:r>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2002 BCSC 1234</w:t>
        </w:r>
      </w:hyperlink>
      <w:r>
        <w:rPr>
          <w:rFonts w:ascii="arial" w:eastAsia="arial" w:hAnsi="arial" w:cs="arial"/>
          <w:color w:val="000000"/>
          <w:sz w:val="20"/>
          <w:lang w:val="en-US" w:eastAsia="en-US" w:bidi="ar-SA"/>
        </w:rPr>
        <w:t xml:space="preserve"> (affirmed </w:t>
      </w:r>
      <w:hyperlink r:id="rId388" w:history="1">
        <w:r>
          <w:rPr>
            <w:rFonts w:ascii="arial" w:eastAsia="arial" w:hAnsi="arial" w:cs="arial"/>
            <w:i/>
            <w:color w:val="0077CC"/>
            <w:sz w:val="20"/>
            <w:u w:val="single"/>
            <w:shd w:val="clear" w:color="auto" w:fill="FFFFFF"/>
            <w:lang w:val="en-US" w:eastAsia="en-US" w:bidi="ar-SA"/>
          </w:rPr>
          <w:t>2003 BCCA 257</w:t>
        </w:r>
      </w:hyperlink>
      <w:r>
        <w:rPr>
          <w:rFonts w:ascii="arial" w:eastAsia="arial" w:hAnsi="arial" w:cs="arial"/>
          <w:color w:val="000000"/>
          <w:sz w:val="20"/>
          <w:lang w:val="en-US" w:eastAsia="en-US" w:bidi="ar-SA"/>
        </w:rPr>
        <w:t xml:space="preserve">) at para. 110; </w:t>
      </w:r>
      <w:r>
        <w:rPr>
          <w:rFonts w:ascii="arial" w:eastAsia="arial" w:hAnsi="arial" w:cs="arial"/>
          <w:i/>
          <w:color w:val="000000"/>
          <w:sz w:val="20"/>
          <w:lang w:val="en-US" w:eastAsia="en-US" w:bidi="ar-SA"/>
        </w:rPr>
        <w:t>Bracken v. Vancouver Police Board</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2006 BCSC 189</w:t>
        </w:r>
      </w:hyperlink>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This status of the law was most recently affirmed by Mr. Justice Ball in </w:t>
      </w:r>
      <w:r>
        <w:rPr>
          <w:rFonts w:ascii="arial" w:eastAsia="arial" w:hAnsi="arial" w:cs="arial"/>
          <w:i/>
          <w:color w:val="000000"/>
          <w:sz w:val="20"/>
          <w:lang w:val="en-US" w:eastAsia="en-US" w:bidi="ar-SA"/>
        </w:rPr>
        <w:t>Demcak v. Vo</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2013 BCSC 899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The issue which arises from these allegations is whether there is a tort for breach of privacy in British Columbia. No common law tort of invasion or breach of privacy exists in British Columbia: </w:t>
      </w:r>
      <w:r>
        <w:rPr>
          <w:rFonts w:ascii="arial" w:eastAsia="arial" w:hAnsi="arial" w:cs="arial"/>
          <w:i/>
          <w:color w:val="000000"/>
          <w:sz w:val="20"/>
          <w:lang w:val="en-US" w:eastAsia="en-US" w:bidi="ar-SA"/>
        </w:rPr>
        <w:t>Hung v. Gardiner</w:t>
      </w:r>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2002 BCSC 1234</w:t>
        </w:r>
      </w:hyperlink>
      <w:r>
        <w:rPr>
          <w:rFonts w:ascii="arial" w:eastAsia="arial" w:hAnsi="arial" w:cs="arial"/>
          <w:color w:val="000000"/>
          <w:sz w:val="20"/>
          <w:lang w:val="en-US" w:eastAsia="en-US" w:bidi="ar-SA"/>
        </w:rPr>
        <w:t xml:space="preserve"> at para. 110 aff'd </w:t>
      </w:r>
      <w:hyperlink r:id="rId388" w:history="1">
        <w:r>
          <w:rPr>
            <w:rFonts w:ascii="arial" w:eastAsia="arial" w:hAnsi="arial" w:cs="arial"/>
            <w:i/>
            <w:color w:val="0077CC"/>
            <w:sz w:val="20"/>
            <w:u w:val="single"/>
            <w:shd w:val="clear" w:color="auto" w:fill="FFFFFF"/>
            <w:lang w:val="en-US" w:eastAsia="en-US" w:bidi="ar-SA"/>
          </w:rPr>
          <w:t>2003 BCCA 257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Bracken v. Vancouver Police Board</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2006 BCSC 189</w:t>
        </w:r>
      </w:hyperlink>
      <w:r>
        <w:rPr>
          <w:rFonts w:ascii="arial" w:eastAsia="arial" w:hAnsi="arial" w:cs="arial"/>
          <w:color w:val="000000"/>
          <w:sz w:val="20"/>
          <w:lang w:val="en-US" w:eastAsia="en-US" w:bidi="ar-SA"/>
        </w:rPr>
        <w:t xml:space="preserve"> at para. 28. The plaintiffs are not represented by counsel, and notwithstanding they appear to have received legal advice, the claim as filed is ill founded.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Given the clear status of the law in British Columbia that the tort for invasion of privacy does not exist, it is "plain and obvious" that the claim for common law breach of privacy fails to disclose a reasonable claim. This claim will be struck.</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Does the Amended Claim Disclose a Reasonable Claim in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 now turn to examine whether it is plain and obvious, assuming the facts pleaded are true, that the pleadings fail to disclose a reasonable cause of action in vicarious liability against ICBC with regard to the claim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against the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note that no issue was raised with respect to the plaintiff's failure to name the Employee as a defendant. This issue has been addressed in other jurisdictions in favour of the plaintiff (</w:t>
      </w:r>
      <w:r>
        <w:rPr>
          <w:rFonts w:ascii="arial" w:eastAsia="arial" w:hAnsi="arial" w:cs="arial"/>
          <w:i/>
          <w:color w:val="000000"/>
          <w:sz w:val="20"/>
          <w:lang w:val="en-US" w:eastAsia="en-US" w:bidi="ar-SA"/>
        </w:rPr>
        <w:t>Deciantis v. Toronto (City) Police Services Board</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[2001] O.J. No. 2615</w:t>
        </w:r>
      </w:hyperlink>
      <w:r>
        <w:rPr>
          <w:rFonts w:ascii="arial" w:eastAsia="arial" w:hAnsi="arial" w:cs="arial"/>
          <w:color w:val="000000"/>
          <w:sz w:val="20"/>
          <w:lang w:val="en-US" w:eastAsia="en-US" w:bidi="ar-SA"/>
        </w:rPr>
        <w:t xml:space="preserve"> (S.C.) at para. 9; </w:t>
      </w:r>
      <w:r>
        <w:rPr>
          <w:rFonts w:ascii="arial" w:eastAsia="arial" w:hAnsi="arial" w:cs="arial"/>
          <w:i/>
          <w:color w:val="000000"/>
          <w:sz w:val="20"/>
          <w:lang w:val="en-US" w:eastAsia="en-US" w:bidi="ar-SA"/>
        </w:rPr>
        <w:t>Jaman Estate v. Hussain</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(2000), 146 Man. R. (2d) 156</w:t>
        </w:r>
      </w:hyperlink>
      <w:r>
        <w:rPr>
          <w:rFonts w:ascii="arial" w:eastAsia="arial" w:hAnsi="arial" w:cs="arial"/>
          <w:color w:val="000000"/>
          <w:sz w:val="20"/>
          <w:lang w:val="en-US" w:eastAsia="en-US" w:bidi="ar-SA"/>
        </w:rPr>
        <w:t xml:space="preserve"> (Q.B.) at para. 8). I decline to make any findings on this particular issue. I am satisfied that this point was never raised by the parties and is therefore conceded.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An employer is vicariously liable for (1) employee acts authorized by the employer or (2) unauthorized acts so connected with the authorized acts that they may be regarded as modes of doing an authorized act. This is referred to as the "Salmond test" (referring to the Salmond and Heuston text, </w:t>
      </w:r>
      <w:r>
        <w:rPr>
          <w:rFonts w:ascii="arial" w:eastAsia="arial" w:hAnsi="arial" w:cs="arial"/>
          <w:i/>
          <w:color w:val="000000"/>
          <w:sz w:val="20"/>
          <w:lang w:val="en-US" w:eastAsia="en-US" w:bidi="ar-SA"/>
        </w:rPr>
        <w:t>The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Law of Torts</w:t>
      </w:r>
      <w:r>
        <w:rPr>
          <w:rFonts w:ascii="arial" w:eastAsia="arial" w:hAnsi="arial" w:cs="arial"/>
          <w:color w:val="000000"/>
          <w:sz w:val="20"/>
          <w:lang w:val="en-US" w:eastAsia="en-US" w:bidi="ar-SA"/>
        </w:rPr>
        <w:t xml:space="preserve">, 19th ed. (London: Sweet &amp; Maxwell, 1987)) and was upheld in </w:t>
      </w:r>
      <w:r>
        <w:rPr>
          <w:rFonts w:ascii="arial" w:eastAsia="arial" w:hAnsi="arial" w:cs="arial"/>
          <w:i/>
          <w:color w:val="000000"/>
          <w:sz w:val="20"/>
          <w:lang w:val="en-US" w:eastAsia="en-US" w:bidi="ar-SA"/>
        </w:rPr>
        <w:t>Bazley v. Curry</w:t>
      </w:r>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[1999] 2 S.C.R. 534</w:t>
        </w:r>
      </w:hyperlink>
      <w:r>
        <w:rPr>
          <w:rFonts w:ascii="arial" w:eastAsia="arial" w:hAnsi="arial" w:cs="arial"/>
          <w:color w:val="000000"/>
          <w:sz w:val="20"/>
          <w:lang w:val="en-US" w:eastAsia="en-US" w:bidi="ar-SA"/>
        </w:rPr>
        <w:t xml:space="preserve"> at para. 10 (</w:t>
      </w:r>
      <w:r>
        <w:rPr>
          <w:rFonts w:ascii="arial" w:eastAsia="arial" w:hAnsi="arial" w:cs="arial"/>
          <w:i/>
          <w:color w:val="000000"/>
          <w:sz w:val="20"/>
          <w:lang w:val="en-US" w:eastAsia="en-US" w:bidi="ar-SA"/>
        </w:rPr>
        <w:t>Bazley</w:t>
      </w:r>
      <w:r>
        <w:rPr>
          <w:rFonts w:ascii="arial" w:eastAsia="arial" w:hAnsi="arial" w:cs="arial"/>
          <w:color w:val="000000"/>
          <w:sz w:val="20"/>
          <w:lang w:val="en-US" w:eastAsia="en-US" w:bidi="ar-SA"/>
        </w:rPr>
        <w:t>). In other words, vicarious liability is a strict form of liability for employers.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 has alleged the violation of his privacy was an unauthorized act, engaging the second branch of the Salmond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Bazley</w:t>
      </w:r>
      <w:r>
        <w:rPr>
          <w:rFonts w:ascii="arial" w:eastAsia="arial" w:hAnsi="arial" w:cs="arial"/>
          <w:color w:val="000000"/>
          <w:sz w:val="20"/>
          <w:lang w:val="en-US" w:eastAsia="en-US" w:bidi="ar-SA"/>
        </w:rPr>
        <w:t xml:space="preserve"> outlined a two-part approach for determining whether vicarious liability should be imposed in circumstances of an unauthorized act (para. 15). First, a court should determine whether there are precedents that "unambiguously" determine whether the facts give rise to vicarious liability. If no precedents exist, the court must then determine whether vicarious liability should be imposed in light of the broader policy rationales behind strict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With regard to the first part, the Court noted that generally three categories exist for precedents where vicarious liability has been found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(1) cases based on the rationale of "furtherance of the employer's aims"; (2) cases based on the employer's creation of a situation of friction; and (3) the dishonest employee cases. If we can find a common thread among these three categories of cases, it may suggest how the test should be interpreted.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After surveying the case law, the Court identified one unifying principle for the outcome of those decisions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Yet with the benefit of hindsight it is possible to posit one common feature: in each case it can be said that the employer's enterprise had created the risk that produced the tortious act. The language of "furtherance of the employer's aims" and the employer's creation of "a situation of friction" may be seen as limited formulations of the concept of enterprise risk that underlies the dishonest employee cases. The common theme resides in the idea that where the employee's conduct is closely tied to a risk that the employer's enterprise has placed in the community, the employer may justly be held vicariously liable for the employee's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applicant submits "[t]here are no reported cases which determine the vicarious liability of an employer for an employee's breach of privacy." No cases were brought to my attention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 am satisfied that no precedents "unambiguously" determine whether vicarious liability should apply. However, as a word of caution, I observe the comment of Lewis Klar in his text </w:t>
      </w:r>
      <w:r>
        <w:rPr>
          <w:rFonts w:ascii="arial" w:eastAsia="arial" w:hAnsi="arial" w:cs="arial"/>
          <w:i/>
          <w:color w:val="000000"/>
          <w:sz w:val="20"/>
          <w:lang w:val="en-US" w:eastAsia="en-US" w:bidi="ar-SA"/>
        </w:rPr>
        <w:t>Tort Law</w:t>
      </w:r>
      <w:r>
        <w:rPr>
          <w:rFonts w:ascii="arial" w:eastAsia="arial" w:hAnsi="arial" w:cs="arial"/>
          <w:color w:val="000000"/>
          <w:sz w:val="20"/>
          <w:lang w:val="en-US" w:eastAsia="en-US" w:bidi="ar-SA"/>
        </w:rPr>
        <w:t>, 5th ed. (Toronto: Carswell, 2012) at 682 that vicarious liability has generally been rejected for cases of intentional and deliberate wrongdoing.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Turning to policy considerations, I note the Court in </w:t>
      </w:r>
      <w:r>
        <w:rPr>
          <w:rFonts w:ascii="arial" w:eastAsia="arial" w:hAnsi="arial" w:cs="arial"/>
          <w:i/>
          <w:color w:val="000000"/>
          <w:sz w:val="20"/>
          <w:lang w:val="en-US" w:eastAsia="en-US" w:bidi="ar-SA"/>
        </w:rPr>
        <w:t>Bazley</w:t>
      </w:r>
      <w:r>
        <w:rPr>
          <w:rFonts w:ascii="arial" w:eastAsia="arial" w:hAnsi="arial" w:cs="arial"/>
          <w:color w:val="000000"/>
          <w:sz w:val="20"/>
          <w:lang w:val="en-US" w:eastAsia="en-US" w:bidi="ar-SA"/>
        </w:rPr>
        <w:t xml:space="preserve"> instructed the policy purposes underlying the imposition of vicarious liability are only served when the wrong is so connected with the employment that it can be said the employer has introduced the risk of the wrong. The question that must be posed is as follows "whether there is a connection or nexus between the employment enterprise and that wrong that justifies imposition of vicarious liability on the employer for the wrong, in terms of fair allocation of the consequences of the risk and/or deterrence" (para.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Court further instructed that when case precedent is inconclusive, the courts should be guided by the following principles in considering the policy rationale for applying vicarious liability at para. 41:</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should openly confront the question of whether liability should lie against the employer, rather than obscuring the decision beneath semantic discussions of "scope of employment" and "mode of conduct".</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fundamental question is whether the wrongful act is </w:t>
      </w:r>
      <w:r>
        <w:rPr>
          <w:rFonts w:ascii="arial" w:eastAsia="arial" w:hAnsi="arial" w:cs="arial"/>
          <w:color w:val="000000"/>
          <w:sz w:val="20"/>
          <w:u w:val="single"/>
          <w:lang w:val="en-US" w:eastAsia="en-US" w:bidi="ar-SA"/>
        </w:rPr>
        <w:t>sufficiently related</w:t>
      </w:r>
      <w:r>
        <w:rPr>
          <w:rFonts w:ascii="arial" w:eastAsia="arial" w:hAnsi="arial" w:cs="arial"/>
          <w:color w:val="000000"/>
          <w:sz w:val="20"/>
          <w:lang w:val="en-US" w:eastAsia="en-US" w:bidi="ar-SA"/>
        </w:rPr>
        <w:t xml:space="preserve"> to conduct authorized by the employer to justify the imposition of vicarious liability. Vicarious liability is generally appropriate where there is a significant connection between the </w:t>
      </w:r>
      <w:r>
        <w:rPr>
          <w:rFonts w:ascii="arial" w:eastAsia="arial" w:hAnsi="arial" w:cs="arial"/>
          <w:color w:val="000000"/>
          <w:sz w:val="20"/>
          <w:u w:val="single"/>
          <w:lang w:val="en-US" w:eastAsia="en-US" w:bidi="ar-SA"/>
        </w:rPr>
        <w:t>creation or enhancement of a risk</w:t>
      </w:r>
      <w:r>
        <w:rPr>
          <w:rFonts w:ascii="arial" w:eastAsia="arial" w:hAnsi="arial" w:cs="arial"/>
          <w:color w:val="000000"/>
          <w:sz w:val="20"/>
          <w:lang w:val="en-US" w:eastAsia="en-US" w:bidi="ar-SA"/>
        </w:rPr>
        <w:t xml:space="preserve"> and the wrong that accrues therefrom, even if unrelated to the employer's desires. Where this is so, vicarious liability will serve the policy considerations of provision of an adequate and just remedy and deterrence. Incidental connections to the employment enterprise, like time and place (without more), will not suffice. Once engaged in a particular business, it is fair that an employer be made to pay the generally foreseeable costs of that business. In contrast, to impose liability for costs unrelated to the risk would effectively make the employer an involuntary insurer.</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determining the sufficiency of the connection between </w:t>
      </w:r>
      <w:r>
        <w:rPr>
          <w:rFonts w:ascii="arial" w:eastAsia="arial" w:hAnsi="arial" w:cs="arial"/>
          <w:color w:val="000000"/>
          <w:sz w:val="20"/>
          <w:u w:val="single"/>
          <w:lang w:val="en-US" w:eastAsia="en-US" w:bidi="ar-SA"/>
        </w:rPr>
        <w:t>the employer's creation or enhancement of the risk</w:t>
      </w:r>
      <w:r>
        <w:rPr>
          <w:rFonts w:ascii="arial" w:eastAsia="arial" w:hAnsi="arial" w:cs="arial"/>
          <w:color w:val="000000"/>
          <w:sz w:val="20"/>
          <w:lang w:val="en-US" w:eastAsia="en-US" w:bidi="ar-SA"/>
        </w:rPr>
        <w:t xml:space="preserve"> and the wrong complained of, subsidiary factors may be considered. These may vary with the nature of the case. When related to intentional torts, the relevant factors may include, but are not limited to, the following:</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opportunity that the enterprise afforded the employee to abuse his or her power;</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wrongful act may have furthered the employer's aims (and hence be more likely to have been committed by the employee);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wrongful act was related to friction, confrontation or intimacy inherent in the employer's enterprise;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power conferred on the employee in relation to the victim;</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vulnerability of potential victims to wrongful exercise of the employee's power.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alleges that the wrongful acts of the Employee are sufficiently connected with ICBC's ordinary course of business, justifying the imposition of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As noted by the applicant, the only factor pleaded to establish "sufficiency of the connection" is the opportunity the enterprise afforded the Employee to abuse his or her power. ICBC suggests the other factors either do not exist or weigh against a finding of sufficient connection. While this may weaken the claim, it is not plain and obvious that the Amended Claim fails to disclose a reasonable claim in vicarious liability. Accepting the facts pleaded as true, the Employee as part of her employment duties was required to access the personal information of ICBC's customers. Certainly, this authorization created an opportunity for the Employee to abuse her position of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decline to strike the pleading in vicarious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Negligent Protection of Privacy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also claims against ICBC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w:t>
      </w:r>
      <w:r>
        <w:rPr>
          <w:rFonts w:ascii="arial" w:eastAsia="arial" w:hAnsi="arial" w:cs="arial"/>
          <w:color w:val="000000"/>
          <w:sz w:val="20"/>
          <w:u w:val="single"/>
          <w:lang w:val="en-US" w:eastAsia="en-US" w:bidi="ar-SA"/>
        </w:rPr>
        <w:t>was obligated to make reasonable security arrangements against unauthorized access, use and disclosure of the Plaintiff's private information and</w:t>
      </w:r>
      <w:r>
        <w:rPr>
          <w:rFonts w:ascii="arial" w:eastAsia="arial" w:hAnsi="arial" w:cs="arial"/>
          <w:color w:val="000000"/>
          <w:sz w:val="20"/>
          <w:lang w:val="en-US" w:eastAsia="en-US" w:bidi="ar-SA"/>
        </w:rPr>
        <w:t xml:space="preserve"> had a duty to use reasonable care to protect the privacy of its customers including the Plaintiff. The Defendant breached its duty to the Plaintiff, resulting in the breach of his privacy </w:t>
      </w:r>
      <w:r>
        <w:rPr>
          <w:rFonts w:ascii="arial" w:eastAsia="arial" w:hAnsi="arial" w:cs="arial"/>
          <w:color w:val="000000"/>
          <w:sz w:val="20"/>
          <w:u w:val="single"/>
          <w:lang w:val="en-US" w:eastAsia="en-US" w:bidi="ar-SA"/>
        </w:rPr>
        <w:t>and the subsequent consequences of the breach as set out above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plaintiff clarified in his Application Response that this duty arises from the "legislative decree" found under s. 30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Saskatchewan Wheat Pool</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xml:space="preserve"> at 225 (</w:t>
      </w:r>
      <w:r>
        <w:rPr>
          <w:rFonts w:ascii="arial" w:eastAsia="arial" w:hAnsi="arial" w:cs="arial"/>
          <w:i/>
          <w:color w:val="000000"/>
          <w:sz w:val="20"/>
          <w:lang w:val="en-US" w:eastAsia="en-US" w:bidi="ar-SA"/>
        </w:rPr>
        <w:t>Saskatchewan Wheat Pool</w:t>
      </w:r>
      <w:r>
        <w:rPr>
          <w:rFonts w:ascii="arial" w:eastAsia="arial" w:hAnsi="arial" w:cs="arial"/>
          <w:color w:val="000000"/>
          <w:sz w:val="20"/>
          <w:lang w:val="en-US" w:eastAsia="en-US" w:bidi="ar-SA"/>
        </w:rPr>
        <w:t xml:space="preserve">), the Supreme Court of Canada held that breach of statute, where it has an effect upon civil liability (proof of standard of care), should be considered in the context of the general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Court declined to recognize a nominate tort of statutory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Saskatchewan Wheat Pool</w:t>
      </w:r>
      <w:r>
        <w:rPr>
          <w:rFonts w:ascii="arial" w:eastAsia="arial" w:hAnsi="arial" w:cs="arial"/>
          <w:color w:val="000000"/>
          <w:sz w:val="20"/>
          <w:lang w:val="en-US" w:eastAsia="en-US" w:bidi="ar-SA"/>
        </w:rPr>
        <w:t xml:space="preserve"> was affirmed in </w:t>
      </w:r>
      <w:r>
        <w:rPr>
          <w:rFonts w:ascii="arial" w:eastAsia="arial" w:hAnsi="arial" w:cs="arial"/>
          <w:i/>
          <w:color w:val="000000"/>
          <w:sz w:val="20"/>
          <w:lang w:val="en-US" w:eastAsia="en-US" w:bidi="ar-SA"/>
        </w:rPr>
        <w:t>Holland v. Saskatchewan</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[2008] 2 S.C.R. 551</w:t>
        </w:r>
      </w:hyperlink>
      <w:r>
        <w:rPr>
          <w:rFonts w:ascii="arial" w:eastAsia="arial" w:hAnsi="arial" w:cs="arial"/>
          <w:color w:val="000000"/>
          <w:sz w:val="20"/>
          <w:lang w:val="en-US" w:eastAsia="en-US" w:bidi="ar-SA"/>
        </w:rPr>
        <w:t xml:space="preserve"> at para. 9. The Court went on to recognize at para. 14, however, that once a legislature decides to act, it may be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manner in which it implements that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real issue, not addressed by the Court of Appeal, is whether a claim for negligent failure to implement a judicial decree clearly cannot succeed in law and hence must be struck at the outset. Such a claim is not a claim for negligent breach of statute. It stands on a different footing. In </w:t>
      </w:r>
      <w:r>
        <w:rPr>
          <w:rFonts w:ascii="arial" w:eastAsia="arial" w:hAnsi="arial" w:cs="arial"/>
          <w:i/>
          <w:color w:val="000000"/>
          <w:sz w:val="20"/>
          <w:lang w:val="en-US" w:eastAsia="en-US" w:bidi="ar-SA"/>
        </w:rPr>
        <w:t>Welbridge Holdings Ltd. v. Greater Winnipeg</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[1971] S.C.R. 957</w:t>
        </w:r>
      </w:hyperlink>
      <w:r>
        <w:rPr>
          <w:rFonts w:ascii="arial" w:eastAsia="arial" w:hAnsi="arial" w:cs="arial"/>
          <w:color w:val="000000"/>
          <w:sz w:val="20"/>
          <w:lang w:val="en-US" w:eastAsia="en-US" w:bidi="ar-SA"/>
        </w:rPr>
        <w:t>, at p. 970, this Court noted the difference in terms that appear to recognize the possibility of an action for failure to implement a judicial decree: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the risk of loss from the exercise of legislative or adjudicative authority is a general public risk and not one for which compensation can be supported on the basis of a private duty of care. </w:t>
      </w:r>
      <w:r>
        <w:rPr>
          <w:rFonts w:ascii="arial" w:eastAsia="arial" w:hAnsi="arial" w:cs="arial"/>
          <w:color w:val="000000"/>
          <w:sz w:val="20"/>
          <w:u w:val="single"/>
          <w:lang w:val="en-US" w:eastAsia="en-US" w:bidi="ar-SA"/>
        </w:rPr>
        <w:t xml:space="preserve">The situation is different where a claim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is based on acts done in pursuance or in implementation of legislation or of adjudicative decrees.</w:t>
      </w:r>
      <w:r>
        <w:rPr>
          <w:rFonts w:ascii="arial" w:eastAsia="arial" w:hAnsi="arial" w:cs="arial"/>
          <w:color w:val="000000"/>
          <w:sz w:val="20"/>
          <w:lang w:val="en-US" w:eastAsia="en-US" w:bidi="ar-SA"/>
        </w:rPr>
        <w:t xml:space="preserve">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More recent authorities describe the distinction in terms of "policy" versus "operational" decisions. Policy decisions about what acts to perform under a statute do not give rise to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other hand, once a decision to act has been made, the government may be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manner in which it </w:t>
      </w:r>
      <w:r>
        <w:rPr>
          <w:rFonts w:ascii="arial" w:eastAsia="arial" w:hAnsi="arial" w:cs="arial"/>
          <w:i/>
          <w:color w:val="000000"/>
          <w:sz w:val="20"/>
          <w:lang w:val="en-US" w:eastAsia="en-US" w:bidi="ar-SA"/>
        </w:rPr>
        <w:t>implements</w:t>
      </w:r>
      <w:r>
        <w:rPr>
          <w:rFonts w:ascii="arial" w:eastAsia="arial" w:hAnsi="arial" w:cs="arial"/>
          <w:color w:val="000000"/>
          <w:sz w:val="20"/>
          <w:lang w:val="en-US" w:eastAsia="en-US" w:bidi="ar-SA"/>
        </w:rPr>
        <w:t xml:space="preserve"> that decision: </w:t>
      </w:r>
      <w:r>
        <w:rPr>
          <w:rFonts w:ascii="arial" w:eastAsia="arial" w:hAnsi="arial" w:cs="arial"/>
          <w:i/>
          <w:color w:val="000000"/>
          <w:sz w:val="20"/>
          <w:lang w:val="en-US" w:eastAsia="en-US" w:bidi="ar-SA"/>
        </w:rPr>
        <w:t>Kamloops (City of) v. Nielsen</w:t>
      </w:r>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Just v. British Columbia</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Laurentide Motels Ltd. v. Beauport (City)</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[1989] 1 S.C.R. 705</w:t>
        </w:r>
      </w:hyperlink>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xml:space="preserve"> Lewis (Guardian ad litem of) v. British Columbia</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[1997] 3 S.C.R. 1145</w:t>
        </w:r>
      </w:hyperlink>
      <w:r>
        <w:rPr>
          <w:rFonts w:ascii="arial" w:eastAsia="arial" w:hAnsi="arial" w:cs="arial"/>
          <w:color w:val="000000"/>
          <w:sz w:val="20"/>
          <w:lang w:val="en-US" w:eastAsia="en-US" w:bidi="ar-SA"/>
        </w:rPr>
        <w:t xml:space="preserve">. Public authorities are expected to implement a judicial decision. Consequently, implementation of a judicial decision is an "operational" act. It is therefore not clear that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cannot succeed on the breach of a duty to implement a judicial decree.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While the plaintiff has attempted to cast s. 30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as a legislative decree, in substance, the plaintiff's claim is that ICBC negligently failed to implement a statutory provision. It comes squarely within the rule in </w:t>
      </w:r>
      <w:r>
        <w:rPr>
          <w:rFonts w:ascii="arial" w:eastAsia="arial" w:hAnsi="arial" w:cs="arial"/>
          <w:i/>
          <w:color w:val="000000"/>
          <w:sz w:val="20"/>
          <w:lang w:val="en-US" w:eastAsia="en-US" w:bidi="ar-SA"/>
        </w:rPr>
        <w:t>Saskatchewan Wheat Pool</w:t>
      </w:r>
      <w:r>
        <w:rPr>
          <w:rFonts w:ascii="arial" w:eastAsia="arial" w:hAnsi="arial" w:cs="arial"/>
          <w:color w:val="000000"/>
          <w:sz w:val="20"/>
          <w:lang w:val="en-US" w:eastAsia="en-US" w:bidi="ar-SA"/>
        </w:rPr>
        <w:t xml:space="preserve"> that the law has not recognized an action for negligent breach of statutory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plaintiff also relies on </w:t>
      </w:r>
      <w:r>
        <w:rPr>
          <w:rFonts w:ascii="arial" w:eastAsia="arial" w:hAnsi="arial" w:cs="arial"/>
          <w:i/>
          <w:color w:val="000000"/>
          <w:sz w:val="20"/>
          <w:lang w:val="en-US" w:eastAsia="en-US" w:bidi="ar-SA"/>
        </w:rPr>
        <w:t>K.L.B. v. British Columbia</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2003 SCC 51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K.L.B</w:t>
      </w:r>
      <w:r>
        <w:rPr>
          <w:rFonts w:ascii="arial" w:eastAsia="arial" w:hAnsi="arial" w:cs="arial"/>
          <w:color w:val="000000"/>
          <w:sz w:val="20"/>
          <w:lang w:val="en-US" w:eastAsia="en-US" w:bidi="ar-SA"/>
        </w:rPr>
        <w:t xml:space="preserve">.), arguing "in </w:t>
      </w:r>
      <w:r>
        <w:rPr>
          <w:rFonts w:ascii="arial" w:eastAsia="arial" w:hAnsi="arial" w:cs="arial"/>
          <w:i/>
          <w:color w:val="000000"/>
          <w:sz w:val="20"/>
          <w:lang w:val="en-US" w:eastAsia="en-US" w:bidi="ar-SA"/>
        </w:rPr>
        <w:t>K.L.B</w:t>
      </w:r>
      <w:r>
        <w:rPr>
          <w:rFonts w:ascii="arial" w:eastAsia="arial" w:hAnsi="arial" w:cs="arial"/>
          <w:color w:val="000000"/>
          <w:sz w:val="20"/>
          <w:lang w:val="en-US" w:eastAsia="en-US" w:bidi="ar-SA"/>
        </w:rPr>
        <w:t xml:space="preserve">., the court upheld the Province's direct liability arising from the breach of a duty imposed on it pursuant to the </w:t>
      </w:r>
      <w:r>
        <w:rPr>
          <w:rFonts w:ascii="arial" w:eastAsia="arial" w:hAnsi="arial" w:cs="arial"/>
          <w:i/>
          <w:color w:val="000000"/>
          <w:sz w:val="20"/>
          <w:lang w:val="en-US" w:eastAsia="en-US" w:bidi="ar-SA"/>
        </w:rPr>
        <w:t>Protection of Children Act</w:t>
      </w:r>
      <w:r>
        <w:rPr>
          <w:rFonts w:ascii="arial" w:eastAsia="arial" w:hAnsi="arial" w:cs="arial"/>
          <w:color w:val="000000"/>
          <w:sz w:val="20"/>
          <w:lang w:val="en-US" w:eastAsia="en-US" w:bidi="ar-SA"/>
        </w:rPr>
        <w:t>, R.S.B.C. 1960, c. 303". However</w:t>
      </w:r>
      <w:r>
        <w:rPr>
          <w:rFonts w:ascii="arial" w:eastAsia="arial" w:hAnsi="arial" w:cs="arial"/>
          <w:i/>
          <w:color w:val="000000"/>
          <w:sz w:val="20"/>
          <w:lang w:val="en-US" w:eastAsia="en-US" w:bidi="ar-SA"/>
        </w:rPr>
        <w:t>, K.L.B.</w:t>
      </w:r>
      <w:r>
        <w:rPr>
          <w:rFonts w:ascii="arial" w:eastAsia="arial" w:hAnsi="arial" w:cs="arial"/>
          <w:color w:val="000000"/>
          <w:sz w:val="20"/>
          <w:lang w:val="en-US" w:eastAsia="en-US" w:bidi="ar-SA"/>
        </w:rPr>
        <w:t xml:space="preserve"> dealt with circumstances that clearly fall within the category of operational acts in relation to particular foster care children that suffered abuse as a result of being placed in inadequate foster care homes.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It is plain and obvious therefore that the plaintiff has failed to disclose a reasonable claim for negligent protection of private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claim in vicarious liability against ICBC in relation to the Employee's alleged violation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will not be struck. The remainder of the claims will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ICBC is entitled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L.D. RUSSELL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6" style="position:absolute;z-index:2518261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Boyd v. Shortreed, [2009] B.C.J. No. 2133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J.S. Harvey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14-18 and 25,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29,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M93177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2133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1468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2879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182 A.C.W.S. (3d) 493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Irma Boyd, Plaintiff, and Keith Wayne Shortreed,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7"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9" w:name="Keywords_14"/>
      <w:bookmarkEnd w:id="99"/>
      <w:r>
        <w:rPr>
          <w:rFonts w:ascii="arial" w:eastAsia="arial" w:hAnsi="arial" w:cs="arial"/>
          <w:b/>
          <w:color w:val="000000"/>
          <w:sz w:val="20"/>
          <w:lang w:val="en-US" w:eastAsia="en-US" w:bidi="ar-SA"/>
        </w:rPr>
        <w:t>Damages — Physical and psychological injuries — Physical injuries — Body injuries — Back and spine — Neck — Action by the plaintiff for damages for injuries sustained in a motor vehicle accident, allowed — Defendant denied liability — Proximate cause of the collision was that the defendant drove too close to the rear of the plaintiff's car, or, alternatively, the accident resulted from the condition of the brakes on his vehicle, which did not allow him to slow his vehicle in time to avoid hitting the plaintiff's car — Plaintiff suffered exacerbation of previous back and neck injuries, as well as a new injury to her mid-back — She was awarded general damages of $25,000 as she generally improved by the time of the trial.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Aggravating of pre-existing injuries — Duration of loss — Non-pecuniary loss — Action by the plaintiff for damages for injuries sustained in a motor vehicle accident, allowed — Defendant denied liability — Proximate cause of the collision was that the defendant drove too close to the rear of the plaintiff's car, or, alternatively, the accident resulted from the condition of the brakes on his vehicle, which did not allow him to slow his vehicle in time to avoid hitting the plaintiff's car — Plaintiff suffered exacerbation of previous back and neck injuries, as well as a new injury to her mid-back — She was awarded general damages of $25,000 as she generally improved by the time of the trial.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Casual connection — Motor vehicles — Liability of driver — Speed — Stopping — Vehicle equipment — Action by the plaintiff for damages for injuries sustained in a motor vehicle accident, allowed — Defendant denied liability — Proximate cause of the collision was that the defendant drove too close to the rear of the plaintiff's car, or, alternatively, the accident resulted from the condition of the brakes on his vehicle, which did not allow him to slow his vehicle in time to avoid hitting the plaintiff's car — Plaintiff suffered exacerbation of previous back and neck injuries, as well as a new injury to her mid-back — She was awarded general damages of $25,000 as she generally improved by the time of the trial.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0" w:name="Case Summary_13"/>
            <w:bookmarkEnd w:id="10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Boyd against the defendant Shortreed for damages for injuries sustained in a motor vehicle accident. Shortreed denied liability. The accident occurred on April 19, 2005 when Boyd was on her way to work. A tractor trailer that was ahead of her drifted into her lane. She approached a median, in front of which were a series of metal baffles on springs, and Boyd feared she would crash into the baffles. Boyd then felt a jolt and in her rear view mirror saw Shortreed's car crash into the baffles. She stopped her car in a safe place and Shortreed pulled up behind her. She claimed that he acknowledged striking her car. Shortreed provided his name and telephone number but declined to provide his insurance particulars and his driver's licence number. Each party then left the accident scene. Later in the day Boyd began to experience back pain and she reported the accident. Shortreed had a different version of the events. He denied that his vehicle hit Boyd's car.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1" w:name="Holdings of Court_13"/>
            <w:bookmarkEnd w:id="101"/>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Shortreed's vehicle struck Boyd's car. The proximate cause of the collision was that Shortreed drove too close to the rear of her car, or, alternatively, the accident resulted from the condition of the brakes on his vehicle, which did not allow him to slow his vehicle in time to avoid hitting Boyd's car. He was fully liable for the collision and the resultant damages. Boyd suffered exacerbation of previous back and neck injuries, as well as a new injury to her mid-back. She returned to her pre-accident physical condition, related to her neck and lower back, within one year of the accident. The injury to her mid-back persisted longer but steadily improved to the time of trial. General damages were assessed at $25,000. No award was made for future care costs as there was no evidence of the need for future care arising from the injuries caused by Shortreed. Regarding damages for psychological harm Boyd failed to establish a causal relationship between her psychological complaints and Shortreed's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 award was therefore made for psychological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2" w:name="Counsel_14"/>
      <w:bookmarkEnd w:id="10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8"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T.E. Sprague.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P.K. Hamilton.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3" w:name="Judgment_14"/>
      <w:bookmarkEnd w:id="103"/>
      <w:r>
        <w:pict>
          <v:line id="_x0000_s1099" style="position:absolute;z-index:2517760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4" w:name="J.S. HARVEY J."/>
            <w:bookmarkEnd w:id="104"/>
            <w:r>
              <w:rPr>
                <w:rFonts w:ascii="arial" w:eastAsia="arial" w:hAnsi="arial" w:cs="arial"/>
                <w:b/>
                <w:color w:val="000000"/>
                <w:sz w:val="30"/>
                <w:lang w:val="en-US" w:eastAsia="en-US" w:bidi="ar-SA"/>
              </w:rPr>
              <w:t>J.S. HARVEY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Irma Boyd, claims damages from the defendant, Keith Wayne Shortreed, alleging that on April 19, 2005, Mr. Shortreed negligently collided with the vehicle she was driving, causing her both physical and psychological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denies that he came in contact with the plaintiff's vehicle and consequently denies any liability for the accident and any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issues which arise from this action are:</w:t>
      </w:r>
      <w:r>
        <w:rPr>
          <w:rFonts w:ascii="arial" w:eastAsia="arial" w:hAnsi="arial" w:cs="arial"/>
          <w:sz w:val="20"/>
          <w:lang w:val="en-US" w:eastAsia="en-US" w:bidi="ar-SA"/>
        </w:rPr>
        <w:cr/>
      </w:r>
    </w:p>
    <w:p>
      <w:pPr>
        <w:numPr>
          <w:numId w:val="1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for the accident of April 19, 2005; and</w:t>
      </w:r>
    </w:p>
    <w:p>
      <w:pPr>
        <w:numPr>
          <w:numId w:val="1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if any, suffered by the plaintiff as a result of the accident if liability is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Version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April 19, 2005, at approximately 5:30 a.m., the plaintiff was driving her 1998 Ford Contour to work. Her habitual route took her over the Pattullo Bridge to access Royal Avenue in New Westminster at the north end of the bridge and, thereafter, to proceed to her workplace, which was on Main Street, south of Marine Way,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Traffic was moderate on the bridge throughout Ms. Boyd's passage to the crest of the bridge. At or near the crest of the bridge, she observed a tractor trailer rig in the right hand lane of the two lanes proceeding northbound. She cannot recall whether she was in the right or left lane at the time of cresting the hill, but she settled into the left lane once she observed the tractor 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Pattullo Bridge has two lanes of travel in each direction. The lanes of travel are quite narrow. At the north end of the bridge, the roadway curves gently to the right and, for the first time, there is a median separating the north and south bound lanes of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was traffic both in front of and behind the plaintiff as she approached the curve. She estimates her speed at 50 to 55 kilometres an hour. She was keeping up with the flow of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she made her way toward the north end of the bridge and approached the curve in the roadway, the tractor trailer began to drift over to her lane. Traffic ahead of her prevented her from passing the tractor trailer and she was aware that there was traffic behind her, making it difficult for her to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began to get crowded to the left of her lane. The median was approaching and she began to brake. Immediately in front of the median are a series of metal baffles on springs, designed to absorb the impact of any vehicle which fails to make the sweeping right hand curve. The plaintiff says she was approaching the baffles and, as a result of the tractor trailer continuing to occupy her lane, she feared that a collision between the front end of her car and the baffles was imminent.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Around this time, the plaintiff felt a jolt from the rear which, according to her, straightened her vehicle and allowed her to maintain her position in the left hand lane of travel through the curve. She testifies that, almost simultaneously with the impact to the rear of her car, she looked into her rear view mirror and saw the defendant's car crash into the baffles immediately in front of the median.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was shaken by the incident and concerned for the safety of the driver behind her. As a result, she brought her car to a stop adjacent to the median where there was a narrow portion of asphalt to the left of the travelled portion of the road. Surmising that this was unsafe, she moved, when first able, across the two lanes of northbound travel into a spot of safety off of the road on the right hand side of the two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the plaintiff remained in her vehicle, shaken from the preceding events, a vehicle pulled up behind her. She hoped that the person was stopping to assist the driver of the vehicle which had hit the median, but came to realize, after speaking with the driver, that he was the person whose car had struck the median. She was amazed he was not seriously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 conversation ensued in which, according to the plaintiff, the defendant acknowledged striking her car. Both inspected her car for damage and noticed a scratch marring the paint on the plaintiff's rear bumper. The plaintiff was adamant that the defendant acknowledged the occurrence of the accident involving their two vehicles and, at no time, mentioned a black car being involved in the events that caused each of them to be discussing matters at the side of the road. The erratic driving of the tractor trailer was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appeared to be no significant damage to the plaintiff's car. The plaintiff says that the defendant's car suffered a broken windshield and that the defendant acknowledged that his head had hit the windshield of his car when he struck the median. The defendant neither confirmed this nor denied it when testifying.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asked for the defendant's licence and insurance information. He was reluctant, indicating that he had no intention of reporting the matter to ICBC and felt that her car was not damaged. The plaintiff, although shaken by the incident, did not believe she had suffered any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eventually produced a piece of paper on which the defendant wrote the name "Wayne Shortreed" and his telephone number. He did not provide insurance particulars of his vehicle or a driver's licence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some point during the exchange of information, once the piece of paper with his name and number was in the hands of the plaintiff, she wrote "Keith" at the top of the page and then his licence plate number at the bottom.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Having expressed no interest in involving ICBC, the defendant did not seek the plaintiff's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Each left the scene of the incident and proceeded to their place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Later in the day, the plaintiff began to experience a variety of back pain and contacted ICBC to report the accident as a rear end collision from which she had suffered injuries. This claim ensued.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Version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defendant's recollection of the events of the morning of April 19, 2005, is markedly different from that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 was also proceeding to work that morning. He estimates the time of day to have been between 5:30 and 5:45 a.m. He was driving a 1986 Mustang, the body of which had seen better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proceeded over the crest of the bridge in the left lane proceeding northbound and says he was some distance behind the tractor trailer. He says the plaintiff's car was not directly ahead of him. Rather, he says he was following a black car which he subsequently described as a Jetta, Volvo or BMW.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 noted that traffic was light and that he, the plaintiff and the black car were in a "volley of traffic". He believes they were all proceeding at or near the speed limit until the tractor trailer in the right lane began to encroach into the left lane of traffic. The encroachment began with the tractor and then the trailer began to move over into the left lane of traffic into the area occupied by the plaintiff's vehicle and, behind her, the black car, which was directly in front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the trailer swung further over into the left lane of traffic, both cars ahead of him began to brake. The defendant says that he sensed the danger and dropped back two to three car lengths behind the trailer, but the black car was still braking and trying to avoid the trailer. Eventually, the black car slowed sufficiently to reach a position far enough back that it could swing from the left lane back into the right and avoid the rear of the trailer. As this was happening, the defendant was braking hard to avoid contacting the black car. He says that his tire or tires contacted dust or material to the left of the travelled portion of the lane and this caused his vehicle to skid. As a result, he continued to brake and brought his vehicle to a stop in a narrow portion of asphalt just before the baffles. He says his vehicle "tapped" the baffles.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these events were unfolding, the defendant thought the plaintiff's vehicle had been squeezed into the median by the trailer. Owing to the curvature of the road, he lost sight of her vehicle when the trailer entered the curved part of the road in the left lane of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After he stopped, the defendant entered traffic and swung his vehicle over into the pull-out on the right hand side of the roadway to check on the plaintiff. He thought that there would be extensive damage to her car and that she may be injured. When he emerged from his vehicle, he says he brought a first aid kit with him, which he always carried in his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 testified that the plaintiff was elated that she had not been struck by the trailer. She was "jumping up and down and singing the praises of the Lord". He stated that "she didn't know what happened", but thought she had been hit from behind and that her vehicle was saved from hitting the baffles that stood in front of the median.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inspected her car. He says that it was clear that it had not made contact with any other vehicle because the morning dew was still evident on both sides of the vehicle. He also inspected the rear bumper and noticed no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According to the defendant, there was no discussion that suggested he had come in contact with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no first aid was required, the conversation turned to the tractor trailer and the situation which had been created by its swinging into the left lane of travel. The defendant testifies that he had made note of the black vehicle's licence plate, although he did not remember it until sometime later. He made no mention of either the black vehicle or its licence plate number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defendant's version of the creation of the paper with his name, number and driver's licence differs sharply from that of the plaintiff. He says he volunteered the information to her as a "witness" to the event. She initially began to write his name down but was shaking too much so, after she had written his first name, "Keith", he took over, writing the name "Wayne Shortreed" and his telephone number. He denies being asked for further information regarding vehicle ownership and insurance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ICBC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reported the accident on April 19, 2005 by telephone and advised the adjuster for ICBC of the damage to her vehicle and the fact she had been injured. Without first bringing the vehicle to ICBC, she took the car to an auto body shop for repairs and the bumper was fixed. She testifies that the total cost of repairs was about $360. No documentary evidence concerning the repairs was ever produced in evidence. Photographs of the rear bumper of the plaintiff's vehicle were of little assistance in determining whether there was any damage visible. It is conceded that the damage amounted to nothing more than an abrasion or scratch requiring repainting. There was no structural damage to the plaintiff's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Following the reporting of the accident by the plaintiff, the defendant was called by an ICBC adjuster, Ms. Camara, and questioned about the accident. The whole of their conversation took place over the telephone. Ms. Camara, who was called as a witness by the plaintiff, made notes as they spoke, either directly onto an internal adjusting form known as the CWAS, or by hand and then transferred them to the form. The notes of the interview were her only recollection of the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During the telephone conversation Ms. Camara noted that the defendant denied that he was ever in contact with the plaintiff's vehicle and advised that he was some 20 feet behind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No mention was made of the black car, the fact he knew the licence plate number of it, or that he had inspected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By way of explanation for the omission of details concerning the black vehicle, the defendant says he did not know that he was being interviewed as a potential defendant when contacted by Ms. Camara, but rather that he was still "just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However, it is clear from Ms. Camara's evidence that the proposition that he struck the plaintiff's car was put to him. It is unclear as to whether he received a letter before or after the telephone call from Ms. Camara advising that a claim had been made against him. Eventually, he came to learn of the claim and he then made a formal statement to ICBC and took his car into a claims center in June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There were no independent witnesses to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 and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singular common feature of the evidence of the parties is their evidence concerning the actions of the tractor trailer. Thereafter, their evidence conflicts on all other significant details surrounding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It is clear that a situation of emergency was created by the encroachment of the tractor trailer into the left lane of travel. That the plaintiff was affected by it is beyond doubt. She was, for lack of a better term, being run off of the road. Her options were to pull farther and farther to the left or her lane to the point she believed that a portion of her vehicle was in the oncoming lane of traffic or to be hit by the tractor trailer. She testified that she thought a collision with the median was inevitable.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While I find the plaintiff to be a generally credible witness, I am less satisfied with her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are a number of factors that weigh against her evidence being accepted at face value:</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in the agony of collision as the events she testified about occurred. On the best blush of her evidence, the collision from behind was an utter surprise. It is difficult to see how she would so quickly look to her rear view mirror to then see the defendant's vehicle run into the median. However, it is clear that her evidence in this regard is correct. The defendant did contact the median, albeit not with the force described by the plaintiff.</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a number of inconsistencies in her various recollections of the accident. She told Dr. James that she "recalled seeing the impending impact in her rear view mirror, and was very scared." She told Dr. Shah that she "saw it happening in her rear view mirror" and that her vehicle was stationary at the time of impact. She told another doctor that she was travelling at 30 kilometres an hour when she was jolted from behind. To yet another, Dr. McKenzie, she stated "I felt the car almost lift and move." Given the actions of the tractor trailer beside her, I have doubts about the accuracy of some of the plaintiff's testimony concerning the mechanics of the accident.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acknowledges being extremely shaken at the time of the discussion with the defendant in the pull-out on the right side of the road. Nonetheless, she recounted the subsequent conversation with him with in some detail. In particular, she recalled the words spoken by the defendant indicating his acceptance of responsibility. She was resolute that he responded to the question or volunteered that he was one who hit her. She described the two of them inspecting the rear of her vehicle in the area where she says she was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Against the concerns over the plaintiff's reliability, I must measure both the reliability and credibility of the defendant's evidence. I cannot say that I found the defendant to be a credible witness in view of the many contradictions that arose throughout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 denied being within 20 feet of the plaintiff's vehicle at any time leading up to the conversation in the pull out. However, his denial must be viewed very cautiously in light of the totality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defendant's car, although owned by him, listed the principal operator as his father, Wayne Shortreed. At the time of the accident, his father resided in Penticton. When it was suggested to him that this arrangement was to obtain cheaper insurance coverage, the defendant denied knowing whether there was a different rate class in effect for the insurance on his vehicle. However, no further evidence was tendered as to why his car was being insured in this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He further testified that he was only driving the car because he had brought it down to Vancouver to work on the brakes of the vehicle. Through cross-examination, however, it emerged that the rear brakes had been replaced while he was in Penticton the weekend before the incident and the front brakes, when inspected by him in Vancouver, required no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When originally contacted by telephone to give a statement to ICBC, he told Ms. Camara that he was 20 feet behind the plaintiff and was never in contact with her. Nonetheless, he advised her that both he and the plaintiff had been cut off by the tractor trailer. The best evidence as to the length of the trailer was given by the plaintiff, who works in the trucking industry. She opined the trailer was one of two standard sizes, either 48 feet or 53 feet in length. The defendant offered no opinion to the contrary. Given the length of the trailer, it is difficult to understand how the defendant's vehicle would have been involved in the incident were his vehicle not the one directly behind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the defendant's evidence at trial, the 20 foot gap became extended by the insertion into the line of northbound traffic of the black vehicle that he says was immediately behind the plaintiff. This omission of detail in his original statement to Ms. Camara is troubling. If true, the presence of the black car would, of necessity, extend the distance between the plaintiff and defendant's vehicles to well beyond the length of the trailer. According to the defendant's evidence at trial, this caused him to drop some two to three car lengths behind the trailer. This is significantly at odds with his statement to Ms. Camara that both he and the plaintiff had been cut off by a semi trailer and were both pushed into the median.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the defendant's evidence at trial, the tractor trailer had nothing to do with his ultimately coming into contact with the median. It was the fault of, or was at least caused by, the driver of the black car which he says dropped off and swept in behind the 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He testified at trial that he recalled the licence plate number of the black car. Eventually, he gave it to his counsel at discovery. No mention is made of the licence number in his written statement to ICBC or of him ever having known it. His explanation that he only recalled it later is implausible. The events, had they occurred as he described them, happened in a matter of a few seconds. It is hard to understand, given his description of events, how he would take note of the licence plate number had it just performed the manouevres he attributed to it. His evidence that he remembered it, but not until after his written statement was given on June 8, 2005, is even more problematic. He vacillated in his testimony at trial as to whether the licence number was ever reduced to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defendant's evidence at trial was fraught with inconsistencies compared to answers given by him at discovery. When asked on discovery whether he had given the plaintiff his telephone number, he denied having done so and suggested that plaintiff's counsel was lying to him. He denied giving the plaintiff any information at all. Yet at trial, he recalled with some precision who wrote which portions of the note which was prepared in part by the plaintiff and in part by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 had not, by the date of his examination for discovery, been made aware that the plaintiff had produced the piece of paper bearing his telephone number in his handwriting.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examination in chief, he testified he had inspected the sides of the plaintiff's car and noted they were dew covered, leading him to conclude that no contact could have occurred between the tractor trailer and the plaintiff. He made the same observation about her bumper. In cross-examination, he recanted the evidence of dew on the sides of the car, surmising that it had dried because she was travelling. The dew on the bumper however, he relied on as evidence that no one, let alone him, had hit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cannot accept, having witnessed the plaintiff in the witness stand for over a day, that she would have, as he described, "clapped her hands and praised the Lord", following the events which had just taken place. This suggestion was never put to her during trial. I accept that she was shaken over the events and, while grateful that neither she nor the defendant apparently sustained injury, she did not react in the fashion described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Similarly, the defendant's explanation as to why he wrote Wayne Shortreed, his father's name, as opposed to his true name, Keith, does not ring true. According to the defendant, he had already given her the name Keith and he took over writing the remainder of the information because she was "shaky." He testified that he goes by both names and that some family members call him Wayne and others Keith. When in a group where there are two people named Keith, he goes by Wayne. I prefer the evidence of the plaintiff, who testified that she elicited this information from him after he had handed her back the paper with the name Wayne Shortreed and his telephone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paramount feature of the defendant's evidence which causes me to conclude the black car was a fiction invented by him, well after the happening of the incident and sometime between the date of his conversation with Ms. Camara and his attending ICBC to give a written statement, is his conflicting evidence concerning the black car and where it ultimately went.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his evidence in chief he testified that the black car had slowed and managed to squeeze in behind the trailer and follow it in the right hand lane of travel away from the position of danger it had previously been in. In his written statement to ICBC, and the accompanying diagram, he advised the adjuster that "the black car in front of me went towards the median, and as the semi rounded the corner the black car went over to the right of the lady in front of him (the black car) and went between the semi and the lady". This same version is depicted on the attached drawing provided by the defendant as part of his report to the adjuster he met in June 2005. The line depicting the direction of travel of the black car was in front of the tractor trailer, not behind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There were other inconsistencies in the evidence of the defendant which cause me to reject his evidence as to the happening of the incident. Accordingly, wherever the evidence of the plaintiff and the defendant conflict, I accept the evidence of the plaintiff as being the accurate version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That being found, I conclude that the defendant struck the plaintiff's car from the rear. While I accept there was a situation of peril created by the driver of the tractor trailer, the proximate cause of the collision between the defendant's vehicle and that of the plaintiff was the inattention of the defendant by travelling too close to the rear of the plaintiff's vehicle or, alternatively, the condition of the brakes on his vehicle which did not allow him to slow his vehicle in time to avoid hitting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do not find the plaintiff's reaction to the danger created by the tractor trailer driver to be wanting and decline to apportion any fault for the accident to her. She reacted appropriately to a situation of emergency created by another driver who is not a party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a result, the defendant is 100% liable for the collision and resultant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turn now to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is 56 years of age and the divorced mother of two adult sons. She has worked for many years at Metro Waste Paper recovery in the shipping and accounts payable department. She is an hourly worker and it is clear from the evidence she is extremely dedicated to her job. There may be psychological reasons for her devotion to work that explain her habitual long hours. She kept those long hours both before and after the happening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Only four days of work were missed by the plaintiff and she was paid by her employer for those lost days. It is unclear from the evidence as to which days she was absent from her employment. However, no wage claim is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While there was contact between the two vehicles, the accident was not as severe as the plaintiff has described. She told one of her medical advisors that the force of the impact caused her car to "lift and move". As noted, the damage to her vehicle was minimal. It was not discernible on the photographs tendered in evidence and the cost of repairs was around $360.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I find, was moving at the time of the accident. The defendant's vehicle was travelling faster than her and there was contact between the two vehicles. I was not provided with any description of what happened to the plaintiff within the car when the collision occurred, except for the fact that the plaintiff is convinced her line of travel was altered such that she veered away from the median.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Originally the plaintiff was shaken, but reported no injury to the defendant when they spoke by the roadside. Later, back and neck pain began and by day's end she was sore. She reported the accident later that day, April 19, 2005, to Ms. Camara, the same ICBC adjuster who later spoke to the defendant. She complained of neck and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Physical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plaintiff's pre-accident medical history is noteworthy in that she has had similar pains to that which she complained of after the accident in respect of her upper and lower back. The evidence discloses that immediately prior to the accident she suffered from occasional neck and lower back pain as a result of previous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She first saw her family physician, Dr. Shah, on April 25, 2005. She remained exclusively under his medical care thereafter for her physical injuries, except for attendances at Fleetwood physiotherapy during May and June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Her complaints were originally treated with Tylenol 3, but since a short time following the accident, they have been treated with two Advil taken either daily or twice daily.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All physiotherapy treatment stopped in mid-June 2005. Originally the plaintiff attributed this to ICBC cutting off funding for the treatment, but it seems clear from her later reports to several specialists that she discontinued because physiotherapy was not helping.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She saw Dr. Shah as her primary caregiver monthly throughout the spring and summer of 2005 with complaints relating to her soft tissue injuries. The plaintiff experienced an exacerbation of neck and possibly lower back symptoms following the accident. The exacerbation to her neck symptom seemed somewhat more pronounced than those of her lower back. With respect to the lower back symptoms, it is unclear from the evidence whether they were different in any significant way from those which she was experiencing immediately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On August 9, 2005, the plaintiff attended Dr. Shah for an unrelated complaint and no mention was made of her soft tissue injuries. She next attended on April 21, 2006, complaining of "sudden back pain". Dr. Shah noted, at the time, her description of feeling something snap in her back and "since then she has been having severe pain and having stiffness". He diagnosed muscle strain. Thereafter, there are no specific references in the notes of Dr. Shah to any complaints of neck pain, lower back pain or mid-back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2007 and 2008, some two years after the accident, the plaintiff attended upon Dr. G.M. McKenzie and Dr. Russell O'Connor for independent medical assessments, but no treatment, of her musculoskeletal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only new complaint arising from the accident appears to be the onset of mid-back pain. This is based mainly on self report. The extent and duration of these symptoms are described in some detail in the reports of Dr. O'Connor and Dr. McKenzie. This complaint seems to have occasioned the most pain and has persisted, although significantly improved, to the date of trial. Her recovery was estimated by the plaintiff to be at 85% of normal when she last attended Dr. McKenzie in August 2009. There is no ongoing disability related to the complaints nor has there been for some since late in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summary, the plaintiff suffered an exacerbation of her previous symptoms in her neck and lower back. I find these complaints had substantially resolved to their pre-accident condition inside of one year. In April of 2006, according to the notes of Dr. Shah, there was a further onset of lower back pain but, on the whole of the evidence, I cannot relate this flare up to the accident of April 2005. The injury to her mid-back was as a result of the accident. It persisted longer and caused her more discomfort than the exacerbation of her pre-existing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Accordingly, taking all of this into account, I assess general damages in the amount of $25,000 in respect of her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Psychological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addition to the claim for damages relating to the physical injury suffered in the accident, the plaintiff also made a claim for damages relating to psychological damages arising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2007 she saw Dr. Mok, a psychiatrist, and Dr. James, a psychologist, for the purpose of independent medical assessment as opposed to treatment. Her assessment by these two professionals was in respect of alleged psychological injuries which she attributes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Shah provided no treatment for any psychological symptoms which arose as a result of the accident, nor was he qualified to express an opinion as to the extent or origin of any psychological component to her injuries. It was not his area of expertise. He had, however, earlier prescribed the plaintiff Prozac for depressive behaviour which followed the death of her mother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plaintiff's mother suffered from Alzheimer's disease and, for a period of time from 2001 to 2003, lived with the plaintiff. In February 2003, the plaintiff's mother died.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Shah prescribed Prozac to the plaintiff. Each prescription was for 90 pills, renewable quarterly. The last prescription was filled by the plaintiff in mid-October 2004. I infer that the plaintiff carried on taking anti-depressive medication until the middle of January 2005. Thereafter, for the three months or so before the accident, she was not on medication. This does not mean that her underlying symptoms had improved. She ceased taking medication without further medical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By May 12, 2005, Dr. Shah was of the view that the plaintiff was depressed. He referred her to Dr. Ellis, a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Ellis did not provide a report to the Court concerning either his treatment or his opinion as to her depression or its origins. He was, however, called by the defendant and gave evidence as to the nature of his involvement with the plaintiff and the information she relayed to him during her visits between June 2005 and the spring of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It is clear, on the whole of the evidence of the plaintiff, her son, and the doctors who later provided opinions as to her psychological state, that prior to the accident the plaintiff was isolated from the community at large, had few or no interests beyond work and had issues arising from feelings of guilt over the level of care she had been able to provide for her mother during her last years. During this time, the plaintiff was working 10 to 12 hours a day. At month end, her work day was sometimes 14 hours long. Her work is sedentary and requires her to sit throughout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reported to Dr. Ellis in June 2005 that she had become increasingly socially withdrawn and had noticed a loss of interest in life. She reported getting tired easily. Most importantly, the plaintiff advised Dr. Ellis of her previous prescription for anti-depressants and noted to him that "she had been off them a few months and retrospectively feels she has probably got worse as a consequence".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accept that statement as being, if not a direct quote from the plaintiff, an accurate summary of information she conveyed to Dr. Ellis in their first meeting in June 2005. It is also, on the whole of the evidence, an accurate description of the plaintiff's mental state in the months leading up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the approximately one year of sessions involving Dr. Ellis, the plaintiff seemingly never mentioned the accident, nor the physical or emotional consequences of it upon her. Dr. Ellis' notes raise many topics that were discussed in therapy, including work stresses, health concerns unrelated to the accident and work relationships with other employees. At no time did Dr. Ellis note complaints of anxiety while driving or any discussion of the pains that had arisen as a result of the accident. Indeed, Dr. Ellis was not aware of the accident until the request for the plaintiff's medical records was received from plaintiff's counsel in April 2006. The plaintiff did not suggest that she raised the matter of the accident with Dr. Ellis at any time during the period she was under his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Mok and Dr. James gave opinions, both in their reports and at trial, that the plaintiff's heightened depression was causally linked to the accident. They both agreed that by the time they saw her initially in 2007, she was improved. By 2009, they agreed she had returned to her baseline status. That is to say, her psychological state had improved to that which it was immediately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2007, Dr. Mok raised the dosage of Wellbutrin which had been originally prescribed by Dr. Ellis, and subsequently renewed by Dr. Shah after the plaintiff stopped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James diagnosed the plaintiff, retrospectively, with Post Traumatic Stress Disorder ("PTSD"), which he opined arose from the happening of the accident. This diagnosis was made despite the fact that all of the concerns and complaints expressed by the plaintiff both in 2007 and at trial relate to her concerns about the situation of peril created by the driver of the tractor trailer, not the accident. The life threatening incident which occasions the onset of PTSD was not the accident, but the incursion of the trailer into the plaintiff's lane of travel, causing her to head toward the median at a speed she felt would cause her serious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difficulty with opinions of both Dr. Mok and Dr. James is that they had no contact with the plaintiff for over two years following the accident and have attempted, through the plaintiff's self reporting, to determine her mental status both immediately before and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onus lies on the plaintiff to establish a material connection between the injury alleged, specifically the recurrence of her depression, and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MacDonald (Litigation guardian of) v. Goertz,</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2009 BCCA 358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On the whole of the evidence, I am not satisfied that the plaintiff has discharged that onus as it relates to the psychological component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opinions of Dr. Mok and Dr. James are reliant on a self-reported history and a chronology of events given by the plaintiff in excess of two years following the event. As noted, while I find the plaintiff a credible witness, I have concerns about her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Examples of this are various accounts given by her to the assessors of her injuries that are at odds with one another and her various descriptions of the mechanics of the accident and amount of time lost from work. The plaintiff told Dr. O'Connor, the specialist in physical medicine and rehabilitation, that she had a period of two to three weeks of being off work. In 2008, when she saw him for an independent assessment, she advised that her mid-back pain was 80% improved and she had days where there was no pain at all. However, she advised Dr. James that she was absent "a few weeks" and returned because she felt "quite guilty about it". She also advised him that she returned because of financial constraints. This explanation both as to the duration of her absence and reason for her return does not coincide with the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conclude from the whole of the evidence that the plaintiff was, both before and after the accident, almost compulsive about her work duties and, as noted by Dr. James, provided validation by work that was otherwise missing from her life. Nowhere was there evidence supporting the contention that financial considerations caused her early return to work or that financial considerations were a primary factor in her cessation of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While I conclude that the plaintiff was depressed when she saw Dr. Mok and Dr. James, I am not satisfied that they have been able to accurately determine the baseline depression that was existent at the time of the accident. She was suffering from depression prior to the accident. She went off medications without advice from any medical practitioner that it was prudent to do so, and she reported to Dr. Ellis that once she stopped medications, her condition worsened.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Both Dr. Mok and Dr. James noted improvement between their assessments in 2007 and 2009. This is partly attributable to the adjustment in the dosage of Welbutrin prescribed by Dr. Mok in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Since discharging herself from the care of Dr. Ellis in 2006, the plaintiff has not sought out any further psychological treatment nor did she follow the suggestion of Dr. James that she enter into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Her only involvement with doctors after the middle of the summer of 2005, until the time of her assessment by a series of experts in 2007, was the visits to Dr. Ellis and very occasional attendances upon Dr. Shah.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evidence overwhelmingly suggests that the trauma surrounding the accident flows from the driving of the tractor trailer, not the defendant. Additionally, the psychological symptoms complained of by the plaintiff were present, by her own admission, immediately before the accident. Her failure to adhere to the course of medication prescribed by her doctor led, by her own words, to a worsening of her already existing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Once Dr. Mok put the plaintiff on the proper dosage of Wellbutrin, her symptoms levelled off. She presents with far more optimism and cheerfulness now than has been the case over the past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As a result, I do not find that the plaintiff has established a causal relationship between her psychological complaints, specifically, depression and PTSD, and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depression, by her own admission, was worsening as a result of her failure to take prescribed medications. The PTSD, if indeed she experienced it, is attributable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tractor trailer driver and not the actions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Accordingly, I make no award of damages for the psychological harm claimed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Special Damages and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Specials damages have been agreed to as the cost of the user fees for the physiotherapy treatment taken by the plaintiff in May and June 2005. The figure of $500 was mentioned, but no further reference was made to the precise amount. In the absence of agreement between counsel, they may make further submissions as to the precise amount of this cost. No other special damages were put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An allowance for the cost of future care was also sought, but on the evidence, I cannot find any need for future medical treatments or conditioning arising from the injuries I have found arose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To conclude, I will summarize the main findings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On the matter of liability, I find that the defendant struck the plaintiff's car and the proximate cause of that collision was the defendant's driving too close to the rear of the plaintiff's vehicle or, alternatively, the condition of the brakes on his vehicle, which did not allow him to slow his vehicle in time to avoid hitting the plaintiff's vehicle. As a result, I find the defendant 100% liable for the collision and resultant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On the matter of damages, I find that the plaintiff did suffer exacerbation of previous back and neck injuries, as well as a new injury to her mid-back. I find that the plaintiff had returned to her pre-accident physical condition, relating to her neck and lower back, within one year of the accident. The injury to her mid-back persisted longer but steadily improved to the time of trial. As a result, I assess general damages in the amount of $25,000 in relation to the physical injuries caused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As there is no evidence of the need for future care arising from the injuries caused by the defendant, I make no award of damages for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Regarding damages for psychological harm, I find that the plaintiff failed to establish a causal relationship between her psychological complaints and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As a result, I make no award for psychological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Special damages are the costs of user fees for the physiotherapy treatment undertaken by the plaintiff in May and June, 2005. If counsel are unable to agree to a specific amount, they may make further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Unless there are circumstances which would otherwise affect costs, the plaintiff shall have costs of the action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J.S. HARVEY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0" style="position:absolute;z-index:2518272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Bulatovic v. Siebert, [2013] B.C.J. No. 268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 Steeves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26-30,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M103059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240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Emilija Bulatovic, Plaintiff, and Ferdinand Siebert,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1"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5" w:name="Keywords_15"/>
      <w:bookmarkEnd w:id="105"/>
      <w:r>
        <w:rPr>
          <w:rFonts w:ascii="arial" w:eastAsia="arial" w:hAnsi="arial" w:cs="arial"/>
          <w:b/>
          <w:color w:val="000000"/>
          <w:sz w:val="20"/>
          <w:lang w:val="en-US" w:eastAsia="en-US" w:bidi="ar-SA"/>
        </w:rPr>
        <w:t>Damages — Physical and psychological injuries — Body injuries — Soft tissue — Head injuries — Headaches — Action for damages for neck and shoulder pain and headaches caused by motor vehicle accident allowed in part — Defendant fully liable for striking plaintiff while she crossed street in 2009 — Plaintiff sustained soft tissue injuries that were not expected to improve — Plaintiff awarded $7,000 past income loss and $2,377 special damages — 56-year-old plaintiff's injuries negatively affected her family life and reduced her capacity to do housework — Plaintiff awarded $65,000 non-pecuniary loss, $5,000 housekeeping loss and $2,500 future care — Plaintiff could work with restrictions but was struggling and awarded $35,000 loss of earning capacity.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Loss of housekeeping ability — Special damages — Past loss of income — Employment income — Non-pecuniary loss — Affecting social relationships — Action for damages for neck and shoulder pain and headaches caused by motor vehicle accident allowed in part — Defendant fully liable for striking plaintiff while she crossed street in 2009 — Plaintiff sustained soft tissue injuries that were not expected to improve — Plaintiff awarded $7,000 past income loss and $2,377 special damages — 56-year-old plaintiff's injuries negatively affected her family life and reduced her capacity to do housework — Plaintiff awarded $65,000 non-pecuniary loss, $5,000 housekeeping loss and $2,500 future care — Plaintiff could work with restrictions but was struggling and awarded $35,000 loss of earning capacity.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Pedestrians — Rules of the road — Signals and warnings — Action for damages for 2009 motor vehicle accident allowed in part — Plaintiff was struck by defendant's vehicle as she crossed street in 2009 — Totality of evidence was that accident happened quickly and plaintiff was struck by left side of defendant's vehicle when she was more than halfway across crosswalk — Plaintiff took precautions and walk sign was on as she began crossing so had right of way — Defendant fully liable for failing to check for pedestrians before turning left — Plaintiff had ongoing neck and shoulder pain and headaches, with poor prognosis, and she was awarded $116,977.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Rules of the road — Crossing road — Crosswalks — Pedestrians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for damages for 2009 motor vehicle accident allowed in part — Plaintiff was struck by defendant's vehicle as she crossed street in 2009 — Totality of evidence was that accident happened quickly and plaintiff was struck by left side of defendant's vehicle when she was more than halfway across crosswalk — Plaintiff took precautions and walk sign was on as she began crossing so had right of way — Defendant fully liable for failing to check for pedestrians before turning left — Plaintiff had ongoing neck and shoulder pain and headaches, with poor prognosis, and she was awarded $116,977.</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6" w:name="Case Summary_14"/>
            <w:bookmarkEnd w:id="10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injuries sustained in motor vehicle accident. Plaintiff was struck by defendant's vehicle while she crossed the street in 2009. The 56-year-old plaintiff testified she waited for the walk signal and then started across the crosswalk, but the "don't walk" began flashing when she was more than halfway across and she was suddenly struck from behind by the defendant, who was turning left. The defendant testified he turned left on the yellow light and then saw the plaintiff running across the street, so he swerved, but she bumped into his vehicle. The defendant testified the "no walk" signal was on. A witness testified he saw the plaintiff crossing with the walk signal and the defendant turned and the collision happened when the plaintiff was just beyond the halfway point. The witness testified the "don't walk" signal was flashing yellow at that time. The plaintiff was able to walk home but had a headache, was bruised and unable to sleep. The plaintiff testified her headaches and shoulder and neck pain continued and she had difficulty working and wanted to retire but could not afford it. The plaintiff sought past wage loss, special damages, $65,000-75,000 non-pecuniary loss, $15,000 loss of housekeeping ability, $25,000 cost of future care and $75,000 loss of earning capacity. The defendant argued he was not liable for the accident and disputed the damages sought.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7" w:name="Holdings of Court_14"/>
            <w:bookmarkEnd w:id="107"/>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consulted his family, including his wife who worked for the insurer, before giving his statement to the insurer and admitted he memorized the statement before testifying. This raised reliability issues. The witness's evidence also had reliability issues as he was inconsistent about whether the traffic light was yellow or just the don't walk signal and he was the only person who said the accident occurred on the right side of the defendant's vehicle. The accident happened quickly and it was dark out. The plaintiff took precautions and ensured the walk signal was on when she began crossing so was entitled to the right of way. Nothing prevented the plaintiff from being seen so the defendant was negligent in not looking for pedestrians before turning. The defendant was 100 per cent liable. The plaintiff was awarded $2,377 special damages and the parties agreed to $7,000 past wage loss. The plaintiff had no relevant pre-existing injuries and sustained soft tissue injuries in the accident. The plaintiff's neck and shoulder pain and headaches continued and were not expected to improve any further. These injuries negatively impacted the plaintiff's family life. The plaintiff was awarded $65,000 non-pecuniary loss. The plaintiff had reduced capacity to perform household chores and sew, but was not totally disabled and her daughters were now grown. The plaintiff was awarded $5,000 for loss of housekeeping ability. While conditioning and massage would be helpful, the intensive plan put forth by the plaintiff was not appropriate. She was awarded $2,500 for future care. The plaintiff could work with restrictions but was struggling and had reduced marketability so may have to stop working sooner than she would have otherwise done. The plaintiff was awarded $35,000 loss of earning capacity. The total award was $116,977.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8" w:name="Legislation Cited_10"/>
      <w:bookmarkEnd w:id="10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2"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412" w:history="1">
        <w:r>
          <w:rPr>
            <w:rFonts w:ascii="arial" w:eastAsia="arial" w:hAnsi="arial" w:cs="arial"/>
            <w:i/>
            <w:color w:val="0077CC"/>
            <w:sz w:val="20"/>
            <w:u w:val="single"/>
            <w:shd w:val="clear" w:color="auto" w:fill="FFFFFF"/>
            <w:lang w:val="en-US" w:eastAsia="en-US" w:bidi="ar-SA"/>
          </w:rPr>
          <w:t>RSBC 1996, CHAPTER 318, s. 132</w:t>
        </w:r>
      </w:hyperlink>
      <w:r>
        <w:rPr>
          <w:rFonts w:ascii="arial" w:eastAsia="arial" w:hAnsi="arial" w:cs="arial"/>
          <w:color w:val="000000"/>
          <w:sz w:val="20"/>
          <w:lang w:val="en-US" w:eastAsia="en-US" w:bidi="ar-SA"/>
        </w:rPr>
        <w:t>, s. 132(1), s. 132(3)(b)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9" w:name="Counsel_15"/>
      <w:bookmarkEnd w:id="10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3" style="position:absolute;z-index:2517770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W.D. MacLeod.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S.P. Grey.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0" w:name="Judgment_15"/>
      <w:bookmarkEnd w:id="110"/>
      <w:r>
        <w:pict>
          <v:line id="_x0000_s1104" style="position:absolute;z-index:2518282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1" w:name="J. STEEVES J."/>
            <w:bookmarkEnd w:id="111"/>
            <w:r>
              <w:rPr>
                <w:rFonts w:ascii="arial" w:eastAsia="arial" w:hAnsi="arial" w:cs="arial"/>
                <w:b/>
                <w:color w:val="000000"/>
                <w:sz w:val="30"/>
                <w:lang w:val="en-US" w:eastAsia="en-US" w:bidi="ar-SA"/>
              </w:rPr>
              <w:t>J. STEEVES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damages for neck pain and headaches she claims as a result of being hit by a vehicle driven by the defendant. The plaintiff was a pedestrian in a crosswalk on November 23, 2009. She was hit by the defendant's car when, according to her, she had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There is no dispute that the defendant's vehicle made contact with the plaintiff in the crosswalk. However, according to the defendant, the plaintiff failed to take reasonable care when she elected to cross the street against a "Don't Walk" pedestrian sign. The defendant submits that the plaintiff "collided" with the defendant's vehicle. In the alternative, if the defendant is liable, he disputes the extent of the damages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Therefore, both liability and quantum are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is Emilija Bulatovic. She is currently 56 years old, married, and she has two grown-up daughters. Her husband works as a station attendant at the Vancouver Airport. The plaintiff and her husband came to Canada in 1994 from Bosnia-Herzegovina. They live in Richmond,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Prior to coming to Canada, the plaintiff had training and experience in accounting. For the first couple of years in Canada, she worked in a factory and, at the same time, she attempted to refresh her accounting skills. She was able to obtain accounting work for a large retailer in Vancouver from 2000-2001. She then had to work again in manufacturing and other work until, in 2005, she obtained work at a casino in Richmond, B.C. The work at the casino was, and is, as a pastry chef. She prepares and sets out various baked goods for events and for buffets.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testified that prior to the November 2009 accident, she had an active and interesting life. She was healthy and injury-free. She and her husband enjoyed walks, especially with their dog, sometimes three times per day. Her husband bought her a bicycle and she would use it for day trips sometimes. The family home is a townhouse but it allowed for a small garden. The plaintiff did the gardening and the upkeep for the rest of the 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testified that she did most of the chores in the home before the accident, such as cooking, cleaning, and laundry. Sewing was her "passion" and she made clothes for her children when they were young. She was also handy with some home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November 23, 2009, the plaintiff was walking by herself, south on the east side of Cooney Road in Richmond, British Columbia. It was about 5:00 p.m., almost dark, and it was raining. She approached Granville Avenue, a cross street with two lanes of traffic going east and two lanes going west and a median between the two directions. Cooney Road turns into St. Albans on the opposite, south side of Granville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intersection at Cooney Road and Granville Avenue is regulated by traffic and pedestrian signals and by crosswalks. Information from the City of Richmond indicates that, for the crosswalk where the accident occurred, the "Walk" signal is eight seconds, the flashing "Don't Walk" signal is twenty seconds, and the solid "Don't Walk" signal is six seconds. The pedestrian signal is operated by pedestrians pushing a button to activate the signal.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testified that she had made this trip before. She stopped at the curb on the northeast corner of Granville Avenue and she pushed the button for the pedestrian signal. She waited for the pedestrian signal to indicate "Walk". Then, "as soon as I saw white ... I started walking into the crosswalk". When she was "close to the middle", she noticed the pedestrian signal change to a flashing "Don't Walk". At this point she had crossed the two lanes of westbound traffic, she had crossed the median and she had stepped into the two lanes of eastbound traffic on Granville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the plaintiff recounted it, she was then hit by a car coming from behind her on her right. This was the defendant's car and it was turning left from Cooney Road onto Granville Avenue, behind and over the right shoulder of the plaintiff. The plaintiff testified that the defendant's car appeared with "no warning."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point of impact was, according to the plaintiff, the "second door" on the left side of the defendant's car. This was the door behind the driver's door. She fell to the ground on her right shoulder and she remembered her legs leaving the ground but she did not think she hit her head. She also remembered, while on the ground, thinking that the traffic light had changed and there was traffic going from west to east. She was scared of being hit by this traffic and she moved across the road to the other, south side, of Granville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She explained that, when she arrived at the sidewalk on Granville Avenue, she leaned on a pole. The defendant had pulled over and stopped on Granville Avenue at that point, he got out of his car and came to speak to her. The plaintiff testified that he asked her if she was alright; there is a dispute about how much time elapsed before this conversation took place. The plaintiff testified that she tried to memorize the license plate number of the defendant's car but she could not concentrate. She was, in her words, "stressed and confused". She tried to put the license number in her cell phone but she could not use the phone. According to the plaintiff, a woman who was also there (the defendant's wife) wrote down the information and gave it to the plaintiff. She testified that another man was also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cross-examination, the plaintiff denied she was walking through the crosswalk quickly. She said she was going at a "reasonable" pace and she did not stop. She denied having her head down. She was focussed ahead and she did not see any cars; the first time she was aware of the defendant's vehicle was when she was hit.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agreed that after the accident she walked to the curb. Her recollection of the conversation with the defendant was that he asked if she was okay and she said she was not okay. The defendant testified that the plaintiff said several times "I shouldn't have done that". She denied saying that and she explained this by saying "it is not in my vocabulary". The plaintiff was asked specifically whether she said she "should not have done that" because she was going against a "Don't Walk" signal. She denied this. The pedestrian sign was flashing, but "I had plenty of time to cross"; it was not the first time she had crossed and she had no reason to rush.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also testified about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had just picked up his wife, who was coming home from work, and they were driving home. The defendant and his wife speak fluent English but their first language is German. They drove south on Cooney Road and stopped at the red light on Granville Avenue to make a left hand turn. When the light changed to green, the defendant eased his vehicle into the intersection and then stopped to wait for oncoming traffic to clear. The traffic light in front of the defendant turned yellow and he made his left turn. Information from the City of Richmond indicates that the yellow or amber light is timed for four seconds. As will be seen, whether the light was yellow when the defendant made his turn is contentious.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his evidence, the defendant said that as he turned and crossed the intersection and entered the crosswalk, he noticed a person on his left crossing Granville Avenue as a pedestrian. She was running, according to the defendant. He swerved his vehicle to the left and, in the defendant's words, the plaintiff "bumped into" the defendant's vehicle. About the same time, the defendant heard his wife yell "pedestrian" in German. The point of contact was on the left side of the vehicle behind the driver's door. The defendant "immediately" pulled over to the curb on Granville Avenue and parked. The defendant got out of his car but he testified that he could not see the plaintiff. He stood on the sidewalk for, in his estimation, about forty to fifty seconds and then he noticed a woman walking north towards him on St. Albans (the continuation of Cooney Road, north of Granville Avenue). On the defendant's description the plaintiff had apparently walked across Granville Avenue and continued south down St. Albans Street. She then turned around and walked back to the intersection where she talked to the defendant and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his evidence the defendant described the plaintiff coming close to him and repeating, "I should not have done that". The defendant asked the plaintiff what she meant but he received no answer. He agreed that she seemed to be in shock. He asked her if she was alright and he told her he was sorry; in his evidence he said the words he used were, "I feel bad, I did not see you". He offered his insurance information to the plaintiff but she declined. She did ask for his phone number and, according to the defendant, she entered it into her cell phone. He also testified that "just before this" another person arrived. This turned out to be Tony Sheppard,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 returned to his car with his wife and they drove away. He then realized he did not have any information about the plaintiff. He returned to the intersection but he could not see her anywhere.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cross-examination, the defendant agreed that he could see south from the intersection into St. Albans Street without difficulty. He was looking for a break in the traffic. He was "one hundred percent sure" there was no break before the traffic light turned amber/yellow. When the plaintiff and the defendant's car made contact, the pedestrian light was flashing red "Don't Walk", according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this point, the defendant did not look left again because he believed it was clear. He agreed in cross-examination that he did not look to the left. He confirmed in his evidence the statement to this effect in discovery. He stopped his car after it made contact with the plaintiff and he knew she was injured. He could not remember any conversation with his wife at the time or after he parked at the curb, except for her saying "pedestrian" in German. He agreed he saw the plaintiff too late and there was nothing preventing him from seeing her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testified that when the plaintiff walked towards him and his wife, she was "a little confused". He did not notice her strong accent when she spoke. According to the defendant, Mr. Sheppard appeared about two to five minutes after the impact. When the defendant was asked if his wife was angry, he replied, "we were both in shock". He agreed that his wife said to him in the car, while they were driving away, that he should report the accident to the Insurance Corporation of B.C. (ICBC). He replied "not yet". In discovery, the defendant said his wife "gave me shit" and she said "you should have paid more attention". He replied to her that he did not see the plaintiff. He confirmed this account in his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Rita Siebert is the wife of the defendant and she also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She confirmed that the defendant picked her up and was driving her home on November 23, 2009. They were driving south on Cooney Road and they stopped for a red traffic light to turn left on Granville Avenue. When the light turned green, the defendant drove the car into the intersection and stopped about one-third into the intersection. The oncoming traffic cleared, the traffic light turned yellow, and the car slowly turned left. Ms. Siebert described the car almost through the crosswalk and straightening out when she noticed on the left a "black flash". She described it as a person running. She yelled "pedestrian" in German, and at the same time she felt a bump at the left rear door of the car. She saw the plaintiff through the rear side window, not the windshield.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 parked the car by the curb on Granville Avenue; Ms. Siebert got out with the defendant but they could not see anyone. Then Ms. Siebert noticed the plaintiff walking towards them. The defendant said to the plaintiff he was sorry, but he did not see her. Ms. Siebert testified that the plaintiff said more than once, "I should not have done that" but there is no explanation what that meant.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cross-examination, Ms. Siebert was asked if she was unhappy with the defendant's actions and she said she was "unhappy with the whole situation". It was upsetting and she had never experienced that sort of thing before. She agreed she told the defendant he should have been more careful and she agreed that she told him he should report the accident to ICBC. She works for ICBC. According to Ms. Siebert, the defendant replied that the plaintiff said she was okay and he had "examined all avenues". Ms. Siebert said that she told the defendant that he should still contact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 was a witness to the accident, Mr. Sheppard.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was driving east on Granville Avenue to go home from work. He stopped at the intersection with Cooney Road as the first car in the curb lane. This was at the southwest corner of the intersection and there was another car beside him to his left. He saw the plaintiff in the crosswalk going south, across the intersection, with the "Walk" signal. He also saw the defendant's vehicle coming from Cooney Road, going south to turn left onto Granville Avenue. The defendant's car drove forward after the traffic was clear in front of it. Mr. Sheppard testified that when the plaintiff was "just past" the halfway part of Granville Avenue, he saw her make contact with the defendant's car. According to Mr. Sheppard, she hit the right side of the car with "quite a thud". At this point, he said, the pedestrian signal was flashing "yellow" with "Don't Walk". (More than one witness used yellow and amber to mean the same thing.) According to Mr. Sheppard, the plaintiff fell to the ground, got up, and walked to the other side of Granville Avenue. The light defendant pulled his car up and stopped at the curb.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this point, Mr. Sheppard was still stopped waiting for his light to change so he could proceed east on Granville Avenue. He testified that his traffic light was still red after the impact. When he could proceed, he went through the intersection and pulled over to park in front of the defendant's vehicle. The plaintiff was leaning against a pole "in a state of shock" and she "was not making a lot of sense", according to Mr. Sheppard. The defendant and a woman were with her. Mr. Sheppard gave the plaintiff his phone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cross-examination, it was suggested to Mr. Sheppard that the defendant's car actually stopped in the intersection, rather than doing a rolling stop. He replied that was not how he remembered it. He was focussing on the car rather than on any of the lights but the plaintiff was "right under the pedestrian light" and he could see it change from "Walk" to "Don't Walk". He was asked if the impact was on the left side of the defendant's car rather than on the right side. He replied, "to the best of my recollection", the plaintiff was "bouncing along" the right side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Sheppard provided a witness statement to ICBC on July 14, 2010. It was recorded by Susanna Ang, an adjuster with ICBC. The statement, in part,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Spoke to witness Tony Sheppard. He was on Granville heading east. It was dark and rainy that day. He noticed a car coming south on Cooney and make a left turn to head east onto Granville. </w:t>
      </w:r>
      <w:r>
        <w:rPr>
          <w:rFonts w:ascii="arial" w:eastAsia="arial" w:hAnsi="arial" w:cs="arial"/>
          <w:i/>
          <w:color w:val="000000"/>
          <w:sz w:val="20"/>
          <w:lang w:val="en-US" w:eastAsia="en-US" w:bidi="ar-SA"/>
        </w:rPr>
        <w:t>The light was yellow already</w:t>
      </w:r>
      <w:r>
        <w:rPr>
          <w:rFonts w:ascii="arial" w:eastAsia="arial" w:hAnsi="arial" w:cs="arial"/>
          <w:color w:val="000000"/>
          <w:sz w:val="20"/>
          <w:lang w:val="en-US" w:eastAsia="en-US" w:bidi="ar-SA"/>
        </w:rPr>
        <w:t>. There had been a pedestrian crossing the road at that time. She was more than halfway already. He can't recall what color she had been wearing ...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cross-examination Mr. Sheppard denied that he meant that the traffic light was yellow. He stated that he had "reflected on it" and it was the pedestrian light that was yellow. He also said that his statement "may have been interpreted" to mean that the traffic signal was yellow but he "intended to say it was the pedestrian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Ang testified. She said that part of her job as an adjuster is to keep notes of interviews with witnesses such as Mr. Sheppard. She confirmed that she took the notes and she reviewed them prior to giving evidence. She stated that Mr. Sheppard said that the traffic light was yellow. She could not remember if she asked or Mr. Sheppard referred to the pedestrian light. In cross-examination Ms. Ang was asked whether her evidence was only based on her notes. She replied that her notes "triggered" her memory. She agreed that Mr. Sheppard had no idea what she wrote down. She also agreed that the notes do not refer to the traffic light being yellow.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was able to walk home from the accident with minimal symptoms. Later in the evening, she noticed more pain in the right shoulder and headaches. There were also bruises on her right hip and into the right leg. She did not sleep well that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next morning she still had a headache but it was less severe, her right shoulder was more painful. The right leg was painful but she could walk. She decided to go to work. She was the only one working in her department that day and she thought she could get through it. Her colleagues helped her with some duties. However, about noon she decided she could not work, she told a manager, and her husband came to pick her up. They went to a walk-in clinic and the plaintiff was examined by Dr. Smeeta Desai-Ranchod, a family practitioner. Following an examination in which head injury was ruled out, the plaintiff was advised to go home and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testified that one week after the accident, she continued to have headaches as well as pain in her right arm and shoulder. She had difficulty lifting and carrying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headaches were described by the plaintiff as being at the back of the head, over the top, and into the eyes. They were constant for the first two weeks, mostly severe but sometimes less so. She was resting and using over the counter medications. The shoulder and arm pain also continued, with the shoulder pain reaching into the neck. Sleeping was a problem. Her initial pain in the left leg and hip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As above, the plaintiff worked on November 24, 2009, (for six hours) and then did not work for the next four days. She worked the following two weeks but was off work the week of December 15-19, 2009. Attempts at reduced work hours and a graduated return took place into 2010, with a return to full time hours in August 2010. She did not think she was ready to return to work full time but her employer put pressure on her to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She continues to work as a pastry chef but she described in her evidence various problems with the work. For example, she has to take shortcuts moving trays of baked goods by using a guest elevator rather than a staff elevator. The latter requires her to push trays over a ridge and that is difficult for her shoulder and neck. She is concerned about being found out about using the wrong elevator. She testified that she does "what is asked" at work but she has to do it the easiest way. Cutting frozen cakes with a large knife is a significant part of her duties and this is difficult with her shoulder. She can decorate cakes as long as the piping bag is full and soft.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Overall, she is now considering retirement in order to make her life more manageable, but she cannot afford to retire. She testified that she would not be considering retirement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has tried a number of treatments, including physiotherapy, massage therapy, laser acupuncture, and injections. She was able to go on a vacation to Cuba in 2010. The plaintiff testified that her injury has caused significant negative impacts in her life. She is no longer able to bake or cook for her family or to look after the house. Her husband and daughters help out more now. She comes home from work "very tired" and she has to rest to "save myself for tomorrow". She cannot sew unless it is "necessary" and she cannot do tasks like painting and small repairs. Her ability to spend time with her grandchildren is now restricted.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her evidence at trial, the plaintiff described her current symptoms, as of December 2012. The neck "still bothers" her but it depends on how much she has to work. By the end of the work week, she is very painful and tired. The shoulder is "the same as the neck" and the pain always goes between the neck and shoulder. She still gets headaches, mostly at the end of her work week. They can last one or two days. At least one or two nights per week it is hard to either get to sleep or stay asleep. She has massage therapy every week and that gives her some relief. Her family also gives her massages. She exercises every morning before going to work. Current medication includes two or three Tylenol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cross-examination, the plaintiff was asked if she had improved. She had said in discovery that her condition had "mostly" improved. She agreed she had improved. She had also described a problem with her right hand, numbness and sometimes pain into the shoulder and arm. She had headaches "like everybody else" before the accident but afterwards they were different, in the back of the head. The plaintiff had an injury to her left hand in October 2010 when she tripped and caught her finger on the sidewalk. She denied any ongoing problems from that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entered into evidence three expert reports from Dr. Desai-Ranchod, Dr. Mark Adrian (a specialist in physical medicine and rehabilitation), and from an occupational therapist, Ms. Katie Barr. The defendant did not submit any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summarize the evidence of the three experts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Dr. Smeeta Desai-Ranchod (date of report: March 7,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Desai-Ranchod was the physician that the plaintiff saw the day after the accident on November 23, 2009. She continues to see the plaintiff and her chart was reviewed in some detail in her examination-in-chief and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her report of March 7, 2012, Dr. Desai-Ranchod diagnosed soft tissue injury to the neck, right hip, knee and leg, as well as headaches with dizziness (post-concussion injury) arising out the November 2009 accident. In cross-examination, she ruled out concussion. Treatment included massage therapy, physiotherapy, trigger point injections, laser acupuncture therapy, and a graduated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With regards to prognosis, further treatment, and effect upon employment, Dr. Desai-Ranchod stated in her report:</w:t>
      </w:r>
      <w:r>
        <w:rPr>
          <w:rFonts w:ascii="arial" w:eastAsia="arial" w:hAnsi="arial" w:cs="arial"/>
          <w:sz w:val="20"/>
          <w:lang w:val="en-US" w:eastAsia="en-US" w:bidi="ar-SA"/>
        </w:rPr>
        <w:cr/>
      </w:r>
    </w:p>
    <w:p>
      <w:pPr>
        <w:numPr>
          <w:numId w:val="1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Patient has recovered 60-80% from injuries however muscular spasms will recur with any strenuous activity, resulting in need for massage therapy, physiotherapy, and laser acupuncture therapy. As client advances in age, ability to continue same workload will be impacted as muscle spasms with ongoing headaches will recur and limit her function.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been advised to have regular monthly massage therapy. During acute exacerbations she has been advised to commence laser acupuncture and trigger point injections.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Opinion as to effect of injuries upon employment: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Bulatovic has no other skill set and she is dependent on her present job. With her present soft tissue injuries and good probability of recurring, it is unlikely she could train or perform for any other job which would be less demanding.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cross-examination Dr. Desai-Ranchod's chart was reviewed in some detail. She agreed that the first record of dizziness after the November 2009 accident was in July 2010. Her chart recorded that on March 4, 2010 the plaintiff described being much improved with a marked decrease in pain. No MRI was ordered and there was only an x-ray done of the right knee and hip, not the neck. Dr. Desai-Ranchod was concerned about the plaintiff getting back to work. This was encouraged earlier on and it included one incident where Dr. Desai-Ranchod "confronted" the plaintiff's employer about her lifting too much weight (in Dr. Desai-Ranchod's words). A graduated return to work was put in place and by October 2010 the plaintiff was cleared to work eight hour days.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Dr. Mark Adrian (report dated: February 27, 2012, completed March 19,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Adrian is a physical medicine and rehabilitation specialist and he examined the plaintiff on February 27,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examination, the plaintiff was found to be pleasant and cooperative. She had a normal appearing gait and a full and pain-free range of motion in her lower back. Her neck extension and right rotation were seventy-five percent of normal due to pain symptoms. Left rotation was full but that triggered neck pain as well. Forward flexion was full, but also triggered neck pain. There was tenderness present over the mid-cervical spine segments. A neurological examination was negative. A musculoskeletal examination demonstrated pain involving the right shoulder cap with flexion and adduction. Internal rotation was full but produced discomfort with the right shoulder. Other upper body tests revealed pain, discomfort, and tenderness on the right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Adrian opined that the plaintiff suffers from chronic mechanical neck pain. She has headaches that are triggered by the neck pain and related to the neck. There was no information about problems with the plaintiff's neck prior to the November 2009 accident. Dr. Adrian concluded that the neck pain symptoms were causally related to that accident. Right shoulder cap pain was noted and this was triggered by activities that physically load the right rotator cuff. Dr. Adrian opined that this was due to right rotator cuff tendinopathy. Further, these symptoms were causally related to the 2009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With regards to prognosis and functional capacity, Dr. Adrian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general, individuals suffering from mechanical neck pain or soft tissue pain (rotator cuff tendinopathy) following an accident can experience improvement over time. Some individuals, however, experience persistent pain despite the passage of time. In other words, not all individuals recover from these types of injuries. In my experience, individuals suffering from persistent mechanical spinal pain or soft tissue-related pain beyond two years from the date of injury are unlikely to experience further significant improvement.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Ms. Bulatovic's situation, over two years have elapsed since the accident date. She experiences persistent pain symptoms involving her neck and right shoulder that affect her activity levels. The prognosis for further recovery of the injuries suffered in the accident over time is poor.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Functional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Bulatovic will probably continue to experience difficulty performing employment, recreational, or household activities that involve prolonged static or awkward positioning involving her neck; forceful pushing or pulling; prolonged or repetitive reaching; or heavy or repetitive lifting. These physical limitations are unlikely to improve with time. Ms. Bulatovic is probably permanently partially disabled as a result of the injuries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Adrian also made the following therapeutic recommendations: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Bulatovic may benefit with the involvement of a personal trainer to instruct her in a therapeutic exercise program, working on strengthening and stabilizing the neck and right shoulder blade region, and progressive right rotator cuff strengthening. The goals of the exercise program are to optimize Ms. Bulatovic's fitness of her neck and shoulder. It is unlikely, however, that exercise will "cure" her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Bulatovic experiences difficulty performing certain work activities that involve her neck and right shoulder. She may benefit with the involvement of an occupational therapist to perform a worksite visit. It is possible that with optimization of the ergonomic set-up of the worksite, certain work activities may be less uncomfortable for Ms. Bulatovic.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Bulatovic may benefit with a trial of a right subacromial steroid injection. This procedure involves placing anti-inflammatory medication (steroid medication) adjacent to the rotator cuff. It is possible that this procedure could assist with Ms. Bulatovic's right shoulder pain. The degree or duration of improvement with this type of procedure is unpredictable.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cross-examination, Dr. Adrian acknowledged that there was no mention in his report that the plaintiff had received injections and laser acupuncture from Dr. Desai-Ranchod. He stated that the plaintiff might have mentioned it in his interview with her. He denied that the plaintiff had mentioned any headaches before the November 2009 accident. He also stated that the headaches were a manifestation of the neck problems rather than arising from the brain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Adrian was also asked whether the plaintiff's complaints were purely subjective. He acknowledged some subjectivity with pain but he also stated that some of the symptoms were reproducible by him on examination and, therefore, they were objective. He agreed that most people with soft-tissue injuries recover over time but about 10-15% do not recover. He opined that the plaintiff's symptoms were stable and they were not expected to get better or worse.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Katie Barr, Registered Physiotherapist (report dated: July 31,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Barr is a registered physiotherapist and she conducted a physical capacity evaluation of the plaintiff on July 17,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With regards to effort testing, the plaintiff presented with "mixed behavioural and effort profiles". There were some behavioural findings that "had a mild effect on the comprehensiveness of functional testing". As well, there were "indications of less than full effort on testing of grip strength and on testing of strength capacity". However overall, she was assessed as having given sufficient effort during the physical capacity evaluation such that test results can be relied upon to be reflective of her current physical capacity, particularly as it relates to her physical limits in the presence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 musculoskeletal review demonstrated postural abnormalities "mild wasting of the muscle belly" and other findings. Range of motion of all joints was within normal limits with the exception of neck side flexion and rotation and right shoulder for external rotation. These were limited to approximately 90% of normal. The plaintiff's movement patterns at her right shoulder were considered slow and guarded and she required extra effort to move her right hip through a full range of extension. She reported pain with all right shoulder and hip movements. Neurological testing was unremarkable.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By way of a summary of the plaintiff's primary restrictions, Ms. Barr stated the following:</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Body Position (Standing/Walking)</w:t>
      </w:r>
      <w:r>
        <w:rPr>
          <w:rFonts w:ascii="arial" w:eastAsia="arial" w:hAnsi="arial" w:cs="arial"/>
          <w:color w:val="000000"/>
          <w:sz w:val="20"/>
          <w:lang w:val="en-US" w:eastAsia="en-US" w:bidi="ar-SA"/>
        </w:rPr>
        <w:t>. Ms. Bulatovic is not restricted from occupations that require standing or walking on a frequent basis, but in my opinion she would perform best if static standing tasks were limited to 10-minute intervals and walking tasks were limited to 5-minute intervals.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Body Dexterity tasks (Stooping/Crouching)</w:t>
      </w:r>
      <w:r>
        <w:rPr>
          <w:rFonts w:ascii="arial" w:eastAsia="arial" w:hAnsi="arial" w:cs="arial"/>
          <w:color w:val="000000"/>
          <w:sz w:val="20"/>
          <w:lang w:val="en-US" w:eastAsia="en-US" w:bidi="ar-SA"/>
        </w:rPr>
        <w:t>. Ms. Bulatovic is restricted from performing stooping on a frequent or repetitive basis or for greater than 2-minute intervals. She qualifies for occupations that require occasional to frequent kneeling, but such tasks should not be required repetitively and should be limited to 4-minute intervals. She did not demonstrate the ability to perform intermittent or sustained crouching in a functional manner, and as such, she has been assessed as restricted in this regard.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Limb Coordination (Climbing/Balancing/Reaching/Handling)</w:t>
      </w:r>
      <w:r>
        <w:rPr>
          <w:rFonts w:ascii="arial" w:eastAsia="arial" w:hAnsi="arial" w:cs="arial"/>
          <w:color w:val="000000"/>
          <w:sz w:val="20"/>
          <w:lang w:val="en-US" w:eastAsia="en-US" w:bidi="ar-SA"/>
        </w:rPr>
        <w:t>. Ms. Bulatovic is restricted to infrequent and short-duration climbing of stairs (such as 1 flight) to enter or exit a work place only. A handrail should be available for her use. Balancing tasks are limited to changing body positions in a controlled manner and to working on level surfaces. Reaching is permitted on both an occasional and frequent basis, but Ms. Bulatovic has been assessed as being best suited to jobs where she is able to alternate between reaching with her right (dominant) and left (non-dominant) arm and where pace of work is not a critical factor. Also, right-sided reaching requirements should be predominantly at below chest level and intermittent in nature or, if sustained, should be limited to less than 1-minute intervals. Assuming a work-intensive posture should be limited to 10-minute intervals occasionally. Neck extension should also be minimized when reaching to overhead. Of note, if significant use of awkward arm postures or application of a force is also required, Ms. Bulatovic's tolerance to reaching may be further impacted, such that she may be only able to reach with the right arm on an occasional basis. Handling is permitted on a frequent basis as long as speed of work is not a critical factor and handling requirements are consistent with her tolerance to other associated Physical Activity Factors.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Strength</w:t>
      </w:r>
      <w:r>
        <w:rPr>
          <w:rFonts w:ascii="arial" w:eastAsia="arial" w:hAnsi="arial" w:cs="arial"/>
          <w:color w:val="000000"/>
          <w:sz w:val="20"/>
          <w:lang w:val="en-US" w:eastAsia="en-US" w:bidi="ar-SA"/>
        </w:rPr>
        <w:t>. Based on her demonstrated performance, Ms. Bulatovic is restricted to lifting, pushing and pulling within a limited strength category (i.e., up to 5 kilograms/ 11 pounds) and carrying within a light strength category (i.e.. 9.1 kilograms/20 pounds).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Activity Tolerance</w:t>
      </w:r>
      <w:r>
        <w:rPr>
          <w:rFonts w:ascii="arial" w:eastAsia="arial" w:hAnsi="arial" w:cs="arial"/>
          <w:color w:val="000000"/>
          <w:sz w:val="20"/>
          <w:lang w:val="en-US" w:eastAsia="en-US" w:bidi="ar-SA"/>
        </w:rPr>
        <w:t>. Ms. Bulatovic is able to work on a full-time basis, but based on her demonstrated performance, she would be best suited to jobs where speed of work is not a critical factor and where breaks (such as 15 minutes for coffee twice daily and at least 30 minutes for lunch) are offered on a consistent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With regards to the plaintiff's employment, Ms. Barr noted that the plaintiff qualified for the strength demands of a pastry cook helper as defined in the National Occupational Classification, but for carrying tasks only. She also demonstrated potential limitations and restrictions with respect to reaching, handling, and static standing. As a summary of the plaintiff's employability, Ms. Barr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while Ms. Bulatovic is currently able to perform her work, she requires duty modification (in the form of altering her work station or relying on her left/non-dominant and unaffected limb to perform work), assistance from co-workers and pain-relieving medication in order to manage her symptoms and overcome her physical limitations. As such, her ability to sustain her work over the long term is in question particularly should her current pain experience persist. Job security may also be an issue should she be found to no longer meet the expectations of her employer. Also, in those areas where Ms. Bulatovic may be exceeding her physical capacity in the performance of her work tasks, she may be at risk of further aggravation or injury. She may also be at risk of a repetitive strain injury with over-reliance on her left limb. Relying on the medical opinions provided to date, her current functional limitations appear to be a direct result of the injuries she sustained in the accident and her ongoing experience of pain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Barr also recommended physiotherapy treatment, kinesiologist monitoring and pain management education in order to increase her employability and assist with pain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cross-examination, Ms. Barr agreed she was not retained to give an opinion on physical exercises that would be appropriate for the plaintiff. During her assessment with Ms. Barr, the plaintiff described right shoulder pain as constant but varying in intensity. Ms. Barr was asked about subjective complaints by the plaintiff and Ms. Barr denied that was all she considered. She matched objective findings with subjective complaints to assess whether the latter were valid. Ms. Barr agreed that most people with soft-tissue injuries recover completely. However, pain that lasts for more than six months is considered chronic pain and pain for more than two years suggests there will be little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As above, liability and quantum are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 November 23, 2009 there was an accident involving the plaintiff and the defendant's vehicle. It was early evening, it was dark and it was raining. The accident took place at the intersection of Clooney Road and Granville Avenue. In Richmond,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Specifically, the accident occurred in a crosswalk on the south side of the median on Granville Avenue as the plaintiff was walking south. The defendant was driving his vehicle and turning left from Cooney Road onto Granville Avenue, with his wife as a passenger. The intersection is regulated by traffic and pedestrian signals. The plaintiff's injuries resulted from either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or the defendant, 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both of them. That much is not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Other facts are seriously contested. One of these is whether the plaintiff entered the intersection on a "Walk" signal.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 testified that she waited on the northeast corner of the intersection after she pushed the button for a "Walk" signal. When that signal appeared she stepped into the crosswalk to walk across Granville Avenue. On the other hand, the defendant submits that the plaintiff started to cross Granville Avenue when the signal said start "Don't 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starting point for the defendant's submission is that his vehicle turned left when the traffic light was yellow. The significance of the yellow light, according to the defendant, relates to the timing sequence of the traffic and pedestrian lights at the intersection. Relying on information provided by the City of Richmond, it is submitted that it was not possible for the plaintiff to step off the curb on a "Walk" pedestrian signal and for the defendant to turn on a yellow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 key part of the defendant's submission is his evidence that he slowly turned left on a yellow light. His wife, who was in the car with him, testified in virtually the same terms about an event that occurred three years ago. A related matter is that the defendant wrote his statement for ICBC with the assistance of his family, including his wife who works for ICBC. The defendant agreed in cross examination that he had actually memorized the statement by the time he gave his evidence in this court. For these reasons, I find that there is reason to question the reliability of the defendant's evidence and that of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defendant's timing/sequencing argument is countered by one made on behalf of the plaintiff, also based on timing and sequences. It challenges the assertion by the defendant that he turned left on a yellow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relies on the evidence of Mr. Sheppard that, when he witnessed the accident, he was stopped in his car at a red light (facing east on Granville Avenue). He testified that his light did not turn green for fifteen to thirty seconds. He then crossed the intersection, parked in front of the defendant's vehicle and walked to the corner, where the plaintiff was talking to the defendant and his wife. The defendant estimated in his evidence that Mr. Sheppard arrived about two and one-half to three minutes after the accident. The defendant's wife, Ms. Siebert thought it was two to two and one-half minutes. The result, according to the plaintiff and using the information on timing from the City of Richmond, is that the defendant turned before the traffic light turned yellow, when the light was green. Therefore, the plaintiff started across Granville Avenue with a "Walk" signal.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There are also issues of reliability with respect to the evidence of Mr. Sheppard's.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First, there is the statement he gave to ICBC and that is recorded in the notes of Ms. Ang. As above, Mr. Sheppard was recorded as saying "the light was yellow already." In his evidence he stated that he was referring to the pedestrian signal, rather than the traffic light. As Ms. Ang confirmed in her evidence, there is no reference in the notes to a specific light with regards to the light being yellow. On the other hand, the reference to the yellow light does follow a sentence referring to the movement of the defendant's vehicle. At best, this is confusing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Sheppard also testified that the plaintiff and the defendant's car made contact on the right side of the vehicle. This is inconsistent with all the other accounts of the accident, including the plaintiff's. I find that the point of contact between the plaintiff and the defendant's vehicle was on the left side of the vehicle, by the rear passenger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Overall I find that Mr. Sheppard's evidence as a whole is not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acknowledge the logic of the timing/sequences arguments of each party but, of course, they both cannot be correct. As well, as above, there are problems with the underlying facts of these arguments. I also note that the plaintiff was not cross-examined about whether she left the curb on "Walk" or "Don't Walk" signals. Similarly, the defendant was not challenged about whether he turned left on a yellow or green light. I conclude that the arguments based on timing and sequencing are of a speculative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Section 132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Pedestrian controls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132 (1) When the word "walk" or an outline of a walking person is exhibited at an intersection by a pedestrian traffic control signal, a pedestrian may proceed across the roadway in the direction of the signal in a marked or unmarked crosswalk and has the right of way over all vehicles in the intersection or any adjacent crosswalk.</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word "walk" or an outline of a walking person is exhibited at a place other than an intersection by a pedestrian traffic control signal, a pedestrian may proceed across the roadway in the direction of the signal and has the right of way over all vehicles.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word "wait", the words "don't walk" or an outline of a raised hand are exhibited at an intersection or at a place other than an intersection by a pedestrian traffic control signal,</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must not enter the roadway,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proceeding across the roadway and facing the word "wait", the words "don't walk", or an outline of a raised hand exhibited after he or she entered the roadway</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proceed to the sidewalk as quickly as possible, and</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right of way for that purpose over all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note that the defendant characterizes the contact between the plaintiff and the defendant's vehicle as the former "colliding" with the latter. On this view, the plaintiff somehow was responsible, in whole or in part, for the accident. It is true that the point of impact was the rear passenger door on the driver's side, rather than the front of the vehicle. There is no evidence of the speed of the vehicle. However, the plaintiff was entitled to proceed through the crosswalk with the protection of the right of way. It is possible she had her head down but that is speculation on the part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accident happened very quickly and it was dark and rainy. I find that neither the defendant nor his wife had time to see the plaintiff beforehand. That is, they could not see her running. As they testified, they did not know of the plaintiff until the accident. As well, if the plaintiff was hurrying to cross Granville Avenue after the pedestrian signal turned to "Don't Walk" that is understandable and is consistent with section 132(3)(b)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Finally, I note the defendant's evidence in cross-examination that he did not see the plaintiff until it was too late and that there was nothing preventing him from seeing her earlier. I find that is an accurate description of the accident and the November 2009 accident was entirely in the control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More generally, the reason for the legal protection of pedestrians in crosswalks is the significant inequality in speed and force between a motor vehicle and a pedestrian. A pedestrian is entitled to walk through a crosswalk, taking reasonable precautions consistent with having the right of way, knowing that she is safe. I find that the plaintiff took those precautions and she is entitled to the legal protection of having the right of way under section 132(1) of the </w:t>
      </w:r>
      <w:r>
        <w:rPr>
          <w:rFonts w:ascii="arial" w:eastAsia="arial" w:hAnsi="arial" w:cs="arial"/>
          <w:i/>
          <w:color w:val="000000"/>
          <w:sz w:val="20"/>
          <w:lang w:val="en-US" w:eastAsia="en-US" w:bidi="ar-SA"/>
        </w:rPr>
        <w:t>Motor Vehicle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also adopt the comments of a previous judgement (</w:t>
      </w:r>
      <w:r>
        <w:rPr>
          <w:rFonts w:ascii="arial" w:eastAsia="arial" w:hAnsi="arial" w:cs="arial"/>
          <w:i/>
          <w:color w:val="000000"/>
          <w:sz w:val="20"/>
          <w:lang w:val="en-US" w:eastAsia="en-US" w:bidi="ar-SA"/>
        </w:rPr>
        <w:t>Hooper v. Nair,</w:t>
      </w:r>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2009 BCSC 862</w:t>
        </w:r>
      </w:hyperlink>
      <w:r>
        <w:rPr>
          <w:rFonts w:ascii="arial" w:eastAsia="arial" w:hAnsi="arial" w:cs="arial"/>
          <w:color w:val="000000"/>
          <w:sz w:val="20"/>
          <w:lang w:val="en-US" w:eastAsia="en-US" w:bidi="ar-SA"/>
        </w:rPr>
        <w:t xml:space="preserve">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accept the plaintiff's submission that in order to prove that a plaintiff pedestrian was contributorily negligent, the defendant driver bears the onus of establishing not only inadequate attention on the part of the pedestrian but also must show that by the time the pedestrian realized the driver was not going to yield the right-of-way to the pedestrian, that it would at that point have been possible for the pedestrian to avoid the driver's car. As well, the driver must show that a reasonable person in the circumstances of the pedestrian would have taken and succeeded in actions which would have avoided impact with the driver's car: Olesik v. Mackin, </w:t>
      </w:r>
      <w:hyperlink r:id="rId414" w:history="1">
        <w:r>
          <w:rPr>
            <w:rFonts w:ascii="arial" w:eastAsia="arial" w:hAnsi="arial" w:cs="arial"/>
            <w:i/>
            <w:color w:val="0077CC"/>
            <w:sz w:val="20"/>
            <w:u w:val="single"/>
            <w:shd w:val="clear" w:color="auto" w:fill="FFFFFF"/>
            <w:lang w:val="en-US" w:eastAsia="en-US" w:bidi="ar-SA"/>
          </w:rPr>
          <w:t>[1987] B.C.J. No. 229</w:t>
        </w:r>
      </w:hyperlink>
      <w:r>
        <w:rPr>
          <w:rFonts w:ascii="arial" w:eastAsia="arial" w:hAnsi="arial" w:cs="arial"/>
          <w:color w:val="000000"/>
          <w:sz w:val="20"/>
          <w:lang w:val="en-US" w:eastAsia="en-US" w:bidi="ar-SA"/>
        </w:rPr>
        <w:t xml:space="preserve"> (23 February 1987), Vancouver B860365 (S.C.); Pinto v. Rana, </w:t>
      </w:r>
      <w:hyperlink r:id="rId415" w:history="1">
        <w:r>
          <w:rPr>
            <w:rFonts w:ascii="arial" w:eastAsia="arial" w:hAnsi="arial" w:cs="arial"/>
            <w:i/>
            <w:color w:val="0077CC"/>
            <w:sz w:val="20"/>
            <w:u w:val="single"/>
            <w:shd w:val="clear" w:color="auto" w:fill="FFFFFF"/>
            <w:lang w:val="en-US" w:eastAsia="en-US" w:bidi="ar-SA"/>
          </w:rPr>
          <w:t>[1993] B.C.J. No. 1312</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find that the plaintiff stepped into the crosswalk on Granville Avenue, going south, when the pedestrian signal said "Walk". I accept her evidence that she pushed the button that controlled the pedestrian light and she waited for it to turn to "Walk". Again, her evidence on this point was not directly challenged. The evidence and submissions that the plaintiff took inadequate attention or could have somehow avoided the accident are not, in my view, persuasive. More persuasive, is the defendant's evidence that he could have looked to his left in order to see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It follows from Section 132(1) and my findings above that the plaintiff entered the crosswalk with a "Walk" signal, that she had the right of way over all vehicles, including the defendant. It also follows that the defendant was negligent in not looking for pedestrians in the crosswalk when he made his left turn. To be clear, I do not find that the plaintiff was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As a result of my conclusion above that the defendant was solely responsible for the November 2009 accident, the plaintiff is entitled to damages without any 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assess those damages under the following headings.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It is agreed that the plaintiff is entitled to past income loss in the amount of $7,100, net of taxes. I fix damages in that amount.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 claims an amount of $2,377.50. This is made up of expenses paid by the plaintiff for physiotherapy, chiropractic treatment, massage therapy and laser acupuncture.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defendant acknowledges that special damages are usually not contentious but the plaintiff provided documentation for her claim only "recently." The defendant's concern relates to re-imbursement of expenses to the plaintiff from benefit plans through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agree with the plaintiff that whether receipts are provided or not, and whether the employer paid all or part of the benefits, is not determinative. Any reimbursement from a benefit carrier is a collateral benefit and is not deducted from special damages (</w:t>
      </w:r>
      <w:r>
        <w:rPr>
          <w:rFonts w:ascii="arial" w:eastAsia="arial" w:hAnsi="arial" w:cs="arial"/>
          <w:i/>
          <w:color w:val="000000"/>
          <w:sz w:val="20"/>
          <w:lang w:val="en-US" w:eastAsia="en-US" w:bidi="ar-SA"/>
        </w:rPr>
        <w:t>Cunningham v. Wheeler</w:t>
      </w:r>
      <w:r>
        <w:rPr>
          <w:rFonts w:ascii="arial" w:eastAsia="arial" w:hAnsi="arial" w:cs="arial"/>
          <w:color w:val="000000"/>
          <w:sz w:val="20"/>
          <w:lang w:val="en-US" w:eastAsia="en-US" w:bidi="ar-SA"/>
        </w:rPr>
        <w:t xml:space="preserve">, </w:t>
      </w:r>
      <w:hyperlink r:id="rId416" w:history="1">
        <w:r>
          <w:rPr>
            <w:rFonts w:ascii="arial" w:eastAsia="arial" w:hAnsi="arial" w:cs="arial"/>
            <w:i/>
            <w:color w:val="0077CC"/>
            <w:sz w:val="20"/>
            <w:u w:val="single"/>
            <w:shd w:val="clear" w:color="auto" w:fill="FFFFFF"/>
            <w:lang w:val="en-US" w:eastAsia="en-US" w:bidi="ar-SA"/>
          </w:rPr>
          <w:t>[1994] 1 S.C.R. 359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fix special damages in the amount of $2,377.50.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 previous judgment has set out the legal approach to non-pecuniary damages (</w:t>
      </w:r>
      <w:r>
        <w:rPr>
          <w:rFonts w:ascii="arial" w:eastAsia="arial" w:hAnsi="arial" w:cs="arial"/>
          <w:i/>
          <w:color w:val="000000"/>
          <w:sz w:val="20"/>
          <w:lang w:val="en-US" w:eastAsia="en-US" w:bidi="ar-SA"/>
        </w:rPr>
        <w:t>Rhodes v. Biggar,</w:t>
      </w:r>
      <w:r>
        <w:rPr>
          <w:rFonts w:ascii="arial" w:eastAsia="arial" w:hAnsi="arial" w:cs="arial"/>
          <w:color w:val="000000"/>
          <w:sz w:val="20"/>
          <w:lang w:val="en-US" w:eastAsia="en-US" w:bidi="ar-SA"/>
        </w:rPr>
        <w:t xml:space="preserve"> </w:t>
      </w:r>
      <w:hyperlink r:id="rId417" w:history="1">
        <w:r>
          <w:rPr>
            <w:rFonts w:ascii="arial" w:eastAsia="arial" w:hAnsi="arial" w:cs="arial"/>
            <w:i/>
            <w:color w:val="0077CC"/>
            <w:sz w:val="20"/>
            <w:u w:val="single"/>
            <w:shd w:val="clear" w:color="auto" w:fill="FFFFFF"/>
            <w:lang w:val="en-US" w:eastAsia="en-US" w:bidi="ar-SA"/>
          </w:rPr>
          <w:t>2010 BCSC 762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[140] It is now well-accepted law that the statement of the legal test for causation is that set out in the case of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at paras. 21-23: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First, the basic test for determining causation remains the "but for" test. This applies to multi-cause injuries. The plaintiff bears the burden of showing that "but for" the negligent act or omission of each defendant, the injury would not have occurred. Having done this,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apportioned, as permitted by statute.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This fundamental rule has never been displaced and remains the primary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As stated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Major, J.,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Similarly as I noted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at para. 78, "[t]he rules of causation consider generally whether 'but for' the defendant's acts, the plaintiff's damages would have been incurred on a balance of probabilities."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"but for" test recognizes that compensation for negligent conduct should only be made "where a substantial connection between the injury and the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p. 327,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Sopinka,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[141] The purpose of non-pecuniary damage awards is to compensate the plaintiff for "pain, suffering, loss of enjoyment of life and loss of amenities": </w:t>
      </w:r>
      <w:r>
        <w:rPr>
          <w:rFonts w:ascii="arial" w:eastAsia="arial" w:hAnsi="arial" w:cs="arial"/>
          <w:i/>
          <w:color w:val="000000"/>
          <w:sz w:val="20"/>
          <w:lang w:val="en-US" w:eastAsia="en-US" w:bidi="ar-SA"/>
        </w:rPr>
        <w:t>Jackson v. Lai</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2007 BCSC 1023</w:t>
        </w:r>
      </w:hyperlink>
      <w:r>
        <w:rPr>
          <w:rFonts w:ascii="arial" w:eastAsia="arial" w:hAnsi="arial" w:cs="arial"/>
          <w:color w:val="000000"/>
          <w:sz w:val="20"/>
          <w:lang w:val="en-US" w:eastAsia="en-US" w:bidi="ar-SA"/>
        </w:rPr>
        <w:t xml:space="preserve"> at para. 134; see also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83 D.L.R. (3d) 452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Kuskis v. Hon Tin</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While each award must be made with reference to the particular circumstances and facts of the case, other cases may serve as a guide to assist the Court in arriving at an award that is just and fair to both parties: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at para. 136.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[144] There are a number of factors that courts must take into account when assessing this type of claim. Madam Justice Kirkpatrick, writing for the majority,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263 D.L.R. (4th) 19</w:t>
        </w:r>
      </w:hyperlink>
      <w:r>
        <w:rPr>
          <w:rFonts w:ascii="arial" w:eastAsia="arial" w:hAnsi="arial" w:cs="arial"/>
          <w:color w:val="000000"/>
          <w:sz w:val="20"/>
          <w:lang w:val="en-US" w:eastAsia="en-US" w:bidi="ar-SA"/>
        </w:rPr>
        <w:t>, outlines the factors to consider, at para. 46: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[146] The role that damages plays is to place the plaintiff, as much as possible, in her original position. It is not the obligation of the defendant to put the plaintiff in a better condition than she was in. As noted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35, </w:t>
      </w:r>
      <w:hyperlink r:id="rId95"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Mr. Justice Major: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 is 57 years old. She has no pre-existing conditions or other injuries that are relevant. She had a fall while walking her dog in 2010 when she tripped on the sidewalk. Dr. Desai-Ranchod described this as a minor contusion to the left hand and I find she is fully recovered from this temporary and minor injury. The defendant explored the possibility of a carpal tunnel syndrome but was not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plaintiff's symptoms include neck and shoulder pain and headaches. The general physician, Dr. Desai-Ranchod, has diagnosed soft tissue injury to the neck. Dr. Adrian, a physiatrist, found reduced neck rotation on the right and extension. There was full left rotation and forward flexion but with pain. There was also tenderness over the mid-cervical spine and pain involving the right shoulder cap. Other upper body tests revealed pain, discomfort and tenderness. Dr. Adrian diagnosed chronic mechanical neck pain and he thought the headaches were triggered by the neck pain and related to the neck. She has been in pain for more than two years and she is considered to be in the small category of patients who will not experience significant recovery. The symptoms are stable in the sense of not likely to get better or worse in the future. The prognosis is poor.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 has improved since the November 2009 accident. Dr. Desai-Ranchod opined that she has recovered sixty to seventy percent and Dr. Adrian also agreed there had been improvement. This is to be expected. However, the defendant emphasizes this aspect of the plaintiff's progress as a way to minimize her injuries. I acknowledge the improvement but there is no real doubt that she continues with symptoms of pain in the neck and shoulder and with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family life of the plaintiff has been negatively affected by her injuries. She no longer is able to spend active time with her grandchildren nor can she do minor physical activities with her husband such as bicycling. She relies on her husband and daughters to take on many of the household chores because she is no longer able to do them. She had a modest garden before the November 2009 accident but this is now left untended.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These injuries are substantially connected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since the plaintiff would not have them but for the November 2009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According to the plaintiff the range for non-pecuniary damages in this case is $65,000 to $75,000. On the other hand, the defendant submits that the range is $30,000 to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Turning to the authorities relied on by the defendant there is the case of </w:t>
      </w:r>
      <w:r>
        <w:rPr>
          <w:rFonts w:ascii="arial" w:eastAsia="arial" w:hAnsi="arial" w:cs="arial"/>
          <w:i/>
          <w:color w:val="000000"/>
          <w:sz w:val="20"/>
          <w:lang w:val="en-US" w:eastAsia="en-US" w:bidi="ar-SA"/>
        </w:rPr>
        <w:t>Bartel v. Milliken,</w:t>
      </w:r>
      <w:r>
        <w:rPr>
          <w:rFonts w:ascii="arial" w:eastAsia="arial" w:hAnsi="arial" w:cs="arial"/>
          <w:color w:val="000000"/>
          <w:sz w:val="20"/>
          <w:lang w:val="en-US" w:eastAsia="en-US" w:bidi="ar-SA"/>
        </w:rPr>
        <w:t xml:space="preserve"> </w:t>
      </w:r>
      <w:hyperlink r:id="rId418" w:history="1">
        <w:r>
          <w:rPr>
            <w:rFonts w:ascii="arial" w:eastAsia="arial" w:hAnsi="arial" w:cs="arial"/>
            <w:i/>
            <w:color w:val="0077CC"/>
            <w:sz w:val="20"/>
            <w:u w:val="single"/>
            <w:shd w:val="clear" w:color="auto" w:fill="FFFFFF"/>
            <w:lang w:val="en-US" w:eastAsia="en-US" w:bidi="ar-SA"/>
          </w:rPr>
          <w:t>2012 BCSC 563</w:t>
        </w:r>
      </w:hyperlink>
      <w:r>
        <w:rPr>
          <w:rFonts w:ascii="arial" w:eastAsia="arial" w:hAnsi="arial" w:cs="arial"/>
          <w:color w:val="000000"/>
          <w:sz w:val="20"/>
          <w:lang w:val="en-US" w:eastAsia="en-US" w:bidi="ar-SA"/>
        </w:rPr>
        <w:t>. There the plaintiff was injured in a motor vehicle accident and suffered injuries to her back and neck. About six months after the accident, at the time of trial, the symptoms had mostly resolved although there was intermittent lower back pain. Activities like gardening and walking were restricted. As well, the plaintiff had shoulder problems before the accident and the shoulder symptoms could not be attributed to the accident. Finally the expert evidence was that it was likely there would be significant improvement, if not complete resolution with treatment. Non-pecuniary damages were fixed at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In another case relied on by the defendant, </w:t>
      </w:r>
      <w:r>
        <w:rPr>
          <w:rFonts w:ascii="arial" w:eastAsia="arial" w:hAnsi="arial" w:cs="arial"/>
          <w:i/>
          <w:color w:val="000000"/>
          <w:sz w:val="20"/>
          <w:lang w:val="en-US" w:eastAsia="en-US" w:bidi="ar-SA"/>
        </w:rPr>
        <w:t>Cameron v. Hsu</w:t>
      </w:r>
      <w:r>
        <w:rPr>
          <w:rFonts w:ascii="arial" w:eastAsia="arial" w:hAnsi="arial" w:cs="arial"/>
          <w:color w:val="000000"/>
          <w:sz w:val="20"/>
          <w:lang w:val="en-US" w:eastAsia="en-US" w:bidi="ar-SA"/>
        </w:rPr>
        <w:t xml:space="preserve">, </w:t>
      </w:r>
      <w:hyperlink r:id="rId419" w:history="1">
        <w:r>
          <w:rPr>
            <w:rFonts w:ascii="arial" w:eastAsia="arial" w:hAnsi="arial" w:cs="arial"/>
            <w:i/>
            <w:color w:val="0077CC"/>
            <w:sz w:val="20"/>
            <w:u w:val="single"/>
            <w:shd w:val="clear" w:color="auto" w:fill="FFFFFF"/>
            <w:lang w:val="en-US" w:eastAsia="en-US" w:bidi="ar-SA"/>
          </w:rPr>
          <w:t>2012 BCSC 56</w:t>
        </w:r>
      </w:hyperlink>
      <w:r>
        <w:rPr>
          <w:rFonts w:ascii="arial" w:eastAsia="arial" w:hAnsi="arial" w:cs="arial"/>
          <w:color w:val="000000"/>
          <w:sz w:val="20"/>
          <w:lang w:val="en-US" w:eastAsia="en-US" w:bidi="ar-SA"/>
        </w:rPr>
        <w:t>, the plaintiff was rear-ended in his vehicle by another vehicle. This caused problems with his neck and shoulder. He also suffered headaches and problems with his right hand and wrist as well as depression he claimed as a result of the accident. At the time of trial the plaintiff suffered tightness in the shoulder and neck and there was a pre-existing condition with the latter. There was no lost time from work. The trial judge concluded that the depression was not related to the accident and he found that the plaintiff had not followed reasonable treatment suggestions. Non-pecuniary damages were assessed at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my view the above two cases are distinguishable from the facts in the instant case. The symptoms of the plaintiff here are not mostly resolved and there is ongoing and chronic pain. As well, there is lost time from work and the plaintiff has followed all treatment suggestions. Finally, it is significant that the plaintiff in this case did not have any pre-existing condition. For these reasons I conclude that an amount of non-pecuniary damages in excess of $40,000 is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next note two of the cases relied on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Schipilow v. Minch et al,</w:t>
      </w:r>
      <w:r>
        <w:rPr>
          <w:rFonts w:ascii="arial" w:eastAsia="arial" w:hAnsi="arial" w:cs="arial"/>
          <w:color w:val="000000"/>
          <w:sz w:val="20"/>
          <w:lang w:val="en-US" w:eastAsia="en-US" w:bidi="ar-SA"/>
        </w:rPr>
        <w:t xml:space="preserve"> </w:t>
      </w:r>
      <w:hyperlink r:id="rId420" w:history="1">
        <w:r>
          <w:rPr>
            <w:rFonts w:ascii="arial" w:eastAsia="arial" w:hAnsi="arial" w:cs="arial"/>
            <w:i/>
            <w:color w:val="0077CC"/>
            <w:sz w:val="20"/>
            <w:u w:val="single"/>
            <w:shd w:val="clear" w:color="auto" w:fill="FFFFFF"/>
            <w:lang w:val="en-US" w:eastAsia="en-US" w:bidi="ar-SA"/>
          </w:rPr>
          <w:t>2006 BCSC 1786</w:t>
        </w:r>
      </w:hyperlink>
      <w:r>
        <w:rPr>
          <w:rFonts w:ascii="arial" w:eastAsia="arial" w:hAnsi="arial" w:cs="arial"/>
          <w:color w:val="000000"/>
          <w:sz w:val="20"/>
          <w:lang w:val="en-US" w:eastAsia="en-US" w:bidi="ar-SA"/>
        </w:rPr>
        <w:t xml:space="preserve"> the plaintiff was hit by an articulated bus as she was standing on the road beside a parked car. She was assessed as being forty percent liable for the accident. She suffered abrasions and the right wrist was severely fractured, requiring surgery. At trial, six years later, the expert evidence was of restricted flexion, extension and rotation of the neck as well as pain and tenderness in the right shoulder, wrist pain and pain in the jaw. The plaintiff had also developed a chronic pain disorder including symptoms of disturbed sleep and depressed mood. Some, but not all, of the dental problems were accepted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conclusion of the trial judge in </w:t>
      </w:r>
      <w:r>
        <w:rPr>
          <w:rFonts w:ascii="arial" w:eastAsia="arial" w:hAnsi="arial" w:cs="arial"/>
          <w:i/>
          <w:color w:val="000000"/>
          <w:sz w:val="20"/>
          <w:lang w:val="en-US" w:eastAsia="en-US" w:bidi="ar-SA"/>
        </w:rPr>
        <w:t>Schipilow</w:t>
      </w:r>
      <w:r>
        <w:rPr>
          <w:rFonts w:ascii="arial" w:eastAsia="arial" w:hAnsi="arial" w:cs="arial"/>
          <w:color w:val="000000"/>
          <w:sz w:val="20"/>
          <w:lang w:val="en-US" w:eastAsia="en-US" w:bidi="ar-SA"/>
        </w:rPr>
        <w:t xml:space="preserve"> was that the accident caused significant changes in the plaintiff's life including withdrawal from sports and hobbies and restricted ability to do household chores. Ability to focus and concentrate was diminished and overall there was a dramatic change in the plaintiff's life. Non-pecuniary damages were assessed at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There are some similarities between the situation of the plaintiff in the instant case and the one in </w:t>
      </w:r>
      <w:r>
        <w:rPr>
          <w:rFonts w:ascii="arial" w:eastAsia="arial" w:hAnsi="arial" w:cs="arial"/>
          <w:i/>
          <w:color w:val="000000"/>
          <w:sz w:val="20"/>
          <w:lang w:val="en-US" w:eastAsia="en-US" w:bidi="ar-SA"/>
        </w:rPr>
        <w:t>Schipilow</w:t>
      </w:r>
      <w:r>
        <w:rPr>
          <w:rFonts w:ascii="arial" w:eastAsia="arial" w:hAnsi="arial" w:cs="arial"/>
          <w:color w:val="000000"/>
          <w:sz w:val="20"/>
          <w:lang w:val="en-US" w:eastAsia="en-US" w:bidi="ar-SA"/>
        </w:rPr>
        <w:t xml:space="preserve">. For example, daily activities such as hobbies were restricted for both. However it is clear that the injuries to the plaintiff in </w:t>
      </w:r>
      <w:r>
        <w:rPr>
          <w:rFonts w:ascii="arial" w:eastAsia="arial" w:hAnsi="arial" w:cs="arial"/>
          <w:i/>
          <w:color w:val="000000"/>
          <w:sz w:val="20"/>
          <w:lang w:val="en-US" w:eastAsia="en-US" w:bidi="ar-SA"/>
        </w:rPr>
        <w:t>Schipilow</w:t>
      </w:r>
      <w:r>
        <w:rPr>
          <w:rFonts w:ascii="arial" w:eastAsia="arial" w:hAnsi="arial" w:cs="arial"/>
          <w:color w:val="000000"/>
          <w:sz w:val="20"/>
          <w:lang w:val="en-US" w:eastAsia="en-US" w:bidi="ar-SA"/>
        </w:rPr>
        <w:t xml:space="preserve"> and their aftermath were more serious. The wrist required surgery and there was a chronic pain disorder that resulted in sleep problems and an inability to concentrate. For this reason I conclude that damages for the plaintiff in the instant case should be at an amount less than the damages in </w:t>
      </w:r>
      <w:r>
        <w:rPr>
          <w:rFonts w:ascii="arial" w:eastAsia="arial" w:hAnsi="arial" w:cs="arial"/>
          <w:i/>
          <w:color w:val="000000"/>
          <w:sz w:val="20"/>
          <w:lang w:val="en-US" w:eastAsia="en-US" w:bidi="ar-SA"/>
        </w:rPr>
        <w:t>Schipilow.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Rhodes v. Biggar,</w:t>
      </w:r>
      <w:r>
        <w:rPr>
          <w:rFonts w:ascii="arial" w:eastAsia="arial" w:hAnsi="arial" w:cs="arial"/>
          <w:color w:val="000000"/>
          <w:sz w:val="20"/>
          <w:lang w:val="en-US" w:eastAsia="en-US" w:bidi="ar-SA"/>
        </w:rPr>
        <w:t xml:space="preserve"> </w:t>
      </w:r>
      <w:hyperlink r:id="rId417" w:history="1">
        <w:r>
          <w:rPr>
            <w:rFonts w:ascii="arial" w:eastAsia="arial" w:hAnsi="arial" w:cs="arial"/>
            <w:i/>
            <w:color w:val="0077CC"/>
            <w:sz w:val="20"/>
            <w:u w:val="single"/>
            <w:shd w:val="clear" w:color="auto" w:fill="FFFFFF"/>
            <w:lang w:val="en-US" w:eastAsia="en-US" w:bidi="ar-SA"/>
          </w:rPr>
          <w:t>2010 BCSC 762</w:t>
        </w:r>
      </w:hyperlink>
      <w:r>
        <w:rPr>
          <w:rFonts w:ascii="arial" w:eastAsia="arial" w:hAnsi="arial" w:cs="arial"/>
          <w:color w:val="000000"/>
          <w:sz w:val="20"/>
          <w:lang w:val="en-US" w:eastAsia="en-US" w:bidi="ar-SA"/>
        </w:rPr>
        <w:t xml:space="preserve"> the plaintiff was the same age at the date of the accident as the plaintiff in this case. As a result of a motor vehicle accident she suffered damage to her neck, back and shoulder. The expert evidence was that the plaintiff would never be symptom free. There was a loss of activities such as gardening and the plaintiff was working only two half days a week rather than the two full days a week she worked before the accident. The trial judge expressed concern about the plaintiff not being forthright with examining doctors and concern about concealment of income by the plaintiff. This is set out at the beginning of the judgment but there is no specific inclusion of this issue in the assessment of damages. Non-pecuniary damages were set at $60,000, with a discount of twenty-five percent for the pre-existing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There are strong similarities between the facts of </w:t>
      </w:r>
      <w:r>
        <w:rPr>
          <w:rFonts w:ascii="arial" w:eastAsia="arial" w:hAnsi="arial" w:cs="arial"/>
          <w:i/>
          <w:color w:val="000000"/>
          <w:sz w:val="20"/>
          <w:lang w:val="en-US" w:eastAsia="en-US" w:bidi="ar-SA"/>
        </w:rPr>
        <w:t>Rhodes</w:t>
      </w:r>
      <w:r>
        <w:rPr>
          <w:rFonts w:ascii="arial" w:eastAsia="arial" w:hAnsi="arial" w:cs="arial"/>
          <w:color w:val="000000"/>
          <w:sz w:val="20"/>
          <w:lang w:val="en-US" w:eastAsia="en-US" w:bidi="ar-SA"/>
        </w:rPr>
        <w:t xml:space="preserve"> and the situation of the plaintiff in this case. These include the age of the plaintiffs and the chronic nature of neck and shoulder pain. There is no suggestion that the plaintiff in this case has concealed her medical condition or that she has concealed income. As well there is no pre-existing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Bearing in mind these cases and others presented by counsel, I conclude that non-pecuniary damages in this case should be assessed at an amount of $65,000. That figure recognizes the comparison with </w:t>
      </w:r>
      <w:r>
        <w:rPr>
          <w:rFonts w:ascii="arial" w:eastAsia="arial" w:hAnsi="arial" w:cs="arial"/>
          <w:i/>
          <w:color w:val="000000"/>
          <w:sz w:val="20"/>
          <w:lang w:val="en-US" w:eastAsia="en-US" w:bidi="ar-SA"/>
        </w:rPr>
        <w:t>Rhodes</w:t>
      </w:r>
      <w:r>
        <w:rPr>
          <w:rFonts w:ascii="arial" w:eastAsia="arial" w:hAnsi="arial" w:cs="arial"/>
          <w:color w:val="000000"/>
          <w:sz w:val="20"/>
          <w:lang w:val="en-US" w:eastAsia="en-US" w:bidi="ar-SA"/>
        </w:rPr>
        <w:t xml:space="preserve"> and it recognizes the fact that the plaintiff here did not conceal her medical condition or her income.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 seeks damages under this head in the amount of $15,000. The defendant says there should be no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Loss of housekeeping capacity has been described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it is now well established that a plaintiff whose ability to perform housekeeping services is diminished in part or in whole ought to be compensated for that loss. It is equally well established that the loss of housekeeping capacity is the plaintiff's and not that of her family. When family members have gratuitously done the work the plaintiff can no longer do and the tasks they perform have a market value, that value provides a tangible indication of the loss the plaintiff has suffered and enables the court to assign a specific economic value in monetary terms to the loss. This does not mean the loss is that of the family members or that they are to be compensated. Their provision of services evidences the plaintiff's loss of capacity and provides a basis for valuing that loss. The loss remains the plaintiff's loss of economic capacity.</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Paller v. Paller,</w:t>
      </w:r>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2004 BCSC 977</w:t>
        </w:r>
      </w:hyperlink>
      <w:r>
        <w:rPr>
          <w:rFonts w:ascii="arial" w:eastAsia="arial" w:hAnsi="arial" w:cs="arial"/>
          <w:color w:val="000000"/>
          <w:sz w:val="20"/>
          <w:lang w:val="en-US" w:eastAsia="en-US" w:bidi="ar-SA"/>
        </w:rPr>
        <w:t xml:space="preserve"> at para. 57, citing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[2000] B.C.J. No. 507</w:t>
        </w:r>
      </w:hyperlink>
      <w:r>
        <w:rPr>
          <w:rFonts w:ascii="arial" w:eastAsia="arial" w:hAnsi="arial" w:cs="arial"/>
          <w:color w:val="000000"/>
          <w:sz w:val="20"/>
          <w:lang w:val="en-US" w:eastAsia="en-US" w:bidi="ar-SA"/>
        </w:rPr>
        <w:t xml:space="preserve"> at para. 63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Previous decisions have also cautioned trial judges to use restraint in awarding these types of damages so as to ensure they are commensurate with the loss (</w:t>
      </w:r>
      <w:r>
        <w:rPr>
          <w:rFonts w:ascii="arial" w:eastAsia="arial" w:hAnsi="arial" w:cs="arial"/>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423" w:history="1">
        <w:r>
          <w:rPr>
            <w:rFonts w:ascii="arial" w:eastAsia="arial" w:hAnsi="arial" w:cs="arial"/>
            <w:i/>
            <w:color w:val="0077CC"/>
            <w:sz w:val="20"/>
            <w:u w:val="single"/>
            <w:shd w:val="clear" w:color="auto" w:fill="FFFFFF"/>
            <w:lang w:val="en-US" w:eastAsia="en-US" w:bidi="ar-SA"/>
          </w:rPr>
          <w:t>(1995), 123 D.L.R. (4th) 652</w:t>
        </w:r>
      </w:hyperlink>
      <w:r>
        <w:rPr>
          <w:rFonts w:ascii="arial" w:eastAsia="arial" w:hAnsi="arial" w:cs="arial"/>
          <w:color w:val="000000"/>
          <w:sz w:val="20"/>
          <w:lang w:val="en-US" w:eastAsia="en-US" w:bidi="ar-SA"/>
        </w:rPr>
        <w:t xml:space="preserve">, </w:t>
      </w:r>
      <w:hyperlink r:id="rId423" w:history="1">
        <w:r>
          <w:rPr>
            <w:rFonts w:ascii="arial" w:eastAsia="arial" w:hAnsi="arial" w:cs="arial"/>
            <w:i/>
            <w:color w:val="0077CC"/>
            <w:sz w:val="20"/>
            <w:u w:val="single"/>
            <w:shd w:val="clear" w:color="auto" w:fill="FFFFFF"/>
            <w:lang w:val="en-US" w:eastAsia="en-US" w:bidi="ar-SA"/>
          </w:rPr>
          <w:t>4 B.C.L.R. (3d) 178</w:t>
        </w:r>
      </w:hyperlink>
      <w:r>
        <w:rPr>
          <w:rFonts w:ascii="arial" w:eastAsia="arial" w:hAnsi="arial" w:cs="arial"/>
          <w:color w:val="000000"/>
          <w:sz w:val="20"/>
          <w:lang w:val="en-US" w:eastAsia="en-US" w:bidi="ar-SA"/>
        </w:rPr>
        <w:t>,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plaintiff does have a reduced capacity to perform the household chores she did prior to the November 2009 accident. She is unable to cook meals on a regular basis for her family, she is unable to clean the house, she is unable to sew clothes for her family or herself and she is unable to do house repairs as she did prior to the accident. On the other hand, as noted by expert evidence, she is not totally disabled. While the plaintiff provided evidence about housekeeping activities related to, for example, sewing clothes for her two daughters, her daughters are now grown up and the opportunity for the plaintiff to sew for her children has passed, although that opportunity might have been available with respect to the grandchildren but for the November 2009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There is no question that the plaintiff's husband and daughters are now helping in the family home. As above, this does not have to be a commercial relationship to support damages for loss of housekeeping capacity. I conclude that a one-time amount of $5,000 is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plaintiff seeks damages for future care to pay for massage, physiotherapy treatment and for a kinesiologist. This would be intensive in the first year and then at a reduced amount for the balance of ten years. The total claimed is approximately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defendant says the plaintiff has given inconsistent statements about the beneficial value of treatment. As well, it is alleged that the plaintiff's doctors have rubber stamped what the plaintiff asked for. The result is that no damages for future care should be paid, according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recognize the value of improving the conditioning and strength of the plaintiff to assist her in dealing with her pain. And the plaintiff will need physiotherapy or massage for flare ups from time to time. However, I do not agree that the kind of regime proposed by the plaintiff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my view the following approach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496"/>
        <w:gridCol w:w="1255"/>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Massage: once a month for one</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$660</w:t>
            </w:r>
          </w:p>
        </w:tc>
        <w:tc>
          <w:tcPr>
            <w:tcW w:w="39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year at $55 per visit</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1150"/>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Kinesiologist/personal trainer</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$840</w:t>
            </w:r>
          </w:p>
        </w:tc>
        <w:tc>
          <w:tcPr>
            <w:tcW w:w="39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once a month, or one year at</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$70 per visit</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Global amount for flare-ups</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$1,000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after one year</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4"/>
        <w:gridCol w:w="2927"/>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$2,500</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plaintiff seeks an amount of $75,000 as damages for loss of future earning capacity. This is based, in part, on annual earnings of $35,000. The defendant says no damages should be awarded under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plaintiff is able to work but with restrictions. There was a difficult and lengthy graduated return to work. She is now working full time but symptoms continue. She has learned some short cuts to reduce the weight she has to manage but she is legitimately concerned that these will be countermanded by her employer. The first few days of the work week are manageable but by the end of the week the plaintiff struggles to get to work and she has to immediately rest when she comes home. Headaches are at their worst at the end of the week and can carry over during the plaintiff's days off. She takes two to three Tylenol per day. The plaintiff is also legitimately concerned about how long she will be able to keep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occupational therapist retained by the plaintiff concluded that the plaintiff is restricted to infrequent climbing of stairs for short durations with the use of a handrail. Her other restrictions include reaching and neck extension. The plaintiff is capable of working full time with these restrictions and others. She is capable of doing the work of a pastry chef with restrictions.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adopt the following description from a previous judgement about the approach to future earning capacity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appellants do contest how the trial judge then went about assessing that loss [of future earning capacity]. The trial judge set out to apply the principles canvassed in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saying at para. 259: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principles that govern the measurement of damages for loss of earning capacity were thoroughly discussed in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84 B.C.L.R. (3d) 158</w:t>
        </w:r>
      </w:hyperlink>
      <w:r>
        <w:rPr>
          <w:rFonts w:ascii="arial" w:eastAsia="arial" w:hAnsi="arial" w:cs="arial"/>
          <w:color w:val="000000"/>
          <w:sz w:val="20"/>
          <w:lang w:val="en-US" w:eastAsia="en-US" w:bidi="ar-SA"/>
        </w:rPr>
        <w:t>. The principles set out in that case can be summarized as follows:</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assessment of damages is not a precise mathematical calculation but a matter of judgment;</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plaintiff is entitled to be put in the position she would have been but for the accident;</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award for loss of earning capacity recognizes that the ability to earn income is an asset and the plaintiff deserves compensation if this asset has been taken away or impaired;</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these damages must often be based on a hypothetical, the standard of proof of a hypothetical is "real and substantial possibility" and not mere speculation;</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consider the real and substantial possibilities, and give weight to them according to the percentage chance they would have happened or will happen;</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one starting approach to valuation may be to compare the likely future of the plaintiff had the accident not happened, and the likely future of the plaintiff after the accident has happened, and to consider the present value of the difference between the amounts earned under these two scenarios. (I note that in using the word "likely", the Court on this point was meaning what hypothetical was a real and substantial possibility);</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the overall fairness and reasonableness of the award must be considered, taking into account all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cases suggest an alternate approach, the loss of earnings method, for the assessment of future earning capacity. These involve the so-called "Brown factors" as follows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Kwei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6 B.C.A.C. 314</w:t>
        </w:r>
      </w:hyperlink>
      <w:r>
        <w:rPr>
          <w:rFonts w:ascii="arial" w:eastAsia="arial" w:hAnsi="arial" w:cs="arial"/>
          <w:color w:val="000000"/>
          <w:sz w:val="20"/>
          <w:lang w:val="en-US" w:eastAsia="en-US" w:bidi="ar-SA"/>
        </w:rPr>
        <w:t xml:space="preserve">], where it was not possible to assess damages in a pecuniary way as was done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(B.C.C.A.)], Taggart J.A., speaking for the Court, held that the correct approach was to consider the factors described by Finch J., as he then was,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Mr. Kwei had suffered a significant head injury with significant permanent sequelae that impaired his intellectual functioning. However, both before and after the accident, he worked at a variety of low paying jobs, thus making it difficult for him to demonstrate a pecuniary loss. Mr. Justice Taggart cited the Brown factors with approval: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The trial judge, as I have said, referred to the judgment of Mr. Justice Finch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Future loss of earning capacity was at issue in that case. It stemmed from quite a different type of injury than the injury sustained by the plaintiff in the case at bar. But I think the considerations referred to by Mr. Justice Finch at p. 4 of his reasons have application in cases where loss of future earning capacity is in issue. I refer to this language at p. 4 of Mr. Justice Finch's judgment: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1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1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1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1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There is some value in distinguishing between situations where there is information available to calculate a loss of earnings (such as work at different positions before and after the injury) and situations where that information is not available. The instant case is an example of the latter. The plaintiff had some difficulty returning to work after the November 2009 accident but, to her credit, she was able to do so. This fact, however, does not necessarily mean that there is no loss of future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a plaintiff able to earn as much after his injury as before his injury is entitled to compensation for the impairment, because some occupations will be closed to him, "and it is impossible to say that over his working life the impairment will not harm his income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15, citing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at para. 63; also para. 7, citing </w:t>
      </w: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this case, the plaintiff is clearly struggling with her current employment. There is the work itself which she finds onerous and she attributes this to the effect of the November 2009 accident. The evidence is that she could manage her work and also maintain an active family life before the accident. Now, by the end of the work week, her headaches are severe and she is exhausted. All she can do is get home on the last work day of the week and get into bed. It is clear that the plaintiff has limited marketability to work in other positions, given her disabilities as well as her age. She has some background in accounting, primarily in the former Yugoslavia, but this has not worked out as an alternate career and it is unlikely she will now be able to obtain work in that field. The plaintiff also testified that she now thinks seriously about retirement whereas before the accident it was something in the distant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conclude that there is a real and substantial possibility that the plaintiff's current employment is at risk as a result of the November 2009 accident. Further, her marketability for alternate positions is less than it would have been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Quantifying this loss obviously cannot be a precise exercise. I assess the loss at $35,000. This is about one year's earnings and it reflects the possibility that the plaintiff will be able to work for some time as well as the possibility she will have to leave her current employment earlier than she would have but for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Summary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By way of summary, the plaintiff is entitled to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2928"/>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income loss</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$7,100.00</w:t>
            </w:r>
          </w:p>
        </w:tc>
        <w:tc>
          <w:tcPr>
            <w:tcW w:w="317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$2,377.50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973"/>
        <w:gridCol w:w="2614"/>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$65,000.00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1987"/>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housekeeping capacity</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973"/>
        <w:gridCol w:w="2614"/>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$2,500.00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915"/>
        <w:gridCol w:w="38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 capacity</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$35,000.00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8"/>
        <w:gridCol w:w="3660"/>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58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$116,977.00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parties may make submissions on the implementation of this judgement, including the application of an escalator amount to future costs. The issue of costs can also be addressed by further submissions received within forty-five days of this judgement (or appeal or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 STEEVES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5"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25"/>
          <w:headerReference w:type="default" r:id="rId426"/>
          <w:footerReference w:type="even" r:id="rId427"/>
          <w:footerReference w:type="default" r:id="rId428"/>
          <w:headerReference w:type="first" r:id="rId429"/>
          <w:footerReference w:type="first" r:id="rId43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31" w:history="1">
        <w:r>
          <w:rPr>
            <w:rFonts w:ascii="arial" w:eastAsia="arial" w:hAnsi="arial" w:cs="arial"/>
            <w:b/>
            <w:bCs/>
            <w:i/>
            <w:color w:val="0077CC"/>
            <w:kern w:val="32"/>
            <w:sz w:val="28"/>
            <w:szCs w:val="32"/>
            <w:u w:val="single"/>
            <w:shd w:val="clear" w:color="auto" w:fill="FFFFFF"/>
            <w:lang w:val="en-US" w:eastAsia="en-US" w:bidi="ar-SA"/>
          </w:rPr>
          <w:t>Carroll v. Hunter, [2014] B.C.J. No. 2869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P.J. Pearlman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30, October 1-4, 7-9, 11,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November 21,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M085469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2869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2193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Roma Carroll, Plaintiff, and Jude A. Hunter, Canada's Superior Moving Company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6"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2" w:name="Keywords_16"/>
      <w:bookmarkEnd w:id="112"/>
      <w:r>
        <w:rPr>
          <w:rFonts w:ascii="arial" w:eastAsia="arial" w:hAnsi="arial" w:cs="arial"/>
          <w:b/>
          <w:color w:val="000000"/>
          <w:sz w:val="20"/>
          <w:lang w:val="en-US" w:eastAsia="en-US" w:bidi="ar-SA"/>
        </w:rPr>
        <w:t>Damages — Physical and psychological injuries — Body injuries — Neck — Whiplash — Soft tissue — Head injuries — Headaches — Fibromyalgia or chronic pain — Considerations impacting on award — Degree of impairment — Action for personal injuries suffered in 2006 motor vehicle accident allowed — Plaintiff, 54, sustained myofascial injuries to neck and shoulders and injuries to her facet joints causing chronic neck pain, occipital headaches and sleep disruption — Injuries affected plaintiff's ability to generate income as self-employed accountant — Non-pecuniary damages reduced to take account of plaintiff's pre-existing degenerative disc condition — Plaintiff awarded $90,000 in non-pecuniary damages, $95,400 for loss of past earning capacity, $295,000 for future loss of earning capacity, $49,728 for cost of future care and special damages of $18,043. .</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For personal injuries — Cost of future care — Loss of earning capacity — Special damages — Past loss of income — Expenses and expenditures — Medical — Therapy or rehabilitation — Non-pecuniary loss — Pain and suffering — Prospective pecuniary loss — Action for personal injuries suffered in 2006 motor vehicle accident allowed — Plaintiff, 54, sustained myofascial injuries to neck and shoulders and injuries to her facet joints causing chronic neck pain, occipital headaches and sleep disruption — Injuries affected plaintiff's ability to generate income as self-employed accountant — Non-pecuniary damages reduced to take account of plaintiff's pre-existing degenerative disc condition — Plaintiff awarded $90,000 in non-pecuniary damages, $95,400 for loss of past earning capacity, $295,000 for future loss of earning capacity, $49,728 for cost of future care and special damages of $18,043. .</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3" w:name="Case Summary_15"/>
            <w:bookmarkEnd w:id="11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personal injuries suffered in a 2006 motor vehicle accident. The plaintiff, 54, was hit from behind by the defendant's truck. The plaintiff claimed that she suffered intense neck pain, occipital headaches and injuries to her upper back, shoulders and arms as a result of the accident. Seven years after the accident, she continued to complain of chronic neck pain, persistent headaches and sleep deprivation. The plaintiff argued that she was partially disabled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her capacity to pursue her career as a certified general accountant had been substantially diminished. Since 2002, the plaintiff had practised as a self-employed certified general accountant working from her home. In addition, from 2002 until 2005, she was employed part-time by the Law Society in their audit department. Despite following her physicians' recommendations for treatment, the plaintiff had obtained no long term pain relief. All experts agreed that the plaintiff suffered from chronic myofascial pain in her neck and upper shoulders, a moderate soft tissue injury to her neck and injuries to her facet joints at levels C2-C5. The plaintiff likely had degenerative changes to her neck before the accident, but those changes were asymptomatic. The plaintiff's prognosis was guarded.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4" w:name="Holdings of Court_15"/>
            <w:bookmarkEnd w:id="11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awarded damages totalling $548,171. The plaintiff's injuries caused her chronic neck pain, occipital headaches and sleep disruption, and had resulted in the central sensitization of her pain. The defendant had not established that the plaintiff's degenerative disc disease caused or contributed to her chronic neck pain, but there was a measurable risk that that condition would have detrimentally affected her in the future, regardless of the accident. The plaintiff's injuries had a substantial impact on her life. Her work as an accountant aggravated her neck pain. Her chronic neck pain, occipital headaches, sleep disruption and associated fatigue impaired her capacity to work the long hours required of an accountant at tax time. Her pain and fatigue had affected her social life and her recreational activities. Her non-pecuniary damages were assessed at $100,000 with a 10 per cent reduction for the risk that her degenerative disc disease would have become symptomatic, induced pain and detrimentally affected her in the future. The accident impaired her capacity to earn income as a certified general accountant. There was a real and substantial possibility that absent the accident, the plaintiff would have expanded her practice and substantially increased her earnings from 2007 to the time of trial. Damages for the plaintiff's past loss of earning capacity were assessed in the amount of $95,400. The plaintiff had established a real and substantial possibility that her ongoing chronic pain condition would lead to loss of future earning capacity. The plaintiff's condition rendered her less capable overall from earning income. Her chronic pain and associated fatigue made her less marketable or attractive to potential employers. But for the accident she would likely have continued her home-based practice as an accountant until retirement at age 65. There was a real and substantial possibility that but for the accident, the plaintiff would have increased her annual income by about $50,000, to a level roughly equivalent to the earnings of the average male accountant in BC with similar educational qualifications, although she may not have attained that level of income by the time of trial. The plaintiff's damages for future loss of earning capacity were assessed in the amount of $295,000. Damages for costs of future care were assessed in the total amount of $49,728. She was entitled to special damages in the amount of $18,043.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5" w:name="Legislation Cited_11"/>
      <w:bookmarkEnd w:id="1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7"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hyperlink r:id="rId432" w:history="1">
        <w:r>
          <w:rPr>
            <w:rFonts w:ascii="arial" w:eastAsia="arial" w:hAnsi="arial" w:cs="arial"/>
            <w:i/>
            <w:color w:val="0077CC"/>
            <w:sz w:val="20"/>
            <w:u w:val="single"/>
            <w:shd w:val="clear" w:color="auto" w:fill="FFFFFF"/>
            <w:lang w:val="en-US" w:eastAsia="en-US" w:bidi="ar-SA"/>
          </w:rPr>
          <w:t>RSBC 1996, CHAPTER 231, s. 98</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6" w:name="Counsel_16"/>
      <w:bookmarkEnd w:id="11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8" style="position:absolute;z-index:2517780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James U. Buckley, John D. Boyd.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Michael J. Percival.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7" w:name="Judgment_16"/>
      <w:bookmarkEnd w:id="117"/>
      <w:r>
        <w:pict>
          <v:line id="_x0000_s1109" style="position:absolute;z-index:2518292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0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8" w:name="P.J. PEARLMAN J. (orally)"/>
            <w:bookmarkEnd w:id="118"/>
            <w:r>
              <w:rPr>
                <w:rFonts w:ascii="arial" w:eastAsia="arial" w:hAnsi="arial" w:cs="arial"/>
                <w:b/>
                <w:color w:val="000000"/>
                <w:sz w:val="30"/>
                <w:lang w:val="en-US" w:eastAsia="en-US" w:bidi="ar-SA"/>
              </w:rPr>
              <w:t>P.J. PEARLMAN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Ms. Roma Carroll, who was 54 years old at the time of trial, is a certified general accountant. Ms. Carroll claims damages for injuries sustained in a motor vehicle accident which occurred at approximately 9:00 a.m. on December 14, 2006 at or near the intersection of Bute and West Georgia Streets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After the plaintiff was approaching the intersection, in the middle lane of three east-bound lanes on West Georgia, her BMW sedan was struck from behind by a five-ton moving van operated by the defendant Jude E. Hunter, and owned by the defendant Canada's Superior Moving Company Inc. Ms. Carroll claims to have suffered intense neck pain, occipital headaches and injuries to her upper back, shoulders and arms as a result of the accident. Seven years after the accident, she continued to complain of chronic neck pain, persistent headaches and sleep deprivation.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Ms. Carroll claims that she is partially disabled as a result of the defendant Hunter's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that her capacity to pursue her career as a certified general accountant has been substantially diminished.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claims damages for pain and suffering and loss of enjoyment of life, past loss of earnings, loss of future earning capacity, cost of future care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admit liability for the accident. Causation and damages are in issue. The matters for determination are:</w:t>
      </w:r>
      <w:r>
        <w:rPr>
          <w:rFonts w:ascii="arial" w:eastAsia="arial" w:hAnsi="arial" w:cs="arial"/>
          <w:sz w:val="20"/>
          <w:lang w:val="en-US" w:eastAsia="en-US" w:bidi="ar-SA"/>
        </w:rPr>
        <w:cr/>
      </w: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injuries did the plaintiff suffer as a result of the December 14, 2006 motor vehicle accident?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that accident cause or contribute to the plaintiff's ongoing neck pain, headaches and sleep disruption?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amounts, if any, are payable to the plaintiff for damages for non-pecuniary loss, past income loss, loss of future earning capacity, cost of future care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Original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was born and raised in Sudbury, Ontario. After graduating from high school in 1978, Ms. Carroll moved to Vancouver where she found employment with the Maritime Group and also began her studies in certified general accountancy. Within two years she rose from the position of accounts payable clerk to head accountant with the Maritime Group, where she also worked in property management and as a lumber broker.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1985, the plaintiff married Mr. Bruce Carroll, an electrical contractor. Their elder child, David was born in 1986, and their daughter Heather was born in 1989. The plaintiff assisted Mr. Carroll with the construction of a home in Sechelt, and later helped with the construction of the family home in North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By 1988, Ms. Carroll received her CGA designation. Over the next several years she worked for a number of accounting firms, typically working full-time during the tax season and part-time for the remainder of the year. While employed by BDO Dunwoody in Vancouver between 1997 and 1998, the plaintiff developed an interest, which she has pursued, in doing United States tax work for American citizens resident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Since 2002, the plaintiff has practised as a self-employed certified general accountant working from her home. In addition, from 2002 until 2005, Ms. Carroll was employed part-time by the Law Society of British Columbia in their audit department. The plaintiff's employment with the Law Society terminated in 2005. However, she was later engaged by the Law Society to perform work as a contractor for its custodianship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Before the accident, the plaintiff's recreational activities included competitive tennis, skiing with her family, yoga, cycling, hiking, running, kayaking and boating. She enjoyed entertaining friends, performed most of the housekeeping, and gardened.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testified that she had suffered no injuries to her back or neck before the accident of December 14, 2006, and did not suffer from headaches. Ms. Carroll had an irregular heartbeat but that did not affect her ability to work or participate in 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For about two months before, and at the time of the accident, Ms. Carroll suffered from a severe rash, for which she was treated with a strong anti-inflammatory, Prednisone. She was otherwise in good health, and did not suffer from any condition that interfered with her ability to work or to participate in sports and 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accident occurred as the plaintiff, who was alone in her vehicle, was proceeding east on West Georgia Street in stop and go traffic. Ms. Carroll recalled hearing a loud bang and being thrown forward and back, causing her head to strike the headrest hard. The plaintiff experienced immediate pain in her neck and the back of her head, which she described as like being "in a vice grip". Ms. Carroll, who did not see the defendant's as it approached her from behind, was unable to estimate its speed at the point of impact. However, Mr. Hunter estimated his speed at between 10 and 20 kilometres per hour. The defendant confirmed that the front end of his truck struck the trunk area of the BMW, and that the impact of the collision pushed the plaintiff's vehicle forward about 10 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Ambulance attendants removed the plaintiff's seatbelt and assisted her from her vehicle. Neither the plaintiff nor the defendant were able to recall whether Ms. Carroll had stopped or was slowly moving forward in the stop and go traffic at the time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rear of the plaintiff's vehicle sustained extensive damage as a result of the collision, requiring $14,480.71 for repairs. Bearing in mind the stop and go movement of the traffic at the time of the collision, I accept the defendant's evidence and find that his speed at the point of impact was no more than 20 kilometres per hour. I also find that the force of the impact was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ambulance attendants asked the plaintiff if she wished to go to the hospital but left the choice to her. Ms. Carroll chose to go home. She arranged for her husband to take her home after the tow truck delivered her and her damaged vehicle to the impound 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CONDITION POST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found Ms. Carroll to be a credible witness whose testimony concerning her pre-accident activities and functioning and post-accident symptoms and their treatment was generally consistent with the history she provided to the medical experts. Despite the fact that since the accident, pain and its treatment has been a dominant factor in the plaintiff's life, my impression was that Ms. Carroll gave her evidence without embellishment or exaggeration. When Dr. Squire erroneously stated in her first report that Ms. Carroll had been unable to travel since the accident, the plaintiff corrected that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Immediately following the accident, Ms. Carroll experienced intense and persistent neck pain. By the evening of December 14, 2006, the pain in the back of her head had increased and interfered with her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next day, the plaintiff attempted to make an appointment with her general practitioner. Due to a power outage at her doctor's office, she was referred to a nearby clinic. She saw Dr. Bieg at the clinic three days after the accident, complaining of intense neck pain and lack of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Bieg referred Ms. Carroll for physiotherapy, which she attended until Christmas, when she and her family took a previously planned one week vacation in Mexico. The plaintiff testified that she had difficulty sleeping, and that her neck pain and headaches prevented her from using reclining lawn chairs, but that she enjoyed the heat.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Upon her return, Ms. Carroll resumed physiotherapy. Between December 2006 and March 2007, she received approximately 20 treatments for her neck and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When the plaintiff saw Dr. Bieg for a follow-up, she reported that she was not getting any better. Because tax season, the busiest time of year for her work, was approaching, she sought additional help. In March 2007, Dr. Bieg referred the plaintiff to Dr. Quirke, a physician and chiropractor. Dr. Quirke treated her with neck manipulations and recommended that she also attend massage therapy. The plaintiff found that the massage therapy provided some temporary relief, but that the neck manipulations provided her with little comfort or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summer of 2007, Ms. Carroll accompanied her daughter on a fundraising trek in Nepal. She and her daughter had planned the trip since 2006. She discussed the trip with Dr. Quirke, who was familiar with the route. Dr. Quirke encouraged her to go despite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Carroll was unable to sleep while travelling to Nepal, but was able to complete the 12-day trek by taking her time while Sherpas carried all of her gear. While on the trek, she took the anti-inflammatory Prednisone, which provided her with some relief from her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Upon her return, Ms. Carroll reported to Dr. Janzen, the general practitioner then treating her, that she was exhausted and unable to sleep. Dr. Janzen referred the plaintiff to Dr. Naran for acupuncture. Ms. Carroll attended eight acupuncture sessions which provided no relief from her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February 2008, Ms. Carroll was referred by ICBC to the Karp Rehabilitation program where she received treatment from a kinesiologist, including exercises to strengthen her neck. The plaintiff experienced migraine-like headaches in the back of her head when she performed the exercises with the kinesiologist, but persisted in the program, although it provided her with no lasting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Through 2008, the plaintiff continued to complain of neck pain, and pain in the back of her head and shoulders that interfered with her work as an accountant and continued to disrupt her sleep. Dr. Quirke referred Ms. Carroll to Dr. William Craig, a physiatrist, whose expert evidence I discuss below. In September 2008, Dr. Janzen attempted TENS treatment, a form of muscular stimulation by electrodes. Ms. Carroll found this therapy produced a flare-up of her neck pain and terminated the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Christmas 2008, the plaintiff's son bought her a membership at Level 10 Fitness. She followed the recommendations of the Level 10 physiotherapist for walking and stretching exercises but was disappointed that her neck pain and headaches prevented her from working through to a more intense exercise regime. Ms. Carroll found that physiotherapy provided some emergency relief for flare-ups of her neck pain when she was attempting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February 2009, the plaintiff referred herself to Dr. Pamela Squire, a physician who restricts her practice to pain management. The plaintiff testified that up to that time she had experienced some relief from the pain in her upper back only during the brief periods when she took Prednisone. None of the other treatments she tried had provided any long term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Squire gave Ms. Carroll trigger point lidocaine injections that provided some relief to the plaintiff's pain in her upper back and neck for three to four days at a time. When the trigger point injections failed to produce long term results, Dr. Squire performed botox injections into the muscles of Ms. Carroll's upper back and neck. The plaintiff reported that her pain intensified for the first 10 days following the injection, but she then received about five weeks' benefit from the botox injection, which reduced the headaches at the base of her skull, helped her sleep and enabled her to work productively.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Through 2009 and into 2010, Dr. Squire administered multiple trigger point injections, and a further botox injection before the plaintiff travelled with her husband to New Zealand in February 2010. Ms. Carroll experienced a flare-up of her neck pain while hiking in New Zealand. She testified she was in agony for the rest of the vacation. The plaintiff also acknowledged that while she was in New Zealand, she and her husband rode a jet boat on a river. She described the ride as like a "slow roller coaster".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After the plaintiff returned to Vancouver, Dr. Squire referred her to Dr. Brenda Lau, an interventional pain specialist. When the plaintiff first saw Dr. Lau in the summer of 2010, she was complaining of chronic muscle tension in her neck, throbbing headaches and sleep disruption. On Dr. Lau's recommendation, the plaintiff saw Dr. Siren in Victoria for dry needling treatment for the relief of myofascial pain, or pain related to the muscles and surrounding tissues. Ms. Carroll continued to complain of chronic pain in her neck and did not find the dry needling to be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Paul Etheridge, another specialist in interventional pain management, performed ultra sound guided injections to the plaintiff's facet joints at C2-C5 which Ms. Carroll found provided relief from her neck pain for about three weeks following each treatment. The plaintiff travelled to Kelowna for treatment by Dr. Etheridge, which, after November 2010, also included medial branch nerve blocks to the C2-C5 facet joints. The nerve blocks provided short and a medium term relief for the plaintiff's neck pain and headache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September and October 2011, the plaintiff attended Symmetric Physiotherapy nine times for active therapy but found their workout program aggravated her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has endeavoured to plan her treatments to maximize their benefit to her. For example, Ms. Carroll arranged for facet joint injections from Dr. Etheridge shortly before she travelled to Seattle, Washington to write a United States tax examination in December 2010. She was able to complete the three-hour exam but experienced another flaring of her symptoms after doing so. The plaintiff returned to Dr. Etheridge for another medial branch block treatment in January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During 2012, Dr. Lau also administered a number of treatments, including a C5 nerve root block in April 2012, and a medial branch block to the right side of the plaintiff's cervical facet joints, which relieved Ms. Carroll's pain for about two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February 2013, the plaintiff's main complaints were right-sided headaches, neck pain and a new complaint of right-sided lower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May 3, 2013, Dr. Lau administered an intravenous ketamine infusion to assess whether this treatment would alleviate Ms. Carroll's hypersensitivity to pain. The plaintiff reported that following the treatment she slept deeply for 12 hours but that her neck pain returned the following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May 10, 2013, Dr. Lau performed radio-frequency lesioning (RFL) on the right side at C3-C5. RFL involves the application of heat to burn the medial branch nerve in order to block pain in the area of the C2-C5 facet joints. When successful, it typically affords patients significant pain relief for three months to a year or more. The May 10, 2013 treatment provided the plaintiff with considerable relief for about a month during which she was able to sleep and work effectively, until her symptoms flared again after she wrenched her neck while gardening.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August 30, 2013, Dr. Lau performed RFL on the left side, with some benefit to the plaintiff, although she continued to complain of pain at the back of her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May and September 2013, Ms. Carroll attended Lynn Valley Physiotherapy for intramuscular stimulation treatments. She found these treatments were painful but provided some temporary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Lau also performed occipital nerve blocks and dry needling.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Carroll has followed the recommendations of her physicians in trying various pain medications, including Gabapentin, Lyrica and Tramacet, all of which have caused her significant side effects precluding their long term use. She complained that they leave her feeling mentally sluggish or interfere with her ability to concentrate while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Although the botox injections, facet blocks and RFL have all provided the plaintiff with some relief, she says that at no time since the accident has she been entirely free of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At the time of trial, the plaintiff complained that she continued to suffer from distinct forms of pain, including "chronic muscle tension" in the neck which causes her difficulty in holding her head up, is aggravated by her work and restricts her neck movement. She also complained of pressure at the base of her skull which causes her intense pain when she lies on her back, and a different pain at the back of her head that can extend down her shoulders to her upper back and prevent her from sleeping on her right side. Ms. Carroll also complained of tinnitus, causing a ringing in her ears. She still experienced shoulder pain, although at the time of trial that pain had been alleviated by recent nerve blocks.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short, despite following her physicians' recommendations for treatment, including physiotherapy, chiropractic manipulations, massage therapy, kinesiology, active rehabilitation, acupuncture, dry needling, trigger point injections, medial branch nerve blocks, a trial ketamine infusion, RFL, and various anti-inflammatory and pain medications, the plaintiff has obtained no long term pain relief. At the time of trial, she continued to experience significant neck pain and intermittent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Dr. Pamela Squire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Pamela Squire is a family physician with a special interest in complex pain management. Since 2009, Dr. Squire has restricted her practice to treating patients referred to her by other physicians for chronic pain care. Dr. Squire has lectured and written widely on the diagnosis and treatment of complex pain. She is also a Clinical Assistant Professor in the Faculty of Medicine at the University of British Columbia where she teaches both under-graduate and post-graduate students' courses on the assessment and treatment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When Dr. Squire first examined the plaintiff on February 5, 2009, Ms. Carroll was complaining of headaches. C-spine range of motion testing revealed Ms. Carroll had a decrease in left lateral rotation of 70% and that right lateral rotation was decreased by 50%. Sensory testing revealed a mechanical hyperalgesia, or abnormally heightened sensitivity to pain, over the plaintiff's right upper back and at the base of her neck. Dr. Squire also found that Ms. Carroll was very tender over her right C6-7, and that her pain was worsened with cervical extension and rotation. Ms. Carroll had active trigger points in her left and right trapezius, left and right levator scapulae and right splenius capitus muscles.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Based on her evaluation, Dr. Squire thought Ms. Carroll's chronic neck pain likely had more than one source. Dr. Squire identified persistent myofascial pain and possible facet joint injury at C2/3 to C4-5 as contributing factors. She also thought damage to the discs, ligaments and nerves were possible contributing causes of the plaintiff's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a functionality assessment administered by Dr. Squire, the plaintiff scored 47/70, indicating a moderate impairment. The plaintiff's score on this test later improved to 33/70, which Dr. Squire regarded as a significant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February 5 and 11, 2009, Dr. Squire performed trigger point injections and an occipital nerve block to treat the plaintiff's pain in her upper back and at the base of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March 13, March 24, April 27, and June 10, 2009, Dr. Squire administered further trigger point injections with an increased dosage of lidocaine. The trigger point injections provided temporary relief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July 30, 2009, Dr. Squire altered her treatment from trigger point injections to botox injections. Botulinum toxin was injected into the plaintiff's upper back and neck. The plaintiff experienced significant neck pain for about two weeks following the botox injections, but then reported that the botox really helped to alleviate her pain for a few weeks. Dr. Squire provided further trigger point injections into Ms. Carroll's upper back on September 18, October 6, 20, 30 and November 10 and 27, 2009. Dr. Squire gave Ms. Carroll a further botox injection on December 18, 2009, before she travelled with her husband to New Zealand for their 25th wedding anniversary in January 2010. The plaintiff testified that while the first half of that trip went well, she was in pain for the remainder of the 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Although Dr. Squire provided further trigger point injections in March, May and June of 2010, her treatments did not afford the plaintiff any long term pain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her report of October 20, 2010, Dr. Squire offered the following diagnosis: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neck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exact etiology of her chronic neck pain remains to be determined and in most patients with this type of injury an exact cause can be difficult to determine. Contributing factors to Roma's current pain appear to be persistent myofascial pain, and based on her clinical exam and ultrasound evaluation I think she does have possible facet joint injury bilaterally involving C2/3 to C4-5. I cannot separate out different causes for Roma's two different kinds of neck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Other possible contributing causes for her pain could also involve damage to discs, ligaments and nerves. There is no evidence of ongoing nerve pain that is interfering with her daily function.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discussed with Roma Dr. Lau's impression regarding the role of medial branch blockade. Dr. Lau felt that her bone scan emphasized right-sided pathology while most of her issues are on the left side. Although this was true on that day, in my experience and based on the trigger point injections I have performed over the last 12 to 18 months, Roma's pain has been bilateral; sometimes worse on the right and sometimes worse on the left. Ultrasound evaluation of the facet joint capsules demonstrated bilateral changes. These changes are not visible on MRI or bone scan. It is unknown what predicted value facet capsular enlargement has with regards to chronic neck pain; however, it does suggest that there has been some damage to the facet joint as the capsular swelling is caused by an effusion within the joint.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intermittent "tinnitus". She describes this as a droning noise she is aware of. She has a hard time localizing it and it does not seem like classic tinnitus or ear fullness. This does not appear to be associated with a hearing problem and is improved by reducing the muscle spasm in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Squire noted in her report of October 20, 2010 that an MRI of the plaintiff's C-spine performed on October 7, 2008 showed evidence of cervical disc degeneration, including a narrowing of the disk at C5-6. A bone scan performed September 25, 2008 showed facet joint disease of the right cervical facet joint at C3-4. In cross-examination, Dr. Squire was referred to her diagnosis in her report of October 20, 2010, where she stated that the exact etiology of the plaintiff's neck pain remained to be determined, and that for most patients an exact cause can be difficult to determine. She agreed that while she had identified persistent myofascial pain and possible facet joint injury as two factors causing the plaintiff's pain, she could not say no other factors were contributing. Dr. Squire was asked about pre-existing degenerative changes as a contributing factor. She explained the existence of a degenerative feature in the spine does not mean that it is a cause of neck pain and that some patients with severe disc degeneration remain asymptomatic. Dr. Squire agreed that Ms. Carroll probably had degenerative changes in her neck before the accident, but said she just did not know if those degenerative changes could cause the plaintiff's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her second report of October 4, 2011, Dr. Squire advised that she had continued to see the plaintiff on a regular basis and thought that the cervical facet joints were contributing to the plaintiff's pain. A colleague, Dr. Paul Etheridge, performed a series of ultrasound guided medial branch blocks. Drs. Squire and Etheridge also administered a total of seven ultrasound guided prolotherapy treatments to the plaintiff's facet joints from C3 to C6. Those treatments had allowed the plaintiff to work for a longer period of time. By October 2011, Ms. Carroll was able to work three hours per day for four to five days in a row without experiencing severe pain. Ms. Carroll reported that previously she had only been able to work two days in a row, three hours per day. Dr. Squire reported that the plaintiff's main problem still involved sitting at a computer and looking down while she did data input work. The plaintiff also continued to suffer from intermittent pain related insomnia.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October 2011, the plaintiff's medications included Tramacet, one to three tablets per day and Ibuprofen, two tablets three times a day. These medications assisted the plaintiff in managing her pain. However, after three to four days of use, she developed severe nausea and gastrointestinal upset and had to stop the medications. The plaintiff also used Trazodone to assist her with sleep on an intermittent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Squire concluded her report of October 4, 2011 with this summary:</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last year, seven cervical prolotherapy sessions bilaterally from C3 to C6 have produced moderate improvement in her ability to work and she is now able to work up to three hours a day on a regular and sustained basis. This treatment has not appreciably affected other domains, including social, recreational, relations with other people, sleep, or overall enjoyment of life. Her mood continues to be somewhat variable, but she does not have overt anxiety or depression.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Dr. David Quirke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David Quirke is a family physician with substantial experience in the diagnosis and treatment of musculoskeletal trauma, including dysfunctions of the spine, joints and ligaments. He is also qualified as a chiropractor.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Quirke first saw the plaintiff on March 26, 2007 on a referral from her family physician, Dr. Bieg. Ms. Carroll complained of severe pain in her neck. Dr. Quirke found the plaintiff to have a limited range of motion in her cervical spine. Examination revealed muscle spasms throughout her neck on palpitation and tenderness in the area of the facets and of her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Quirke treated Ms. Carroll from March 26, 2007 through September 22, 2008. Trials of spinal manipulation and massage therapy as recommended by Dr. Quirke produced no significant change in the plaintiff's condition. Dr. Quirke prescribed anti-inflammatory pain medication. While the plaintiff was better on some visits than others, there was no significant progress in her condition. Ms. Carroll continued to complain of persistent pain, with significant flare-ups of her neck pain and headaches with flexion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2007, Ms. Carroll accompanied her daughter on a trek to the Himalayas. Dr. Quirke, who had made the trek himself, did not think it was contraindicated. The trek involved a 12-day walk to the Everest base camp with Sherpas carrying all of the camping gear and equipment. Dr. Quirke thought the plaintiff had the cardiovascular capacity to walk at high elevation, but warned her against looking up while she walked.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May 29, 2007, the plaintiff reported to Dr. Quirke that she had been kayaking and that her neck was a lot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Ultimately, when the plaintiff did not improve, Dr. Quirke referred her to a physiatrist, Dr. Craig.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 September 11, 2011, Dr. Quirke concluded his involvement in the plaintiff's care with the following report to the ICBC claims adjuster: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PRESENT COMPLAINTS AND DISABILITY: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completing this medical/legal report Ms. Carroll was re-interviewed and re-examined on September 10, 2008. Subjectively, she feels approximately sixty percent improved. She is continuing to attend Karp Rehabilitation once a week. She is paying for these visits herself. Her sleep pattern has improved and she is more comfortable at work. Ms. Carroll remains disabled from activities that require looking up (neck extension). Neither can she maintain her neck in any prolonged rotation as it causes a headache. Recreationally, she can do the Grouse Grind as long as she does not look up and takes her time. She remains disabled from bike riding, yoga and Pilates. Neither can Ms. Carroll paint her house nor scrub the walls et cetera. Ms. Carroll was able to work out thirty minutes a day with weights provided she is careful. On examination Ms. Carroll still has a decreased range of cervical motion to the left and still complains of localized tenderness on palpation of the left cervicothoracic junction. Ms. Carroll is currently awaiting a consultation with a physiatrist.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Due to neck pain after her motor vehicle accident Ms. Carroll was extremely limited in the amount of work she could take on, particularly as any prolonged sitting with her neck inflexion caused significant headaches. Ms. Carroll found that she was particularly inefficient at her work as a result of her disability. Ms. Carroll had to restrict her workload and it did take her significantly longer to perform her usual work-related tasks.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Dr. William Craig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Craig, an expert in physical and rehabilitation medicine, assessed the plaintiff on September 11 and November 21, 2008, and again on October 20,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his medical/legal report of October 22, 2010, Dr. Craig provided the following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Ms. Carroll had a moderate soft tissue injury to her neck and likely a cervical facet joint injury as a result of the December 14, 2006 accident. Based on the x-rays of her cervical spine dated March 19, 2007 she had pre-existing degenerative changes in her neck that likely predated the December 14, 2006 accident. She would have therefore been more susceptible to a cervical facet joint injury due to this accident, and a poorer outcome from a neck injury from this accident. While she likely had some pre-existing degenerative changes in her neck, it does not appear as if she was symptomatic due to these degenerative changes, prior to the December 14, 2006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Craig shared Dr. Squire's view that Ms. Carroll's pain had likely become centralized. He explained that when pain is present for a long time, it is "wired into the brain" so that the individual will still experience persistent pain even when the injured area is treated.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Craig's prognosis was that it was unlikely that Ms. Carroll would return to her pre-accident state, although he thought there was room for some improvement. Dr. Craig thought Ms. Carroll would likely continue to have some ongoing symptoms in her neck, particularly with her work and that she was at slightly increased risk of further degenerative change in her neck as a result of the injuries she sustained in the December 14, 2006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With respect to the disc bulges revealed on the plaintiff's MRI, Dr. Craig thought it was difficult to say with certainty whether these were related to injuries from the accident or were part of the degenerative changes to the plaintiff's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Craig expected that Ms. Carroll would be able to continue to work as an accountant but would be limited in working longer days. He also expected that over time the plaintiff should be able to increase her level of physical activities. While the prognosis for her returning to activities like running or skiing was guarded, Dr. Craig saw no limitations on Ms. Carroll's ability to perform the activities of daily living, household tasks and light gardening, although heavier garden work might continue to aggravate her neck symptoms.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Dr. Mark Matishak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Matishak is an expert in neurosurgery. He performed an independent medical assessment of Ms. Carroll for plaintiff's counsel on June 9, 2009 and has prepared expert reports dated June 22, 2009 and August 29,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Matishak noted that the October 7, 2008 MRI revealed a right central disc herniation at C3-4 contacting the spinal cord with minimal foraminal stenosis. At C4-5, there was a central and right-sided disc herniation with no foraminal compression. At C5-6, there was a central disc herniation with the foraminal stenosis worse on the left side than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Dr. Matishak's opinion, "Ms. Carroll has suffered acceleration of pre-existing degenerative disc disease secondary to her accident of the 14th of December 2006". The plaintiff had experienced neck pain following the accident, which had failed to resolve despite extensive conservative treatment. Dr. Matishak thought that the plaintiff had suffered a disc herniation at C3-4, C4-5 and C5-6 as a result of the forces incurred in the accident, which had left her with a significant disability precluding her from working actively as an accountant and restricting her from engaging in previous recreational activities, including yoga, Pilates and bicycle riding.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Matishak testified that the plaintiff may require surgery to relieve nerve root compression. The factors he takes into account in recommending surgery include intractable pain, significant neurological dysfunction, the failure of medical treatment and whether surgery could offer a reasonable opportunity for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his report of June 22, 2009, Dr. Matishak discussed the risks and benefits of both spinal fusion and disc arthoplasty, which would involve the replacement of the discs at C3-4, C4-5 and C5-6 with artificial discs. At the time of his examination, the plaintiff did not wish to consider surgical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Matishak thought the plaintiff's prognosis was guarded and that it was unlikely she would achieve full resolution of her symptoms. He thought Ms. Carroll would continue to suffer ongoing neck pain, as well as reduced mobility, and that she would be restricted in her activities. Ultimately, she might require surgical intervention to relieve nerve root compression or improve her spinal mobility.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his second report, Dr. Matishak reiterated his opinion that the plaintiff's three level disc herniations resulted from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At trial, Dr. Matishak testified that he would no longer consider a three-level fusion, which would compromise the mobility of the plaintiff's neck. Based on his clinical experience, Dr. Matishak thought patients did better with disc replacement, rather than disc fusion. If the plaintiff underwent disc replacement surgery, she would be hospitalized for two days but could expect a three-month recovery period before she would be able to resume all of her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Matishak also reviewed and commented on the report of the defendant's expert, Dr. Sovio, an orthopaedic surgeon. He disagreed with Dr. Sovio's opinion that the plaintiff had pre-existing osteoarthritic changes due to "a degenerative cascade", and disagreed that the plaintiff's symptoms were going to happen anyway due to degenerative changes. Dr. Matishak agreed with Dr. Sovio that the plaintiff likely had degenerative changes before the accident, but noted that Ms. Carroll had been entirely asymptomatic, which was not unusual for a woman of her age. Dr. Sovio interpreted the MRI scan as showing multiple-level degenerative changes to the C-spine, including an osteochondral bar or boney protuberance of the disc extending from C5-6 into the spinal canal. Dr. Matishak testified that on his examination of the MRI, the disc showed some calcification but no osteochondral bar. In cross-examination, Dr. Matishak was not swayed from his opinion that the disc herniations were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cross-examination, Dr. Matishak was asked if the plaintiff's report of lower back pain in the year before trial was consistent with disc degeneration. His answer was that "It could be due to anything." Dr. Matishak did acknowledge that it was possible that the blow of the accident weakened the plaintiff's discs, and that her disc herniation or disc protrusion could have occurred after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Dr. Brenda Lau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Lau is an anaesthesiologist with a sub-speciality in pain medicine. She practices interventional pain medicine at St. Paul's Hospital and anesthesia at Surrey Memorial Hospital. She currently oversees the development of acute and chronic pain services for 10 hospitals within the Fraser Health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Squire referred Ms. Carroll to Dr. Lau on July 7, 2010. Since then, Dr. Lau has become the plaintiff's primary caregiver for pain management. Dr. Lau explained that she began her treatment by attempting the least invasive procedures first to determine if they were 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her report of July 4, 2013, Dr. Lau noted that Ms. Carroll's pain levels and poor neck mobility were unchanged, that the plaintiff's pain areas had increased to include her lower back and that Ms. Carroll's mood lability, depressive symptoms and distress had significantly worsened.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Lau provided the following diagnosis:</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My diagnosis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Cervicogenic headaches due to myofascial pain, facet arthropathy, occipital neuralgia, non-aura migraine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Functional thoracic outlet syndrome secondary to hypertrophy trapezius, tight neck muscles (Bilateral with symptoms worse on the right sided)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Referred pain from C4/5/6 radiculopathy affecting the trapezius and deltoid areas mostly right side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Severe myofascial contracture of the neck causing neck pain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Central sensitization and neuropathic pain accompanied with swelling of the neck, colour changes and sensitivity to cold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Possible ketamine side effect of palpitations</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Financial pressures</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Family stressors such as her diabetic daughter</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Mood lability</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Poor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Dr. Lau's opinion, the plaintiff was at high risk of further aggravating her neck and back pain by sudden movements, falls and impact. She also opined that Ms. Carroll's ongoing symptoms were exacerbated by her job stresses and her work position while typing reports and reading files.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providing her prognosis, Dr. Lau noted that Ms. Carroll had not responded to traditional pain therapy for myofascial pain. Dr. Lau regarded the plaintiff's hyperalgesia as extremely disabling because it interfered with her sleep and prevented her from normal neck movements. She thought that a major alleviating factor for Ms. Carroll's pain would be for her to decrease or stop her work. Dr. Lau thought that if the plaintiff continued in her profession as a certified general accountant she would not gain additional benefit from further therapies because her work continued to re-aggravate her neck and back. Until the plaintiff underwent a week-long trial of ketamine injections or further neuro-prolotherapy, Dr. Lau could not confirm that she had reached maximum medical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cross-examination, Dr. Lau agreed that Ms. Carroll's complaint of lower back pain in February 2013 could be consistent with progressive degenerative changes in her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Lau also agreed that ergonomic changes to the plaintiff's home office and pacing of her work could improve Ms. Carroll's capacity to work as an accountant.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Lau was aware of Dr. Matishak's recommendation for disc replacement surgery. She testified that due to the risk of injury to the spinal cord, she would not recommend spinal surgery for the treatment of pain until all other methods of treatment were exhausted.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Dr. David Brooks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David Brooks is a physician with expertise in occupational medicine. He examined Ms. Carroll at her home and had the opportunity to observe her at her work station. In his report of June 30, 2013, Dr. Brooks found the plaintiff had severe tightness and significantly decreased range of motion in her neck, very tender occipital muscles, multiple myofascial trigger points in her neck and shoulder, and restricted range of motion in her right shoulder. Dr. Brooks shared the opinions of Drs. Craig, Squire, Lau and Etheridge that the plaintiff suffered from central sensitization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Brooks diagnosed the plaintiff as suffering from a Grade II whiplash-type injury and chronic pain disorder involving heightened sensitivity to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Dr. Brooks' opinion, although Ms. Carroll met most of the objective parameters of the National Occupation Classification for an accountant, she did so with reduced capability because she was unable to work for prolonged periods in sustained postures. Dr. Brooks thought the plaintiff had a significant impairment due to her chronic neck pain which rendered her significantly less competitively employable within both her own field and for most other occupations.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cross-examination, Dr. Brooks acknowledged that Ms. Carroll did not tell him that she jet-boated on a vacation in New Zealand or rode a horse in Costa Rica. He understood that the plaintiff had to work longer some weeks than others and that although she worked up to eight hours some days she was not productive when she did so. Ms. Carroll did not tell him that 2012 was her best earning year yet but did tell him that she wanted to get more business but lacked the physical capacity to network.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Brooks thought the 2008 bone scan was highly suggestive of an injury at C3-4. He testified that if the plaintiff had asymptomatic arthritis at a facet joint which was subject to trauma in an accident that would result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Brooks understood that the plaintiff had no desire to change her occupation and that if she was not able to work at full capacity she wanted to concentrate on the most remunerative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With respect to the plaintiff's competitive employability, Dr. Brooks said this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Brenda Lau also had some past discussion with Ms. Carroll regarding occupational expectations and it appeared that the financial penalty of training for alternate employment would be significant. She clearly would be poorly competitive in the overall job field and would have limited suitability for many jobs. If she was to be considered for retraining in any capacity then a Functional Capacity Evaluation would be suggested prior to any Vocational Assessment. ... Ms. Carroll has significant impairment due to chronic pain at the present time and this significantly influences her ability to sit, assume sustained postures and perform work tasks ... She is significantly less competitively employable both within her own field and for most other occupations.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Dr. John-Paul Etheridge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Etheridge was qualified as an expert in pain management and the treatment of chronic pain by ultrasound guided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Etheridge provided treatment to Ms. Carroll both at Dr. Squire's office, while he was training her in the use of ultrasound guided injections, and at his clinic in Kelowna.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When Dr. Etheridge examined Ms. Carroll for his report of September 7, 2011, he found she had a moderately decreased range of motion in the neck, more severe for flexion and extension, trigger point tenderness in the neck and shoulder muscles, and right C2-C5 facet joint tenderness with increased pain on right rotation and extension of the neck. Testing for nerve root impingement was negative.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Dr. Etheridge's opinion, the fact that the diagnostic and therapeutic facet joint blocks, which blocked the nerve supply to the plaintiff's C2-C5 facet joints, had provided short and medium term relief of Ms. Carroll's neck pain and headache symptoms confirmed right C2-C5 facet joint generated pain as one of the main causes of her neck pain. Dr. Etheridge thought the plaintiff also suffered from myofascial pain in her neck and shoulder muscles and cervicogenic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his report of April 22, 2013, Dr. Etheridge provided the following diagnosis and prognosis:</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Indicate your diagnosis and, if possible at this time, your prognosis for the future:</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C2-5 facet joint generated pain caused by the motor vehicle accident on December 14, 2006. Bogduk and Lord (5), showed a high prevalence of facet joint generated pain, of 40 to 73%, in patients with chronic whiplash neck pain. The facet joint generated pain is expected to persist and as noted in my office report has reached the point of maximum medical improvement.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Overlying myofascial pain with active trigger points in the upper trapezius, splenis capitis and levator scapula muscles in the neck. The myofascial pain syndrome has been present for the past 7 years and is expected to persist long term. It is my opinion that she has reached the point of maximum medical improvement regarding her myofascial pain syndrome.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Central sensitization in the neck and shoulder region. Studies have shown the presence of central sensitization in patients with chronic whiplash neck pain compared to the general population. In chronic myofascial pain trigger points reform after inactivation (through trigger point injections or dry needling) as a result of central sensitization.</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In most cases, repeated inactivation of trigger points generally reverses central sensitization, so that trigger points no longer form repeatedly. However, in some patients, trigger points continue to recur despite repeated trigger point inactivation.</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This is most commonly seen when trigger points are present in association with facet joint generated pain.</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occipital headaches, more likely than not related to her chronic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At trial, Dr. Etheridge explained central sensitization as a change in a patient's pain processing at the spinal cord and brain levels leading to an increased perception of pain. A sensitized spinal cord keeps sending pain signals to the brain long after the immediate stimulus for the pain has subsided. Dr. Etheridge explained that central sensitization of pain can become ingrained in some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Dr. Etheridge's opinion, the plaintiff's recovery had plateaued. Seven years after the accident she continued to experience ongoing neck pain and associated occipital headaches. Dr. Etheridge thought that the plaintiff's myofascial pain and the facet joint generated pain were caused by the injuries Ms. Carroll suffered in the accident of December 14,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Etheridge thought that Ms. Carroll's chronic pain condition made her more susceptible to pain exacerbation caused by minor injuries. However, in his opinion she was no more prone to re-injury to her facet joints or surrounding muscle, or to rapid degeneration of her facet joints than the general population. In Dr. Etheridge's opinion, further treatment would not cure Ms. Carroll but would assist her in managing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Etheridge also thought that the plaintiff's injuries would continue to cause her to be partially disabled and would prevent her from performing full-time work as an accountant. Working on the computer for prolonged periods of time with her head in a flexed and head-forward position aggravated the plaintiff's neck pain and contributed to the chronic nature of her condition.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Dr. O.M. Sovio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Sovio is an orthopaedic surgeon who conducted an independent medical examination of Ms. Carroll for the defendants on June 23, 2010. Ms. Carroll presented with complaints of significant pain in her neck and left and right shoulders. On examination, Dr. Sovio found that the plaintiff had almost no range of motion in her neck. He found no neurological abnormalities and no abnormality of the thoracic or lumbar spine. However, x-rays taken three months after the motor vehicle accident showed degenerative changes in the cervical spine, especially at the C5-6 level. An osteochondral bar at C5-6 was not in Dr. Sovio's opinion the result of any injury, but rather was caused by degenerative changes. Dr. Sovio reported that Ms. Carroll had multi-level disc degeneration and disc herniation. He disagreed with Dr. Matishak's opinion that the plaintiff's three level disc herniation occurred at the time of the motor vehicle accident, noting that it would be extremely unusual to have a three level disc herniation occur in a motor vehicle accident, particularly when the osteochondral bar indicated degenerative change to the cervical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Although Dr. Sovio stated in his report that Ms. Carroll appeared to have suffered from fatigue and stress before the motor vehicle accident, he agreed in cross-examination that her pre-accident fatigue and stress was not clinically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Sovio provided this summary in his report of June 24, 2010: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then, this lady has ongoing problems with her neck, subjective symptoms which are those of pain and limitation of movement superimposed upon these osteoarthritic changes. The osteoarthritic changes pre-dated the motor vehicle accident and were not caused by the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Assuming that the patient did not have any discomfort in her neck prior to the motor vehicle accident, at some point one would have likely expected issues with the neck considering the type of changes that the patient has in her neck. The time-frame for this prediction is difficult to make, but suffice it to say that the changes in the cervical spine pre-existed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cross-examination, Dr. Sovio acknowledged that Ms. Carroll's complaint to him of persistent neck pain was consistent with what she told other medical professionals in the medical records he reviewed, and that he had no reason to dispute what she reported. However, he noted that different medical examiners had found differences in the plaintiff's range of motion, particularly in her neck. He thought that if there were a structural cause for the plaintiff's injury then her range of motion should not change from one examination to the next. However, if the plaintiff had suffered a muscular injury then Dr. Sovio was prepared to accept that her range of motion could change from day to day. Later in his cross-examination, he agreed that Dr. Quirke had found only minimal neck range of motion present in all directions when he examined the plaintiff on March 30, 2007, and that Dr. Craig had found a very restricted range of motion through all planes of the neck. That finding was consistent with Dr. Sovio's examination. Similarly, Drs. Squire and Herman Lau noted significant reductions in the plaintiff's range of motion in her neck. Dr. Sovio agreed that a significant aspect of the plaintiff's presentation is the restriction in the range of motion of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cross-examination, Dr. Sovio acknowledged that he had no specific training in the treatment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Dr. Sovio also agreed that most people with degenerative changes in the neck are asymptomatic and stay that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Sovio agreed that the force of a rear-end collision can cause a disc injury but reiterated that it would be very rare for a multi-level disc injury to be caused by a motor vehicle accident. He also agreed that asymptomatic injuries can be rendered symptomatic by a whiplash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Sovio stated that he was not trying to suggest in his report that the plaintiff's neck pain was simply the result of natural degenerative changes. What he was saying was that natural degenerative changes may explain what is shown in the MRI images. Whatever changes happened before the accident were asymptomatic. He agreed that if the plaintiff's symptoms came from a myofascial source they were not necessarily related to degeneration and agreed that it was "a fairly big leap" to say that the cause of Ms. Carroll's pain was degenerative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cross-examination, Dr. Sovio acknowledged that there is no way of predicting whether or when an asymptomatic degenerative condition will become symptomatic, or whether any given patient will develop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Ultimately, Dr. Sovio testified that he did not believe the plaintiff's symptoms were caused by degenerative changes to her cervical spine. Dr. Sovio thought the plaintiff had chronic muscle pain that was unrelated to her multi-level cervical disc degeneration. He acknowledged that to Ms. Carroll the pain is significant, chronic and somewhat unamenable to treatment. Dr. Sovio agreed that the plaintiff had undergone suitable treatment and that her reports of ongoing significant disruption of her work and of her sleep were how she experienced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Findings of Fact: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Drs. Squire, Craig, Brooks, Lau and Etheridge for the plaintiff, and Dr. Sovio for the defendant, all agree that Ms. Carroll suffers from chronic muscular or myofascial pain in her neck and upper shoulders. I accept that evidence, and the evidence of Drs. Craig and Brooks that the plaintiff suffered a moderate soft tissue injury to her neck, described by Dr. Brooks as a Level 2 whiplash-type injury, in the accident of December14,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Drs. Squire, Craig, Lau and Etheridge also diagnosed the plaintiff as suffering injuries to her facet joints at levels C2-C5. Drs. Lau and Etheridge, who have expertise in interventional pain medicine, have provided opinions that the success of the facet joint nerve blocks in providing temporary relief of the plaintiff's neck pain and headaches confirm right-side C2-C5 facet joint generated pain as a cause of Ms. Carroll's neck pain. The opinions of Drs. Etheridge and Lau on this point are persuasive. I find that injury to the right C2-C5 facet joints is also a cause of the plaintiff's chronic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Drs. Squire, Craig, Brooks, Lau and Etheridge also diagnosed central sensitization of pain. Dr. Sovio disagreed with Dr. Lau's opinion that the plaintiff has a complex pain syndrome involving central sensitization. Because Drs. Squire, Lau and Etheridge are all experts in the treatment of pain while Dr. Sovio acknowledged that he had no specific training in that area, I prefer the opinions of Drs. Squire, Lau and Etheridge on this point. I find that Ms. Carroll has developed central sensitization of pain in her neck and shoulder region and as a consequence, experiences abnormal and heightened sensations of persistent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also find that Ms. Carroll also suffers from chronic occipital headaches related to her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Dr. Brenda Lau is the only medical expert who diagnosed the plaintiff as suffering from functional thoracic outlet syndrome (TOS), although Dr. Squire queried whether Ms. Carroll might have mild TOS on her right side as a factor contributing to her neck pain. When Dr. Craig examined the plaintiff on October 20, 2010, and when Dr. Brooks examined her on June 23, 2013, they each found that Ms. Carroll tested negative for TOS. Similarly, Dr. Sovio found no evidence of TOS on his examination of June 23, 2010. The preponderance of the medical evidence weighs against a conclusion that Ms. Carroll suffers from TOS. The plaintiff has not established on the balance of probabilities that she has TOS, or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caused or contributed to that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X-rays taken three months after the motor vehicle accident showed degenerative changes to the plaintiff's cervical spine, including a narrowing of the disc at C5-6. In Dr. Sovio's opinion, these were osteoarthritic changes that preceded the accident. The plaintiff's experts agreed that Ms. Carroll probably had degenerative changes to her neck before the accident. Ms. Carroll did not complain of neck pain before December 14, 2006. I find that the plaintiff, like many people of her age, had degenerative changes to her neck before the accident, but those changes were asymptomatic.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Later in these Reasons, I will discuss the question of whether the degenerative changes to the plaintiff's neck have caused or contributed to her neck pain and whether there is a measurable risk that absent the accident, the plaintiff's degenerative disc condition would have detrimentally affected her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Brooks, an expert in occupational medicine, who observed the plaintiff at her work station, as well as Drs. Craig, Squire, Lau and Etheridge all share the opinion, which I accept, that the plaintiff's work as an accountant aggravates her neck pain when she works at her computer for prolonged periods with her neck flexed while inputting data from her files.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More than seven years after the accident, the plaintiff continues to suffer from persistent and significant neck pain and intermittent chronic occipital headaches. As a result of her neck pain and her heightened sensitivity to pain at the back of her head, the plaintiff also continues to suffer intermittently from pain-related insomnia.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find that the plaintiff's prognosis is guarded. Dr. Craig, who saw the plaintiff almost four years after the accident and three years before trial, offered the most positive prognosis. He thought that with further treatment, including facet joint injections and medial branch blocks, Ms. Carroll would be able to gradually increase her physical activity, although he did not expect her to return to her pre-accident condition. While Dr. Craig believed the plaintiff would be able to continue to work as an accountant, he thought her ability to work long days would be restricted by her neck pain. Since Dr. Craig examined the plaintiff, she has realized some improvement in her neck range of motion, and now finds some activities, like driving, easier. Ms. Carroll's headaches fluctuate in their frequency and intensity, but they continue to trouble her. The plaintiff is able to engage in low impact physical activities like walking and moderate hiking, but her chronic neck pain has prevented her from resuming more physically demanding activity, such as tennis or skiing. The plaintiff is able to perform most housekeeping tasks and light gardening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various therapies recommended by Dr. Craig, and later by Drs. Lau and Etheridge, have produced short to medium term relief, rather than a cure for Ms. Carroll's chronic neck pain. I have accepted the evidence of the plaintiff's treating physicians, Drs. Squire, Lau and Etheridge, which is supported by the opinions of Drs. Craig and Brooks, that Ms. Carroll's work as an accountant aggravates her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 find that by the time of trial the plaintiff's condition had plateaued. While further treatment will afford Ms. Carroll temporary relief, and assist her in managing her chronic neck pain, as her treating physicians advise, she is unlikely to realize any lasting improvement while she continues to perform work that exacerbates her chronic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basic test for determining causation is the "but for" test. The plaintiff bears the burden of establishing that "but for" the negligent act or omission of the defendant, the injury would not have occurred: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at paras.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As the Court observed in </w:t>
      </w:r>
      <w:r>
        <w:rPr>
          <w:rFonts w:ascii="arial" w:eastAsia="arial" w:hAnsi="arial" w:cs="arial"/>
          <w:i/>
          <w:color w:val="000000"/>
          <w:sz w:val="20"/>
          <w:lang w:val="en-US" w:eastAsia="en-US" w:bidi="ar-SA"/>
        </w:rPr>
        <w:t>Resurfice</w:t>
      </w:r>
      <w:r>
        <w:rPr>
          <w:rFonts w:ascii="arial" w:eastAsia="arial" w:hAnsi="arial" w:cs="arial"/>
          <w:color w:val="000000"/>
          <w:sz w:val="20"/>
          <w:lang w:val="en-US" w:eastAsia="en-US" w:bidi="ar-SA"/>
        </w:rPr>
        <w:t xml:space="preserve">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recognizes that compensation for negligent conduct should only be made "where a substantial connection between the injury and the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p. 327, per Sopinka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 "but for" test must be proved on a balance of probabilities, rather than with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at paras. 13,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It is not necessary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sole cause of the injury. As long as the defendant is part of the cause of the injury, the defendant is liable, even if his or her act alone was not enough to create the injury: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Causation must be established on a balance of probabilities before damages are assessed: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Here, Ms. Carroll must establish on a balance of probabilities that her injuries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plaintiff contends that the myofascial injuries she sustained to the musculature of her neck in the motor vehicle accident are one source of her chronic neck pain. In addition, Ms. Carroll argues that the accident also caused injury to her cervical facet joints, resulting in intense and persistent neck pain. The plaintiff also relies on Dr. Matishak's opinion that the disc herniations shown in the MRI imaging of October 2008 were due to the trauma of the motor vehicle accident rather than progressive degenerative change. The plaintiff says any underlying degenerative changes to her cervical spine were asymptomatic before the accident and have not caused or contributed to her ongoing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defendants agree that the accident of December 14, 2006 caused myofascial injuries to the plaintiff's neck, but say Ms. Carroll suffered no structural damage to her spine as a result of the accident. The experts agree that Ms. Carroll had pre-existing degenerative changes to her cervical spine. Degenerative disc disease can cause disc dryness, compression of vertebral discs, narrowing of nerve root exits, weakening of disc walls, osteophyte formation and disc herniation. Dr. Lau acknowledged that the plaintiff's report of lower back pain in February 2013 could be consistent with progressive degenerative changes to the plaintiff's spine. The defendants submit the same condition may be affecting the plaintiff's neck. The pre-existing degenerative changes to her cervical spine form part of the plaintiff's original position. The defendants contend that Ms. Carroll would have developed neck pain as a result of her degenerative disc disease in any event. Additionally, the defendants argue that the plaintiff's degenerative changes and resulting pain in her neck should also be assessed as an intervening event that progressed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short, the defendants acknowledge they caused a Grade II soft tissue whiplash injury to the plaintiff in the accident, but say that Ms. Carroll has failed to establish that her ongoing pain results from the accident, as opposed to her progressive degenerative disc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 and Findings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At the time of the accident, Ms. Carroll experienced immediate and intense neck pain. All of the experts agree that the plaintiff suffered myofascial injuries to the musculature of her neck and shoulders in the motor vehicle accident which have resulted in chronic neck pain. I find that but for the accident of December 14, 2006, Ms. Carroll would not have suffered that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Ms. Carroll also suffers from persistent and at times intense facet joint generated neck pain. The preponderance of the medical evidence supports a finding that the plaintiff also suffered injury to her cervical facet joints as a result of the motor vehicle accident. In Dr. Craig's opinion, the plaintiff's pre-existing degenerative changes rendered her more susceptible to facet joint injury due to the accident. Dr. Etheridge thought the impact of the collision, while not sufficient to cause boney injury, was sufficient to cause moderate soft tissue injury to the right C2-C5 facet joints and the neck muscles on both sides. He also referred to studies indicating that 50 to 75% of patients sustaining whiplash injuries to the neck also experienced facet joint pain. Drs. Squire and Brooks also diagnosed facet joint injuries of the cervical spine resulting from the accident as factors contributing to the plaintiff's chronic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find that as a result of the accident of December 14, 2006, the plaintiff suffered soft tissue injuries to the right C2-C5 facet joints and adjacent neck muscles.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While degenerative changes to the plaintiff's cervical spine form part of her pre-accident original condition, those changes were asymptomatic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I turn now to the question of whether the plaintiff's disc herniations at C2-3, C4-5, and C5-6 were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Dr. Matishak acknowledged that Ms. Carroll had pre-existing degenerative changes to her cervical spine and that the MRI of October, 2008 showed evidence of degenerative change, in the form of calcification, at C5-C6. However, he disagreed with the radiologist's interpretation that the MRI revealed evidence of more pronounced degenerative change, in the form of an osteochrondral bar at C5-C6. Dr. Matishak's opinion that the plaintiff's multi-level disc herniations were all caused by the trauma of the motor vehicle accident was not shared by other experts. Dr. Craig thought it was difficult to tell whether the bulging of the plaintiff's discs was the result of trauma or degenerative change. Dr. Sovio acknowledged that the trauma of a motor vehicle accident could cause disc injury but expressed the opinion that it would be extremely unusual to have a three level disc herniation occur in a motor vehicle accident. Here, x-rays taken in March 2007 revealed evidence of pre-existing degenerative changes to the plaintiff's cervical spine, particularly at the C5-C6 level. Dr. Matishak agreed with Dr. Sovio that Ms. Carroll had degenerative changes in her cervical spine and discs before the accident. Dr. Sovio explained that trauma induced changes do not mimic naturally occurring degenerative changes. On the balance of probabilities, I am not persuaded that the plaintiff's multi-level disc herniations were caused by the accident. I find that it is more probable that the disc herniations are the result of progressive degenerative change to the plaintiff's cervical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In cross-examination, Dr. Sovio agreed that the plaintiff's chronic neck pain was not the result of degenerative disc disease. Dr. Sovio observed that pain resulting from degenerative change to the discs would be localized to a particular disc or discs. Here, the plaintiff suffers from pain throughout her entire neck. In cross-examination, Dr. Sovio agreed that the plaintiff suffered from chronic myofascial pain. Dr. Sovio also conceded that he had no way of knowing when or if any given patient will develop symptoms of pain from a degenerative disc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defendants have not established that the plaintiff's degenerative disc disease has caused or contributed to her chronic neck pain. I find that as of the date of trial the degenerative changes to the plaintiff's cervical spine were not a cause of the persistent pain and discomfort the plaintiff has endured since December 14,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Nor does the medical evidence support a finding that the plaintiff's post- accident recreational activities, such as the jet boat ride in New Zealand, or horse riding in Costa Rica ( which Mr. Carroll described as "more like horse walking"), were intervening events that have contributed to the plaintiff's neck symtoms.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Although I have found that Ms. Carroll's degenerative disc condition did not cause or contribute to her injuries to the date of trial, I must still determine whether there is measurable risk that this condition will detrimentally affect her in the future. As the Court explained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 under the "crumbling skull" rule where a pre-existing condition is inherent in the plaintiff's "original position", the defendants are liable for the injuries they cause but not for the effects of the pre-existing condition which the plaintiff would have experienced in any event.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may be taken into account by a reduction in the overall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Where there is a chance, but not a certainty that the plaintiff would have suffered the injury regardless of the defendants' conduct, damages are adjusted to reflect any measurable risk that the pre-existing condition would have detrimentally affected the plaintiff in the future. The future risk of harm need not be proven on a balance of probabilities but must be given weight according to the probability of its occurrence: </w:t>
      </w:r>
      <w:r>
        <w:rPr>
          <w:rFonts w:ascii="arial" w:eastAsia="arial" w:hAnsi="arial" w:cs="arial"/>
          <w:i/>
          <w:color w:val="000000"/>
          <w:sz w:val="20"/>
          <w:lang w:val="en-US" w:eastAsia="en-US" w:bidi="ar-SA"/>
        </w:rPr>
        <w:t>Corrado v. Mah</w:t>
      </w:r>
      <w:r>
        <w:rPr>
          <w:rFonts w:ascii="arial" w:eastAsia="arial" w:hAnsi="arial" w:cs="arial"/>
          <w:color w:val="000000"/>
          <w:sz w:val="20"/>
          <w:lang w:val="en-US" w:eastAsia="en-US" w:bidi="ar-SA"/>
        </w:rPr>
        <w:t xml:space="preserve">, </w:t>
      </w:r>
      <w:hyperlink r:id="rId433" w:history="1">
        <w:r>
          <w:rPr>
            <w:rFonts w:ascii="arial" w:eastAsia="arial" w:hAnsi="arial" w:cs="arial"/>
            <w:i/>
            <w:color w:val="0077CC"/>
            <w:sz w:val="20"/>
            <w:u w:val="single"/>
            <w:shd w:val="clear" w:color="auto" w:fill="FFFFFF"/>
            <w:lang w:val="en-US" w:eastAsia="en-US" w:bidi="ar-SA"/>
          </w:rPr>
          <w:t>2006 BCSC 1191</w:t>
        </w:r>
      </w:hyperlink>
      <w:r>
        <w:rPr>
          <w:rFonts w:ascii="arial" w:eastAsia="arial" w:hAnsi="arial" w:cs="arial"/>
          <w:color w:val="000000"/>
          <w:sz w:val="20"/>
          <w:lang w:val="en-US" w:eastAsia="en-US" w:bidi="ar-SA"/>
        </w:rPr>
        <w:t xml:space="preserve"> at para. 54. Here, the plaintiff's pre-existing degenerative disc disease, although asymptomatic, was inherent in her original position. Further, the degenerative changes to the plaintiff's spine are progressive. In my view, there is a measurable risk that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condition would have detrimentally affected her in the future. That measurable risk is a factor that I must consider in the assessment of both non-pecuniary damages and damages for loss or impairment of future earning capacity: </w:t>
      </w:r>
      <w:r>
        <w:rPr>
          <w:rFonts w:ascii="arial" w:eastAsia="arial" w:hAnsi="arial" w:cs="arial"/>
          <w:i/>
          <w:color w:val="000000"/>
          <w:sz w:val="20"/>
          <w:lang w:val="en-US" w:eastAsia="en-US" w:bidi="ar-SA"/>
        </w:rPr>
        <w:t>TWNA v. Clarke</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at paras. 36 and 37; </w:t>
      </w:r>
      <w:r>
        <w:rPr>
          <w:rFonts w:ascii="arial" w:eastAsia="arial" w:hAnsi="arial" w:cs="arial"/>
          <w:i/>
          <w:color w:val="000000"/>
          <w:sz w:val="20"/>
          <w:lang w:val="en-US" w:eastAsia="en-US" w:bidi="ar-SA"/>
        </w:rPr>
        <w:t>McKelvie v. Ng</w:t>
      </w:r>
      <w:r>
        <w:rPr>
          <w:rFonts w:ascii="arial" w:eastAsia="arial" w:hAnsi="arial" w:cs="arial"/>
          <w:color w:val="000000"/>
          <w:sz w:val="20"/>
          <w:lang w:val="en-US" w:eastAsia="en-US" w:bidi="ar-SA"/>
        </w:rPr>
        <w:t xml:space="preserve">, </w:t>
      </w:r>
      <w:hyperlink r:id="rId434" w:history="1">
        <w:r>
          <w:rPr>
            <w:rFonts w:ascii="arial" w:eastAsia="arial" w:hAnsi="arial" w:cs="arial"/>
            <w:i/>
            <w:color w:val="0077CC"/>
            <w:sz w:val="20"/>
            <w:u w:val="single"/>
            <w:shd w:val="clear" w:color="auto" w:fill="FFFFFF"/>
            <w:lang w:val="en-US" w:eastAsia="en-US" w:bidi="ar-SA"/>
          </w:rPr>
          <w:t>2001 BCCA 384</w:t>
        </w:r>
      </w:hyperlink>
      <w:r>
        <w:rPr>
          <w:rFonts w:ascii="arial" w:eastAsia="arial" w:hAnsi="arial" w:cs="arial"/>
          <w:color w:val="000000"/>
          <w:sz w:val="20"/>
          <w:lang w:val="en-US" w:eastAsia="en-US" w:bidi="ar-SA"/>
        </w:rPr>
        <w:t xml:space="preserve"> at paras. 13 and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I find that the plaintiff has established, on the balance of probabilities, that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she suffered both myofascial injuries to the musculature and fascia of her neck and shoulders, and injuries to her facet joints from C2-3 to C5-6. I find that the injuries sustained by Ms. Carroll in the accident cause her chronic neck pain, occipital headaches and sleep disruption, and have resulted in the central sensitization of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Compensation awarded should be fair to all parties, and fairness is measured against awards made in comparable cases. Such cases, though helpful, serve only as a rough guide.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the Court identified a non-exhaustive list of the factors to be considered when assessing non-pecuniary damages. They include the age of the plaintiff; the nature of the injuries; severity and duration of the pain; disability; emotional suffering; loss or impairment of life; impairment of family, marital and social relationships; impairment of physical and mental abilities; and loss of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The assessment of non-pecuniary damages is also influenced by each plaintiff's personal experiences in dealing with her injuries and their consequences, and the plaintiff's ability to articulate that experience: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435"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Ultimately, the Court must make an award of damages for pain and suffering and loss of enjoyment of life that is tailored to the specific circumstances of this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The plaintiff submits that non-pecuniary damages should be assessed in the amount of $200,000. In support of that submission, she relies on </w:t>
      </w:r>
      <w:r>
        <w:rPr>
          <w:rFonts w:ascii="arial" w:eastAsia="arial" w:hAnsi="arial" w:cs="arial"/>
          <w:i/>
          <w:color w:val="000000"/>
          <w:sz w:val="20"/>
          <w:lang w:val="en-US" w:eastAsia="en-US" w:bidi="ar-SA"/>
        </w:rPr>
        <w:t>Scoates v. Dermott</w:t>
      </w:r>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2012 BCSC 485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Bouchard v. Brown Bros. Motor Lease Canada Ltd.</w:t>
      </w:r>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2011 BCSC 762</w:t>
        </w:r>
      </w:hyperlink>
      <w:r>
        <w:rPr>
          <w:rFonts w:ascii="arial" w:eastAsia="arial" w:hAnsi="arial" w:cs="arial"/>
          <w:color w:val="000000"/>
          <w:sz w:val="20"/>
          <w:lang w:val="en-US" w:eastAsia="en-US" w:bidi="ar-SA"/>
        </w:rPr>
        <w:t xml:space="preserve"> (varied on appeal, </w:t>
      </w:r>
      <w:hyperlink r:id="rId437" w:history="1">
        <w:r>
          <w:rPr>
            <w:rFonts w:ascii="arial" w:eastAsia="arial" w:hAnsi="arial" w:cs="arial"/>
            <w:i/>
            <w:color w:val="0077CC"/>
            <w:sz w:val="20"/>
            <w:u w:val="single"/>
            <w:shd w:val="clear" w:color="auto" w:fill="FFFFFF"/>
            <w:lang w:val="en-US" w:eastAsia="en-US" w:bidi="ar-SA"/>
          </w:rPr>
          <w:t>2012 BCCA 331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Alden v. Spooner</w:t>
      </w:r>
      <w:r>
        <w:rPr>
          <w:rFonts w:ascii="arial" w:eastAsia="arial" w:hAnsi="arial" w:cs="arial"/>
          <w:color w:val="000000"/>
          <w:sz w:val="20"/>
          <w:lang w:val="en-US" w:eastAsia="en-US" w:bidi="ar-SA"/>
        </w:rPr>
        <w:t xml:space="preserve">, </w:t>
      </w:r>
      <w:hyperlink r:id="rId438" w:history="1">
        <w:r>
          <w:rPr>
            <w:rFonts w:ascii="arial" w:eastAsia="arial" w:hAnsi="arial" w:cs="arial"/>
            <w:i/>
            <w:color w:val="0077CC"/>
            <w:sz w:val="20"/>
            <w:u w:val="single"/>
            <w:shd w:val="clear" w:color="auto" w:fill="FFFFFF"/>
            <w:lang w:val="en-US" w:eastAsia="en-US" w:bidi="ar-SA"/>
          </w:rPr>
          <w:t>2002 BCCA 592</w:t>
        </w:r>
      </w:hyperlink>
      <w:r>
        <w:rPr>
          <w:rFonts w:ascii="arial" w:eastAsia="arial" w:hAnsi="arial" w:cs="arial"/>
          <w:color w:val="000000"/>
          <w:sz w:val="20"/>
          <w:lang w:val="en-US" w:eastAsia="en-US" w:bidi="ar-SA"/>
        </w:rPr>
        <w:t xml:space="preserve"> (leave to appeal to Supreme Court of Canada denied </w:t>
      </w:r>
      <w:hyperlink r:id="rId439" w:history="1">
        <w:r>
          <w:rPr>
            <w:rFonts w:ascii="arial" w:eastAsia="arial" w:hAnsi="arial" w:cs="arial"/>
            <w:i/>
            <w:color w:val="0077CC"/>
            <w:sz w:val="20"/>
            <w:u w:val="single"/>
            <w:shd w:val="clear" w:color="auto" w:fill="FFFFFF"/>
            <w:lang w:val="en-US" w:eastAsia="en-US" w:bidi="ar-SA"/>
          </w:rPr>
          <w:t>[2002] SCCA No. 535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Morrow v. Outerbridge</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2009 BCSC 433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Delli Santi v. Pacific National Exhibition</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2000 BCSC 716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Towson v. Bergman</w:t>
      </w:r>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2009 BCSC 143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Felix v. Hearne</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2011 BCSC 1236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The defendants, relying upon </w:t>
      </w:r>
      <w:r>
        <w:rPr>
          <w:rFonts w:ascii="arial" w:eastAsia="arial" w:hAnsi="arial" w:cs="arial"/>
          <w:i/>
          <w:color w:val="000000"/>
          <w:sz w:val="20"/>
          <w:lang w:val="en-US" w:eastAsia="en-US" w:bidi="ar-SA"/>
        </w:rPr>
        <w:t>Gordon v. Timins</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2009 BCSC 1082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Lamont v. Stead</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2010 BCSC 432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Lorenz v. Gosling</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2011 BCSC 1250</w:t>
        </w:r>
      </w:hyperlink>
      <w:r>
        <w:rPr>
          <w:rFonts w:ascii="arial" w:eastAsia="arial" w:hAnsi="arial" w:cs="arial"/>
          <w:color w:val="000000"/>
          <w:sz w:val="20"/>
          <w:lang w:val="en-US" w:eastAsia="en-US" w:bidi="ar-SA"/>
        </w:rPr>
        <w:t>, submit that if, as it has done, the Court finds that the accident caused all of the plaintiff's current ongoing symptoms, then general damages should be assessed in the range of $60,000 to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I do not find the cases cited by the plaintiff to be particularly helpful. They involved younger plaintiffs who sustained more serious injuries than Ms. Carroll. For example, in </w:t>
      </w:r>
      <w:r>
        <w:rPr>
          <w:rFonts w:ascii="arial" w:eastAsia="arial" w:hAnsi="arial" w:cs="arial"/>
          <w:i/>
          <w:color w:val="000000"/>
          <w:sz w:val="20"/>
          <w:lang w:val="en-US" w:eastAsia="en-US" w:bidi="ar-SA"/>
        </w:rPr>
        <w:t>Scoates</w:t>
      </w:r>
      <w:r>
        <w:rPr>
          <w:rFonts w:ascii="arial" w:eastAsia="arial" w:hAnsi="arial" w:cs="arial"/>
          <w:color w:val="000000"/>
          <w:sz w:val="20"/>
          <w:lang w:val="en-US" w:eastAsia="en-US" w:bidi="ar-SA"/>
        </w:rPr>
        <w:t xml:space="preserve">, the plaintiff, who was 38 years old at the time of trial, suffered multiple injuries in four accidents. He required two discectomy surgeries and was fully disabled from returning to his career as an ambulance attendant. In </w:t>
      </w:r>
      <w:r>
        <w:rPr>
          <w:rFonts w:ascii="arial" w:eastAsia="arial" w:hAnsi="arial" w:cs="arial"/>
          <w:i/>
          <w:color w:val="000000"/>
          <w:sz w:val="20"/>
          <w:lang w:val="en-US" w:eastAsia="en-US" w:bidi="ar-SA"/>
        </w:rPr>
        <w:t>Bouchard</w:t>
      </w:r>
      <w:r>
        <w:rPr>
          <w:rFonts w:ascii="arial" w:eastAsia="arial" w:hAnsi="arial" w:cs="arial"/>
          <w:color w:val="000000"/>
          <w:sz w:val="20"/>
          <w:lang w:val="en-US" w:eastAsia="en-US" w:bidi="ar-SA"/>
        </w:rPr>
        <w:t xml:space="preserve">, where the court awarded non-pecuniary damages of $160,000, the plaintiff was 26 years old at the time of the accident. He suffered disabling injuries to his neck, mid back and lower back. Despite surgeries at L4-L5 and L5-S1 intended to relieve pressure and compression of discs at those levels, the plaintiff continued to experience severe pain in his lower back radiating to his legs and was permanently disabled from resuming his former career as a special effects technician. In </w:t>
      </w:r>
      <w:r>
        <w:rPr>
          <w:rFonts w:ascii="arial" w:eastAsia="arial" w:hAnsi="arial" w:cs="arial"/>
          <w:i/>
          <w:color w:val="000000"/>
          <w:sz w:val="20"/>
          <w:lang w:val="en-US" w:eastAsia="en-US" w:bidi="ar-SA"/>
        </w:rPr>
        <w:t>Towson</w:t>
      </w:r>
      <w:r>
        <w:rPr>
          <w:rFonts w:ascii="arial" w:eastAsia="arial" w:hAnsi="arial" w:cs="arial"/>
          <w:color w:val="000000"/>
          <w:sz w:val="20"/>
          <w:lang w:val="en-US" w:eastAsia="en-US" w:bidi="ar-SA"/>
        </w:rPr>
        <w:t>, the 24-year-old plaintiff suffered not only chronic neck and shoulder pain, but also a moderate to severe back injury and a mild brain injury that impaired her powers of concentration. She was unlikely to work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Of the authorities cited by the defendants, </w:t>
      </w:r>
      <w:r>
        <w:rPr>
          <w:rFonts w:ascii="arial" w:eastAsia="arial" w:hAnsi="arial" w:cs="arial"/>
          <w:i/>
          <w:color w:val="000000"/>
          <w:sz w:val="20"/>
          <w:lang w:val="en-US" w:eastAsia="en-US" w:bidi="ar-SA"/>
        </w:rPr>
        <w:t>Lorenz v. Gosling</w:t>
      </w:r>
      <w:r>
        <w:rPr>
          <w:rFonts w:ascii="arial" w:eastAsia="arial" w:hAnsi="arial" w:cs="arial"/>
          <w:color w:val="000000"/>
          <w:sz w:val="20"/>
          <w:lang w:val="en-US" w:eastAsia="en-US" w:bidi="ar-SA"/>
        </w:rPr>
        <w:t xml:space="preserve"> bears the most similarity to this case. In </w:t>
      </w:r>
      <w:r>
        <w:rPr>
          <w:rFonts w:ascii="arial" w:eastAsia="arial" w:hAnsi="arial" w:cs="arial"/>
          <w:i/>
          <w:color w:val="000000"/>
          <w:sz w:val="20"/>
          <w:lang w:val="en-US" w:eastAsia="en-US" w:bidi="ar-SA"/>
        </w:rPr>
        <w:t>Lorenz</w:t>
      </w:r>
      <w:r>
        <w:rPr>
          <w:rFonts w:ascii="arial" w:eastAsia="arial" w:hAnsi="arial" w:cs="arial"/>
          <w:color w:val="000000"/>
          <w:sz w:val="20"/>
          <w:lang w:val="en-US" w:eastAsia="en-US" w:bidi="ar-SA"/>
        </w:rPr>
        <w:t>, the female plaintiff was 50 years old at the time of her motor vehicle accident. Three years later, at trial, the court found that she suffered from daily and practically constant head and neck pain, as well as frequent pain in her arms. Despite treatment by family physicians, physiotherapists and anesthetic injections, the plaintiff's prognosis was guarded. The court accepted there was a substantial possibility that the plaintiff would have ongoing pain on a permanent basis. The court also found that the plaintiff's pre-accident leisure and recreational activities had been substantially detrimentally affected. While the plaintiff was still able to engage in many of her pre-accident activities, she did so with limitations and pain. She also continued in her employment as the manager of a delicatessen. The court awarded non-pecuniary damages of $80,000.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A distinguishing factor in this case is that the plaintiff's work is a major aggravating factor for her chronic neck pain. Another distinguishing feature is Ms. Carroll's abnormally heightened sensitivity to pain. Further, while in </w:t>
      </w:r>
      <w:r>
        <w:rPr>
          <w:rFonts w:ascii="arial" w:eastAsia="arial" w:hAnsi="arial" w:cs="arial"/>
          <w:i/>
          <w:color w:val="000000"/>
          <w:sz w:val="20"/>
          <w:lang w:val="en-US" w:eastAsia="en-US" w:bidi="ar-SA"/>
        </w:rPr>
        <w:t>Lorenz</w:t>
      </w:r>
      <w:r>
        <w:rPr>
          <w:rFonts w:ascii="arial" w:eastAsia="arial" w:hAnsi="arial" w:cs="arial"/>
          <w:color w:val="000000"/>
          <w:sz w:val="20"/>
          <w:lang w:val="en-US" w:eastAsia="en-US" w:bidi="ar-SA"/>
        </w:rPr>
        <w:t>, the court found the plaintiff was able to engage in many of her pre-accident activities, albeit with limitations, here, the plaintiff's chronic neck pain has prevented her from resuming activities in which she took particular pleasure, including tennis and skiing.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 and Award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Ms. Carroll was 47 years old at the time of the accident and was 54 at the time of trial. Since December 14, 2006, she has suffered from chronic neck pain and occipital headaches, both of which are at times intense. Her multiple and varied therapies have produced only temporary, rather than long term relief. I have found that by the time of trial her condition had plateaued. She will probably suffer to some degree from chronic neck pain, occipital headaches and sleep disruption on a permanent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plaintiff's injuries have had a substantial impact on her life. Ms. Carroll takes pride in her work as a certified general accountant. Her work now exacerbates her chronic neck pain so that she is no longer able to derive the same enjoyment from her work as she did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plaintiff's injuries have taken an emotional toll. Ms. Carroll is frustrated, and at times distressed by the persistence of her symptoms. Mr. Carroll described his wife as "a more bitter person now", who is angry at times and does not understand why she is not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Ms. Carroll's chronic neck pain, occipital headaches, sleep disruption and associated fatigue have impaired her capacity to work the long hours required of an accountant at tax time. At the time of trial, she worked approximately four hours per day in her home office, and did so up to seven days a week in order to maximize her productivity. When benefiting from the temporary relief provided by medial branch blocks or other injections, she is able to work up to seven hours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As a result of her chronic pain, the plaintiff's intimate relations with her husband have been impaired, although she continues to have a good relationship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Pain and fatigue have reduced the plaintiff's social life. She no longer entertains friends or dines out as often as she did before the accident, and is reluctant to have her friends see her when she is in pain. Where she was formerly outgoing, she is now somewhat reclusive.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plaintiff's recreational activities have been substantially restricted as a result of the injuries she sustained in the accident. Due to her neck pain and the risk of flare-ups, she no longer plays tennis. Ms. Carroll no longer skis, and has found that another of her pre-accident activities, kayaking, induces debilitating neck pain. Ms. Carroll is also no longer able to do yoga.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plaintiff is able to walk her dog, use an elliptical trainer for up to 30 minutes per day and to hike for up to one and a half hours on the hilly trails near her home in West Vancouver. She has continued to travel since the accident, albeit with some pain and discomfort. By pacing herself and using a powerful anti-inflammatory, Ms. Carroll was able to complete her trek in Nepal. She has also travelled to New Zealand, Mexico, Costa Rica and Florida since the accident. Some, but not all of the recreational activities she has engaged in while travelling have induced neck pain and reduced her enjoyment of these vacations.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While Ms. Carroll's chronic neck pain has impaired her ability to assist her husband with heavy renovation work at their home or their recreational property on Vancouver Island, as she did before the accident, she is still able to help with small projects. She also manages light gardening work, mows the lawn for exercise, and copes with most housekeeping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Ms. Carroll is a determined and stoic individual who has persisted in her work and many of her other activities as best she can while enduring chronic and at times intense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Taking into account the authorities cited by counsel, all of the </w:t>
      </w:r>
      <w:r>
        <w:rPr>
          <w:rFonts w:ascii="arial" w:eastAsia="arial" w:hAnsi="arial" w:cs="arial"/>
          <w:i/>
          <w:color w:val="000000"/>
          <w:sz w:val="20"/>
          <w:lang w:val="en-US" w:eastAsia="en-US" w:bidi="ar-SA"/>
        </w:rPr>
        <w:t>Hejslet</w:t>
      </w:r>
      <w:r>
        <w:rPr>
          <w:rFonts w:ascii="arial" w:eastAsia="arial" w:hAnsi="arial" w:cs="arial"/>
          <w:color w:val="000000"/>
          <w:sz w:val="20"/>
          <w:lang w:val="en-US" w:eastAsia="en-US" w:bidi="ar-SA"/>
        </w:rPr>
        <w:t xml:space="preserve"> factors, and the particular circumstances of the plaintiff, including the persistence and severity of her neck pain and her guarded prognosis, I assess damages for pain and suffering and loss of enjoyment of life in the amount of $100,000. There will be a 10% reduction in the amount awarded for the risk that her degenerative disc disease would have become symptomatic, induced pain and detrimentally affected her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assessing that risk at 10%, I have taken into account my finding that the degenerative changes to the plaintiff's cervical spine, including the three level disc herniation had not, up to the time of trial, caused or contributed to her chronic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Compensation for past loss of earning capacity is based on what the plaintiff would have, not could have, earned but for the injury she sustained: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Under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a plaintiff is entitled to recover damages only for his or her past net income loss. This means that in the ordinary course, the court must deduct the amount of income tax payable from lost gross earnings: </w:t>
      </w:r>
      <w:r>
        <w:rPr>
          <w:rFonts w:ascii="arial" w:eastAsia="arial" w:hAnsi="arial" w:cs="arial"/>
          <w:i/>
          <w:color w:val="000000"/>
          <w:sz w:val="20"/>
          <w:lang w:val="en-US" w:eastAsia="en-US" w:bidi="ar-SA"/>
        </w:rPr>
        <w:t>Hudniuk v. Warkentin</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2003 BCSC 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Gordon</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The burden of proof of actual past events is a balance of probabilities. An assessment of loss of both past and future earning capacity involves consideration of hypothetical events. The plaintiff is not required to prove these hypothetical events on the balance of probabilities. The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On a claim for past loss of earning capacity, the plaintiff must first establish on a balance of probabilities that the injuries she sustained caused an impairment of her earning capacity. Then, in determining what might have happened in the past to enable the plaintiff to earn income, but for the accident, the court must decide if the event was a real and substantial possibility and then determine the likelihood of it occurring: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paras. 28, 29, 36 and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Ms. Carroll has established on the balance of probabilities that the accident has impaired her capacity to earn income as certified general accountant. As Dr. Brooks observed, since the accident, chronic pain limits the plaintiff's ability to sit, to assume sustained postures and to perform work tasks at her computer on a prolonged basis. Ms. Carroll is unable to work the long hours required of accountants during tax season. Her chronic neck pain and related fatigue have also limited her capacity to get out into the community to market her services and promote her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The plaintiff's employment history is a significant factor the Court must consider in assessing claims for loss of earning capacity: </w:t>
      </w:r>
      <w:r>
        <w:rPr>
          <w:rFonts w:ascii="arial" w:eastAsia="arial" w:hAnsi="arial" w:cs="arial"/>
          <w:i/>
          <w:color w:val="000000"/>
          <w:sz w:val="20"/>
          <w:lang w:val="en-US" w:eastAsia="en-US" w:bidi="ar-SA"/>
        </w:rPr>
        <w:t>Vaillancourt v. Molnar</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2002 BCCA 685</w:t>
        </w:r>
      </w:hyperlink>
      <w:r>
        <w:rPr>
          <w:rFonts w:ascii="arial" w:eastAsia="arial" w:hAnsi="arial" w:cs="arial"/>
          <w:color w:val="000000"/>
          <w:sz w:val="20"/>
          <w:lang w:val="en-US" w:eastAsia="en-US" w:bidi="ar-SA"/>
        </w:rPr>
        <w:t xml:space="preserve"> at para. 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From 2002 through 2005, Ms. Carroll was employed by the Law Society of British Columbia as a part-time accountant in its custodianship department. She also operated a small home-based accountancy practice. After the Law Society terminated her employment in 2005, Ms. Carroll continued to perform services as contractor for the Law Society's audit department. After 2005, rather than seeking alternate part-time employment, Ms. Carroll relied upon her home-based accountancy practice as her sole source of professional income. In 2005 and 2006, she began to work on developing a niche practice in preparing United States tax returns for American citizens resident in Canada and clients who earned income in the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plaintiff testified that after her daughter left home to attend university she planned to develop a full-time accountancy practice, but said the accident prevented her from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Ms. Carroll testified that in 2011 there was substantial growth in the United States tax work. She said that in 2011 she probably referred between $50,000 and $60,000 in United States tax work to other accountants, but acknowledged that she would not necessarily have done all of that work had she not been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Exhibit 8, a binder of emails exchanged between the plaintiff and prospective clients in 2011, supports Ms. Carroll's testimony that she declined various referrals or failed to follow up on leads that year due to her neck pain. Ms. Carroll estimated the total value of the work discussed in Exhibit 8 at $36,200. However, not every lead or inquiry from a prospective client would have resulted in new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plaintiff also testified that since the accident she referred away a lot of bookkeeping work which she was not healthy enough to do as a result of her neck pain. In addition, in the spring of 2013, on the advice of Dr. Lau that she reduce her workload, Ms. Carroll gave up her contract work for the Law Society. She thought it would be easy for the Law Society to replace her, and difficult for her to give up other clients, including those for whom she performed more lucrative United States tax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plaintiff did not keep a detailed record of the work she declined or referred to others between the accident and the time of trial. On the evidence adduced at trial, it is not possible to determine with precision the value of the work the plaintiff lost as a result of the injuries she sustained in the accident. However, I am satisfied that Ms. Carroll lost a significant amount of work that, but for the accident, she would have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plaintiff's past earning history for the years 2003 through 2012 is as follows: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10" type="#_x0000_t75" style="width:367.5pt;height:204.75pt">
            <v:imagedata r:id="rId449"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Relying upon the report of her economist, Mr. Darren Benning, the plaintiff estimates her post-tax past loss of earning capacity at $127,211. That estimate is based on the following assumptions:</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accident, Ms. Carroll has not been able to expand her business to the level she would have achieved absent the accident;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absent the accident, Ms. Carroll would have increased her workload from part-time to full-time over a five-year period from 2007 to 2011, and from 2012 onward would have earned income equivalent to that of the average male accountant in British Columbia of a similar age and educational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On those assumptions, Mr. Benning estimated the plaintiff's 2007 without accident income, based on her working half-time, at $36,164. Mr. Benning estimated that Ms. Carroll's income would increase by 2012 to a full-time income of $92,887. According to Mr. Benning, based on census data, the average 2012 annual income for male accountants in British Columbia was $104,882. He adjusted that amount to $92,887 to account for labour market contingencies for non-participation in the work force, unemployment, and part-time work based on Statistics Canada data for the average British Columbia male with Ms. Carroll's educational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Mr. Benning's estimate of the plaintiff's past loss of earning capacity of $127,211 represents the difference between his calculation of Ms. Carroll's without accident income from 2007 to the date of trial and the income she actually earned to the time of trial, after deduction of income tax and employment insurance premiums.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defendants contend there is no real and substantial possibility that, absent the accident, the plaintiff would have built her accountancy practice to the level estimated by Mr. Benning. They point out that before the accident Ms. Carroll had a small practice and no substantial client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defendants also argue that before the accident, the plaintiff had opportunities to build her practice that she did not exploit.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Until 2003, Ms. Carroll devoted considerable time to the daily care and monitoring of her daughter's diabetes. By 2003, the plaintiff's daughter, who was then 14 years old, was able to use an insulin pump. She no longer required the same care and oversight her mother had previously provided. The defendants say Ms. Carroll did not take advantage of the additional time at her disposal to build her practice in 2003 or 2004. They also submit that in 2005 when the plaintiff's daughter and son were 16 and 19 respectively, and following the termination of her employment by the Law Society, Ms. Carroll did not focus on building her home-based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plaintiff acknowledged that from 2003 until 2006 she did not concentrate on expanding her practice. From 2003 through 2005, she worked two to three days a week as an employee of the Law Society, maintained her small home practice, and continued to devote time to her family and other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 accept Ms. Carroll's evidence that her plan was to work on building her practice toward full-time work after her daughter completed high school. In 2006, before the accident, Ms. Carroll began to heavily market her services. She contacted and entertained prospective clients, and engaged in fundraising activities as a means of raising her profile in the community. She worked on developing her knowledge and skills in United States tax work. Ms. Carroll also remained closely involved with her family's activities. During 2006, she helped with the planning and fundraising for the trip she took to Nepal with her daughter in July 2007. I find that before the accident, the plaintiff's plan was to build her practice steadily, and to develop expertise in United States tax work while retaining the flexibility to devote some time to her family, travel, and her other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 find there is a real and substantial possibility that absent the accident, the plaintiff would have expanded her practice and substantially increased her earnings from 2007 to the time of trial. Ms. Carroll works hard and wants to succeed in her profession. She had a goal of establishing her own full-time home based practice, and had developed expertise in both Canadian and United States tax work. Mr. Benning's assumption of a five-year transition from half-time to full-time practice is not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 must also consider the likelihood of the plaintiff attaining the level of pre-trial earnings estimated by Mr. Benning.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In 2006, the plaintiff's net business income from her accountancy practice was only $16,567. Her main client was the Law Society. Ms. Carroll's marketing efforts had not yet borne fruit. In these circumstances, there is a real chance that the plaintiff may not have attained the level of pre-trial earnings estimated by Mr. Benning. Taking that chance into account, I assess the likelihood of the plaintiff having earned the pre-trial income estimated by Mr. Benning at 75%. Accordingly, I assess damages for the plaintiff's past loss of earning capacity in the amount of $95,400.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My award represents the plaintiff's past net income loss to the time of trial, as required by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Counsel for the defendants requested the opportunity to make further submissions on the tax applicable to the past income loss award. Counsel have leave to make further submissions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The standard of proof for the evaluation of hypothetical events that may affect an award of damages for future loss of earning capacity is simple probability, rather than the balance of probabilities: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As the Court of Appeal held in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 Possibilities and probabilities, chances, opportunities and risks must all be considered, so long as they are a real and substantial possibility and not mere speculation. These possibilities are to be given weight according to the percentage chance they would have happened or will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paras. 10 and 11, the Court of Appeal described the task of the trial judge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trial judge's task is to assess the loss on a judgmental basis, taking into consideration all the relevant factors arising from the evidence: </w:t>
      </w:r>
      <w:r>
        <w:rPr>
          <w:rFonts w:ascii="arial" w:eastAsia="arial" w:hAnsi="arial" w:cs="arial"/>
          <w:i/>
          <w:color w:val="000000"/>
          <w:sz w:val="20"/>
          <w:lang w:val="en-US" w:eastAsia="en-US" w:bidi="ar-SA"/>
        </w:rPr>
        <w:t>Mazzuca v. Alexakis</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[1994] B.C.J. No. 2128</w:t>
        </w:r>
      </w:hyperlink>
      <w:r>
        <w:rPr>
          <w:rFonts w:ascii="arial" w:eastAsia="arial" w:hAnsi="arial" w:cs="arial"/>
          <w:color w:val="000000"/>
          <w:sz w:val="20"/>
          <w:lang w:val="en-US" w:eastAsia="en-US" w:bidi="ar-SA"/>
        </w:rPr>
        <w:t xml:space="preserve"> (S.C.) (Q.L.) at para. 121, aff'd </w:t>
      </w:r>
      <w:hyperlink r:id="rId451" w:history="1">
        <w:r>
          <w:rPr>
            <w:rFonts w:ascii="arial" w:eastAsia="arial" w:hAnsi="arial" w:cs="arial"/>
            <w:i/>
            <w:color w:val="0077CC"/>
            <w:sz w:val="20"/>
            <w:u w:val="single"/>
            <w:shd w:val="clear" w:color="auto" w:fill="FFFFFF"/>
            <w:lang w:val="en-US" w:eastAsia="en-US" w:bidi="ar-SA"/>
          </w:rPr>
          <w:t>[1997] B.C.J. No. 2178</w:t>
        </w:r>
      </w:hyperlink>
      <w:r>
        <w:rPr>
          <w:rFonts w:ascii="arial" w:eastAsia="arial" w:hAnsi="arial" w:cs="arial"/>
          <w:color w:val="000000"/>
          <w:sz w:val="20"/>
          <w:lang w:val="en-US" w:eastAsia="en-US" w:bidi="ar-SA"/>
        </w:rPr>
        <w:t xml:space="preserve"> (C.A.) (Q.L.). Guidance as to what factors may be relevant can be found in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31; </w:t>
      </w: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per Finch J. They include: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 whether the plaintiff has been rendered less capable overall from earning income from all types of employment;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 whether the plaintiff is less marketable or attractive as an employee to potential employers;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 whether the plaintiff has lost the ability to take advantage of all job opportunities which might otherwise have been open to him, had he not been injured;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 whether the plaintiff is less valuable to himself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The task of the court is to assess damages, not to calculate them according to some mathematical formula: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Once impairment of a plaintiff's earning capacity as a capital asset has been established, that impairment must be valued. The valuation may involve a comparison of the likely future of the plaintiff if the accident had not happened with the plaintiff's likely future after the accident has happened. As a starting point, a trial judge may determine the present value of the difference between the amounts earned under those two scenarios. But if this is done, it is not to be the end of the inquiry: </w:t>
      </w:r>
      <w:r>
        <w:rPr>
          <w:rFonts w:ascii="arial" w:eastAsia="arial" w:hAnsi="arial" w:cs="arial"/>
          <w:i/>
          <w:color w:val="000000"/>
          <w:sz w:val="20"/>
          <w:lang w:val="en-US" w:eastAsia="en-US" w:bidi="ar-SA"/>
        </w:rPr>
        <w:t>Ryder (Guardian ad litem of) v. Jubbal</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overall fairness and reasonableness of the award must be considered taking into account all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Garson J.A., after reviewing the authorities, identified the basic principles articulated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as:</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and</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loss of earnings, but, rather, loss of earning capacity for which compensation must be made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at 251].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As Garson J.A. emphasized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the plaintiff must always prove there is a real and substantial possibility of a future event leading to an income loss. If the plaintiff meets that burden, then the plaintiff may prove the quantification of the loss of earning capacity on either an earnings approach or a capital asset approach. Where the loss is not readily measurable, the capital asset approach will be more useful than the earnings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Where the assessment is based on the capital asset approach, the court must consider the four questions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and make findings of fact concerning the nature and extent of the plaintiff's loss of capacity and how that loss may impact the plaintiff's ability to earn income: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I must first determine whether the plaintiff has established a real and substantial possibility of a future event leading to an income loss. If so, the court must assess, rather than calculate damages according to the likelihood of the event occurring. The award must be adjusted for both positive and negative contingencies, and the court must consider the overall fairness and reasonableness of the award: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Positions of the Parties on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Ms. Carroll says that but for the accident, she would have worked full time as a certified general accountant from the time of trial to retirement at age 70. The plaintiff submits that as a result of her injuries, she will, at best, work half time until she retires. On that basis, and assuming a loss of earning capacity of $50,000 per year to age 70, Mr. Benning, using the 1.5% discount rate prescribed under the Law and Equity Regulation, B.C. Reg. 74/2014, and an economic multiplier of 8,736, has estimated the plaintiff's future loss of earning capacity at $436,800. The plaintiff's expert has provided alternate estimates, assuming annual losses of either $100,000 or $150,000 to age 70, of $873,600 and $1,310,400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defendants contend any future loss of earning capacity is at best modest. Counsel for the defendants argue that the plaintiff's estimates failed to take into consideration the following factors and contingencies:</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possibility that the plaintiff's pre-existing degenerative condition may impair her earning capacity;</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potential for pain reduction and increased work capacity through further treatment;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possibility that the plaintiff will retire before age 70;</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likelihood of the plaintiff taking time off to look after family members;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reduced work volume resulting from poor client service;</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employment and income earning history as a basis for predicting future earning capacity;</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comparison of the plaintiff's earnings to other British Columbia accountants of similar age and educational background; and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plaintiff has maintained her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Future Earning Capacity: Discussion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 begin with the question of whether there is a real and substantial possibility of a future event leading to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Dr. Craig, who offered the most optimistic prognosis for the plaintiff four years after the accident, thought that while Ms. Carroll would be able to continue working as an accountant, her chronic neck pain would limit both the hours and the nature of the work she performed. Seven years after the accident, it was Dr. Etheridge's opinion Ms. Carroll's chronic neck pain will continue to cause her to be partially disabled and prevent her from performing full-time work as an accountant. Both Drs. Etheridge and Lau thought the plaintiff's work exacerbates her neck pain. Dr. Lau recommended that the plaintiff reduce or give up her work as an accountant in order to alleviate her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Dr. Brooks concluded that the plaintiff has a significant impairment due to chronic neck pain that restricts her ability to sit for prolonged periods, assume sustained postures and perform her work as an accountant. Dr. Brooks thought that the plaintiff is significantly less competitively employable both within her own field and for most other occupations.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 have found that by the time of trial the plaintiff's condition had plateaued and that she will probably continue to experience chronic neck pain and occipital headaches of varying duration and intensity on a permanent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 find that the plaintiff has established a real and substantial possibility that her ongoing chronic pain condition will lead to loss of future earning capacity. The plaintiff's condition renders her less capable overall from earning income. She is not able to work for long days on the sustained basis required of accountants during tax time. I accept the opinion of Dr. Brooks that Ms. Carroll's physical impairments including her reduced capability to work at a computer for sustained periods limits her suitability for many jobs. The plaintiff's chronic pain and associated fatigue make her less marketable or attractive to potential employers. Because Ms. Carroll's condition restricts her hours at work she has lost the ability to take advantage of business opportunities which might otherwise have been open to her. Her restricted hours of work and inability to meet tight deadlines during tax season render her unsuitable for employment by large accounting firms. Ms. Carroll's ability to increase the volume of her work has been impaired. The plaintiff's persistent and recurrent neck pain has caused her to turn her away or not pursue referrals for both Canadian and United States tax work she might otherwise have obtained, but for the accident. Ms. Carroll's profession is a significant component of her identity. Her injuries have prevented her from developing the full-time accountancy practice she hoped to build. As a consequence, the plaintiff is less valuable to herself as a person capable of earning income in a competitive marketplace.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 find that the plaintiff has suffered an impairment of a capital asset, her ability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 must next assess the contingencies, both positive and negative, affecting an award of damages to Ms. Carroll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Positive contingencies identified by the defendants include increased productivity through ergonomic changes to the plaintiff's home office, improved pacing of her work following a future functional capacity evaluation, and reduction of the plaintiff's pain through further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Ms. Tracy Berry, the plaintiff's expert in occupational therapy, recommended ergonomic changes to Ms. Carroll's home office, including raising her monitor, use of an alternative keyboard, an ergonomic chair and document holders to raise the plaintiff's work-related reading materials to the same level as her computer screen. Ms. Carroll testified that she had raised her monitor and uses a chair with full back support borrowed from her son. She had tried raised slant boards for her file materials but found they did not help. Rather than continuously entering data from a single document, the plaintiff works with numerous documents, uses a calculator, and frequently looks down to her files, and then up to her computer screen to ensure the accuracy of her work. Ms. Berry thought that any improvement in productivity through ergonomic changes would be incremental.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Working from a home office the plaintiff is able to take breaks and to pace her work through the week. It is possible that with the benefit of a functional capacity evaluation she may be able to further improve both her pacing and her productivity.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While there are possibilities for some improvement in the plaintiff's present earning capacity through ergonomic change and pacing her work, there is also a counterveiling risk that Ms. Carroll's chronic neck pain may compel her to give up her work as an accountant before she would otherwise have retired.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On the positive side, there is a chance that with further treatment the plaintiff might realize some gain in her productivity. Dr. Etheridge gave evidence that two out of three patients will realize 30-50% relief from pain through interventional treatments including facet medial branch blocks, RFL and trigger-point injections. The weight of the medical evidence is that Ms. Carroll's condition has plateaued. Further treatment may assist the plaintiff in managing her pain, and thereby improve her productivity, although the benefits are likely to be temporary rather than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The plaintiff is reluctant to consider disc replacement surgery. She and her primary care providers, Drs. Squire and Lau regard surgery as a last resort. There is a small chance, which I would assess at no more than 5% that the plaintiff may undergo disc replacement surgery. A successful operation would reduce her pain and potentially enhance her productivity.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The plaintiff testified that before the accident she had no retirement plans. She also said that after her husband retired she would continue to work. Mr. Carroll is eight years older than the plaintiff. Mr. Carroll testified that he had no current plan to retire.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Mr. Benning prepared a future income loss report dated August 3, 2011 in contemplation of the adjourned 2011 trial which included the following information regarding retirement ages omitted from his report of July 9, 2013: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According to Statistics Canada publication entitled </w:t>
      </w:r>
      <w:r>
        <w:rPr>
          <w:rFonts w:ascii="arial" w:eastAsia="arial" w:hAnsi="arial" w:cs="arial"/>
          <w:color w:val="000000"/>
          <w:sz w:val="20"/>
          <w:u w:val="single"/>
          <w:lang w:val="en-US" w:eastAsia="en-US" w:bidi="ar-SA"/>
        </w:rPr>
        <w:t>Canada's Changing Retirement Patterns</w:t>
      </w:r>
      <w:r>
        <w:rPr>
          <w:rFonts w:ascii="arial" w:eastAsia="arial" w:hAnsi="arial" w:cs="arial"/>
          <w:color w:val="000000"/>
          <w:sz w:val="20"/>
          <w:lang w:val="en-US" w:eastAsia="en-US" w:bidi="ar-SA"/>
        </w:rPr>
        <w:t xml:space="preserve">, prepared by Manon Monette, the average retirement age is 58.5 for females and 61.4 for males. More recent information derived from the </w:t>
      </w:r>
      <w:r>
        <w:rPr>
          <w:rFonts w:ascii="arial" w:eastAsia="arial" w:hAnsi="arial" w:cs="arial"/>
          <w:color w:val="000000"/>
          <w:sz w:val="20"/>
          <w:u w:val="single"/>
          <w:lang w:val="en-US" w:eastAsia="en-US" w:bidi="ar-SA"/>
        </w:rPr>
        <w:t>Labour Force Historical Review</w:t>
      </w:r>
      <w:r>
        <w:rPr>
          <w:rFonts w:ascii="arial" w:eastAsia="arial" w:hAnsi="arial" w:cs="arial"/>
          <w:color w:val="000000"/>
          <w:sz w:val="20"/>
          <w:lang w:val="en-US" w:eastAsia="en-US" w:bidi="ar-SA"/>
        </w:rPr>
        <w:t xml:space="preserve"> (2007), a publication of Statistics Canada, indicates that, in 2007, the median retirement age for self-employed workers was around age 65 years for both genders.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Taking into account the statistical information regarding retirement age for self-employed female workers, the absence of persuasive evidence of any financial necessity for the plaintiff to work to age 70, the eight-year age difference between the plaintiff and her husband and the likelihood that absent the accident, they would have wished to travel and pursue other recreational activities while they both remained in good health, I find that but for the accident Ms. Carroll would likely have continued her home-based practice as an accountant until retirement at age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 also find that there is a real and substantial possibility that but for the accident, the plaintiff would have increased her annual income by about $50,000, to a level roughly equivalent to the earnings of the average male accountant in British Columbia with similar educational qualifications, although she may not have attained that level of income by the time of trial. Mr. Benning testified that the plaintiff's annual income for 2012 of $55,897 exceeded the earnings of the average female accountant in British Columbia. However, the plaintiff is ambitious and hard-working. She also has the advantage of specialized knowledge that qualifies her to perform United States tax work, and enables her to attract work not available to many other members of her profession. While it may have taken the plaintiff beyond the time of trial to realize a $50,000 increase in her annual income, there is also the contingency that she may have had years, where by virtue of particularly lucrative work, her income would have exceeded that of the average male accountant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negative contingencies also include time lost for work due to unrelated illness and for the care of family members. Mr. Benning's contingency for non-participation in the labour market is based on statistical information for the average British Columbia male accountant. It may therefore underestimate this contingency in the case of Ms. Carroll. There is a real possibility that the plaintiff would have had to take some time off from work to care for her elderly mother, her daughter or her husband as he 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 defendants submit that the risk that the plaintiff's volume of work might have declined through poor client service must also be taken in account. Ms. Gabrielle Loren, a senior partner in a firm of certified general accountants practising in West Vancouver, emphasized the importance of client service in building and maintaining a practice. She referred United States tax work to the plaintiff from 2009 until June 2012. Ms. Loren testified that she decided to make no more referrals to Ms. Carroll in June 2012 after receiving complaints from clients that the plaintiff was not returning their calls, and that in one instance, Ms. Carroll had been rude to a client. Ms. Loren was unaware, when she terminated her referrals, that the plaintiff had been injured in a motor vehicle accident. On the evidence adduced at trial it is not possible to determine whether or not the plaintiff's errant behaviour was attributable to her neck pain or fatigue. In any event, despite the fact the plaintiff is self-employed, Mr. Benning included a contingency ranging from 4.58% and 6.41% for unemployment in his economic multiplier. He did so to account for the risks associated with operating a business, including business failure. Those risks would include the loss of work through a decline in customer service. Mr. Benning's economic multiplier already adjusts for the risk that absent the accident, the plaintiff might have lost some work through lapses in client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Mr. Benning's estimates provide a starting point for the assessment of the plaintiff's future loss of earning capacity. Assuming a loss of earning capacity of $50,000 per year from the date of trial to retirement at age 65, and using Mr. Benning's economic multiplier which adjusts for labour market contingencies and the risk of premature death, the present value of the plaintiff's loss would be $50,000/1,000 x 7,363 which equals $369,650.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Weighing all of the contingencies, both positive and negative, including the risk that the plaintiff's pre-existing degenerative disc condition would have limited her earning capacity in any event, which I have assessed at 10%, and the contingencies for future improvement in the plaintiff's productivity, I assess the plaintiff's damages for future loss of earning capacity in the amount of $295,000.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xml:space="preserve">  The plaintiff is entitled to compensation for the cost of future care based on what is reasonably necessary to restore her to her pre-accident condition in so far as that is possible. When full restoration cannot be achieved, the court must strive to assure full compensation through the provision of adequate future care.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Williams (Guardian ad litem of) v. Low</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[2000] B.C.J. No. 408</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Spehar (Guardian ad litem of) v. Beazley</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[2002] B.C.J. No 1718</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The test for determining the appropriate award for cost of future care is an objective one based on medical evidence. The claims founding an award for cost of future care must be both medically justified and reasonable. The award of damages must be moderate and fair to both parties: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at p. 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xml:space="preserve">  Future care costs must be justified both because they are medically necessary and they are likely to be incurred by the plaintiff. The award of damages is thus a matter of prediction as to what will happen in future. If a plaintiff has not used a particular item or service in the past it may be inappropriate to include its cost in a future care award: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at para. 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xml:space="preserve">  The extent, if any, to which a future care costs award should be adjusted for contingencies depends on the specific care needs of the plaintiff. Negative contingencies may be offset by positive contingencies. In other cases, however, the award is reduced based on the prospect of improvement in the plaintiff's condition or increased based on the prospect that additional care will be required. Each case falls to be determined on its particular facts: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In her closing submissions the plaintiff claimed costs of future care totalling $313,715. That claim includes the costs of future care recommended by Ms. Berry in her report dated July 9, 2013 in the amount of $136,169. The balance of the plaintiff's claim comprised the cost of four RFL treatments per year to age 70. I will begin by addressing the various treatments, supplies and services recommended by Ms. Berry.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Medical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Dr. Brooks supports Ms. Berry's recommendation that the plaintiff participate in an intensive four- to six-week interdisciplinary pain clinic. In 2010, Ms. Carroll attended five one-day sessions at the St. Paul's Hospital Pain Clinic, which is funded through the Medical Services Plan. Since February 2009, the plaintiff has had the benefit of advice, counselling and treatment by Drs. Squire and Lau, two experts in pain management. Neither Dr. Squire nor Dr. Lau has recommended this program. Given the nature and quality of the care she has already received, I am not satisfied Ms. Carroll would derive any significant benefit from this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With respect to treatment, Ms. Carroll will continue to receive such trigger point injections, medial branch blocks and nerve root blocks as her treating physicians deem medically necessary and efficacious for the management of her pain through the Medical Services Plan, at no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Medications and Supplies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Based on the plaintiff's use of medications at the time of her report, Ms. Berry has recommended an annual allowance of $456 for Tramacet and $240 for Clonezapam to age 70. The present value of the amount claimed for these medications is $15,840. The defendants submit that Ms. Berry has made no provision for the possibility that after age 65 some of the cost of medication may be subsidized by Pharmacare. However no evidence was adduced on the extent of any subsidy for which the plaintiff might qualify.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Ms. Berry has not allowed for the possibility that through future pain reduction the plaintiff may reduce her use of medications. There is also a real possibility that Ms. Carroll's medications may change, and their cost may increase. On balance, I find that $15,840 is a reasonable allowance for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Therapeutic Modalities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In Dr. Brooks' opinion, the prolotherapy and neuro-prolotherapy proposed by Dr. Bertrand, a physician to whom Dr. Lau referred the plaintiff, is unlikely to provide lasting relief and is of unproven efficacy. The plaintiff is not pursuing her claim for this therapy. There will be no provision for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No medical doctor has recommended the psychological assessment and 10 cognitive behavioural therapy sessions included in Ms. Berry's report. The cost of these items is $750 for the assessment and $1,750 for treatment. Dr. Lau did make a recommendation for individual and family counselling to assist Ms. Carroll with pain management, without specifying the scope of that treatment. Ms. Berry advised that typically, patients receive 8 to 10 psychological counselling sessions for pain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plaintiff was unsure if she would pursue counselling. Ms. Carroll had not sought psychological counselling to the date of trial. She described herself as "a tough person to break", and expressed reluctance about disclosing personal information to a psychologist. She indicated that if she were to pursue counselling, she "really would need to see someone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I am satisfied that psychological counselling for pain management is medically justified. Ms. Carroll has followed Dr. Lau's recommendations for treatment. However, recognizing the contingency that the plaintiff may not complete a full course of 8 to 10 treatments, I award $850 as a reasonable allowance for psychology.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Ms. Berry, based on Dr. Squire's opinion of October 4, 2011 that further physiotherapy may be necessary, recommended 22 sessions per year to age 65, at a present value of $12,612. Dr. Squire made no recommendation for the frequency or duration of any additional physiotherapy, and Ms. Berry did not follow up with her. Between December, 2006 and the time of trial the plaintiff received approximately one hundred sessions of physiotherapy, active rehabilitation, kinesiology and personal exercise training under the guidance of physiotherapists.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Ms. Carroll testified that she did not find that she had benefitted from physiotherapy, but did say she would follow a recommendation from her doctor for further Intramuscular Stimulation Therapy (IMS) at Lynn Valley Physiotherapy. I infer the plaintiff found some benefit from this particular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Dr. Lau, who has succeeded Dr. Squire as the primary provider of pain management care to Ms. Carroll, has recommended the plaintiff receive up to 20 IMS sessions for her neck and shoulder girdle, at a cost of $100 per session. Based on Dr. Lau's recommendation, I find this treatment is medically justified. I award $2,000 for the reasonable future cost of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Based on Dr. Squire's opinion that the plaintiff may benefit from massage therapy and Ms. Carroll's report that she accessed massage therapy occasionally to manage severe exacerbations, Tracy Berry recommended four massage therapy sessions annually to age 65. The present value of this item is $3,812. Dr. Squire did not provide an estimate of the number or duration of massage sessions the plaintiff might require. Dr. Lau has not recommended massage therapy. In cross-examination Ms. Berry agreed that the plaintiff may not require any massage therapy. The plaintiff had her last session of massage therapy more than a year before trial. I am not persuaded that further massage therapy is medically justified and therefore make no allowance for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Support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Ms. Berry has recommended two hours per week of homemaking assistance for the plaintiff until age 80, at a cost of $48,988. I have accepted Dr. Craig's opinion and have found that Ms. Carroll is able to perform most household tasks. I find that any assistance the plaintiff may require with heavier housekeeping tasks like vacuuming falls within the give and take of the domestic responsibilities the plaintiff and Mr. Carroll have shared both before and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Ms. Berry has recommended 15 hours per year of home maintenance assistance and 10 hours per year for yard care to age 80. Although Ms. Carroll is able to manage mowing the lawn, based on her assessment of Ms. Carroll, and her observation of the property, Ms. Berry thought the plaintiff would require seasonal assistance with activities like weeding and pruning. She estimated the cost of both home maintenance and seasonal yard care service at $50/hour. Dr. Craig thought the plaintiff would be able to perform light gardening but that her neck symptoms might continue to restrict Ms. Carroll's capacity for more physical gardening. I have found that the plaintiff is no longer able to assist Mr. Carroll with heavier home renovation or construction work. The plaintiff's restricted neck range of motion and chronic neck pain also impair her capacity to perform some home maintenance tasks, such as house painting. In my view, some allowance for assistance with home maintenance and yard care is medically justified. Allowing for some sharing of these tasks with her husband and son, and for the possibility that the plaintiff's need for assistance may decline with further treatment, I would allow these items in half the amount recommended by Ms. Berry. Accordingly, the plaintiff will have $7,350 for future home maintenance assistance and $4,900 for yard care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Membership in a Community gym/pool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Ms. Carroll already has access to a community gym through her membership in the North Shore Winter Club, which pre-dates the accident. She also avoids public swimming pools because they cause her skin rashes. In these circumstances, this expense is not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Vocational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The defendants agree that the ergonomic modifications to the plaintiff's home office recommended by Ms. Berry are reasonable, and may assist the plaintiff in realizing an incremental gain in her productivity. This item is allowed in the amount claimed of $1,340.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A full functional capacity assessment was recommended by Dr. Brooks to assist Ms. Carroll in maximizing her productivity in her home office and in pacing her work. The amount claimed of $1,448 is a reasonable expense from which Ms. Carroll will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Ms. Berry also recommended a vocational assessment at a cost of $2,100. The plaintiff intends to continue working, within her limitations, as an accountant. She does not want to change her occupation. I find that the vocational assessment is a service that Ms. Carroll is unlikely to use in the future and accordingly make no provision for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Post-surgical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Ms. Berry has recommended an allowance of $5,708 for personal care, homemaking assistance, physiotherapy, occupational therapy and equipment following disc replacement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As the defendants submit, Ms. Berry did not contact Dr. Matishak to determine Ms. Carroll's potential post-surgery needs. Dr. Matishak testified that post-surgery physiotherapy would not be required. Ms. Berry was unsure whether Dr. Matishak would recommend the other therapies, services and equipment she has proposed.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Dr. Lau has recommended against disc replacement surgery, except as a last resort. It is unlikely that the plaintiff will pursue surgery. Further, the plaintiff has not met the onus of showing that the proposed costs are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Radio-frequency Lesioning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Drs. Lau and Etheridge have both recommended RFL for relief of the plaintiff's chronic neck pain. Ms. Carroll had two RFL sessions before trial. She realized significant pain relief and a corresponding increase in her productivity for about a month, rather than the six-month to two-year pain reduction that some patients achieve through this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The cost per session of RFL through a private clinic ranges from $3,000 to $5,000. Based on a cost per session at the mid-point of $4,000, the plaintiff claims for four sessions at $16,000 per year to age 70. Using the current discount rate of 2% for future cost of care expenses, the present value of the RFL treatments claimed by the plaintiff is $210,183.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Dr. Etheridge advised that RFL can be repeated long term with good success. However, neither he nor Dr. Lau gave any evidence regarding the anticipated frequency of RFL treatment for Ms. Carroll. Dr. Lau testified that this procedure carries risks of puncture of the vertibral artery, nerve root damage, and penetration of the spinal cord. As the defendants argue this treatment may be discontinued in the future if it does not produce results that would medically justify its continuation.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Ms. Carroll incurred no cost for the two RFL treatments she received at St. Paul's Hospital before trial. Dr. Lau testified RFL is not included in Medical Services Plan coverage, but that she was able to bill both of Ms. Carroll's RFL treatments to the Medical Services Plan as a nerve block. Dr. Lau is uncertain about whether funding would be available to continue RFL therapy at St. Paul's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The RFL treatments Ms. Carroll has received have benefitted her by providing her with a substantial, but temporary reduction of her neck pain. I am satisfied that some further RFL treatment is medically justified, but do not have the benefit of expert evidence concerning the likely duration or frequency of that treatment. While the plaintiff has received RFL at St. Paul's Hospital at no cost, there is a real possibility that she may have to bear the cost of this treatment in the future. While the evidence falls well short of establishing that the amount claimed is reasonable, I am persuaded that some allowance should be made for the cost of future RFL treatment. Taking all of these factors into account, I allow $16,000 for this item, representing the cost of four private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I award damages for costs of future care in the total amount of $49,728.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xml:space="preserve">  An injured person is entitled to recover reasonable out-of-pocket expenses incurred as a result of an accident, in order to restore the claimant to the position he or she would have been in had the accident not occurred: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281;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at p.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The plaintiff claims special damages of $18,043. The defendants do not dispute that Ms. Carroll incurred the expenses she claims, but argue that no award should be made for any items resulting from the plaintiff's original condition, or intervening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xml:space="preserve">  I am satisfied that all of the expenses claimed were reasonably incurred for the treatment of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Accordingly, the plaintiff is entitled to special damages in the amount of $18,043.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The defendants submit that Ms. Carroll's damages should be reduced for failure to mitigate. Specifically, the defendants argue that the plaintiff has failed to mitigate by:</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follow Ms. Berry's ergonomic work station recommendations;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perform the neck exercises she learned from both KARP Rehabilitation and other treatment providers;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good service to clients and losing referral work; and</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terminating her custodial accounting services to the Law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57, Low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onus is on the defendant to prove that the plaintiff could have avoided all or a portion of his loss. In a personal injury case in which the plaintiff has not pursued a course of medical treatment recommended to him by doctors, the defendant must prove two things: (1) that the plaintiff acted unreasonably in eschewing the recommended treatment, and (2) the extent, if any, to which the plaintiff's damages would have been reduced had he acted reasonably. These principles are found in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457"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Although the plaintiff has not yet purchased a specialized keyboard, she has followed some of Tracy Berry's ergonomic recommendations. She has raised the level of her monitor and uses a chair that provides full back support. The plaintiff testified that she had tried using a slant board to hold the documents she works with. However, Ms. Carroll found that using the raised slant board was not helpful given the large volume of material to which she has to refer to while working on her files. The full functional capacity assessment may result in further gains to both the plaintiff's comfort and the efficiency of her work flow in her home office. However, the defendants have not established that Ms. Carroll has acted unreasonably by implementing some but not all of Ms. Berry's ergonomic recommendations. Nor have the defendants shown that the plaintiff's damages would have been reduced if she had adopted all of those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Turning to the neck exercises, the plaintiff acknowledged that she was advised to do these exercises every day and that she sometimes skips days. I have found that the plaintiff has done her best to follow the recommendations of her care providers. There is no evidence that Ms. Carroll's occasional failure to perform her neck exercises has had any material impact on the frequency or duration of her neck pain. Again, the defendants have not met the burden of showing that Ms. Carroll's damages would have been reduced had she not occasionally omitted these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With respect to the plaintiff's loss of referral work from Ms. Loren, I have already found that any deterioration in client service is accounted for in my award of damages for future loss of earning capacity by the negative contingency for business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Finally, I turn to the defendants' submission that Ms. Carroll failed to maximize her earnings when she terminated her contract with the Law Society in or about May 2013. The plaintiff gave up that work at a time when her physician was recommending that she reduce or even cease her work as an accountant. As the defendants point out, the Law Society had accommodated Ms. Carroll by providing her with an ergonomic work station at their premises, and by delivering files to her home. The Law Society paid for the plaintiff's services at the rate of $75 per hour. For considerations which I have already discussed, the plaintiff decided to give up her work with the Law Society, and to retain other clients, including those for whom she performed more lucrative United States tax work. In my view, Ms. Carroll is not to be faulted for a decision by which she sought to retain her most profitable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There will be no reduction to the plaintiff's damages for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In summary, damages are awarded as follows:</w:t>
      </w:r>
      <w:r>
        <w:rPr>
          <w:rFonts w:ascii="arial" w:eastAsia="arial" w:hAnsi="arial" w:cs="arial"/>
          <w:sz w:val="20"/>
          <w:lang w:val="en-US" w:eastAsia="en-US" w:bidi="ar-SA"/>
        </w:rPr>
        <w:cr/>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$ 90,000</w:t>
      </w:r>
    </w:p>
    <w:p>
      <w:pPr>
        <w:numPr>
          <w:numId w:val="4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earning capacity $ 95,400</w:t>
      </w:r>
    </w:p>
    <w:p>
      <w:pPr>
        <w:numPr>
          <w:numId w:val="4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of earning capacity $ 295,000</w:t>
      </w:r>
    </w:p>
    <w:p>
      <w:pPr>
        <w:numPr>
          <w:numId w:val="4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future care $ 49,728</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$ 18,043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TOTAL </w:t>
      </w:r>
      <w:r>
        <w:rPr>
          <w:rFonts w:ascii="arial" w:eastAsia="arial" w:hAnsi="arial" w:cs="arial"/>
          <w:b/>
          <w:color w:val="000000"/>
          <w:sz w:val="20"/>
          <w:lang w:val="en-US" w:eastAsia="en-US" w:bidi="ar-SA"/>
        </w:rPr>
        <w:t>$ 548,171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Unless there are matters that counsel wish to bring to the attention of the Court, the plaintiff is entitled to costs at Scale B, and her reasonable disbursements. If submissions on costs are necessary, counsel are at liberty to schedule a hearing through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P.J. PEARLMAN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1"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64" w:history="1">
        <w:r>
          <w:rPr>
            <w:rFonts w:ascii="arial" w:eastAsia="arial" w:hAnsi="arial" w:cs="arial"/>
            <w:b/>
            <w:bCs/>
            <w:i/>
            <w:color w:val="0077CC"/>
            <w:kern w:val="32"/>
            <w:sz w:val="28"/>
            <w:szCs w:val="32"/>
            <w:u w:val="single"/>
            <w:shd w:val="clear" w:color="auto" w:fill="FFFFFF"/>
            <w:lang w:val="en-US" w:eastAsia="en-US" w:bidi="ar-SA"/>
          </w:rPr>
          <w:t>Datoc v. Raj, [2013] B.C.J. No. 338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J.S. Sigurdson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1-5 and 12,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27,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M095617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338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308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Roderick Paul Datoc, Plaintiff, and Ram Raj,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2"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9" w:name="Keywords_17"/>
      <w:bookmarkEnd w:id="119"/>
      <w:r>
        <w:rPr>
          <w:rFonts w:ascii="arial" w:eastAsia="arial" w:hAnsi="arial" w:cs="arial"/>
          <w:b/>
          <w:color w:val="000000"/>
          <w:sz w:val="20"/>
          <w:lang w:val="en-US" w:eastAsia="en-US" w:bidi="ar-SA"/>
        </w:rPr>
        <w:t>Damages — Physical and psychological injuries — Physical injuries — Body injuries — Back and spine — Neck — Soft tissue — Head injuries — Headaches — Considerations impacting on award — Credibility — Action by the plaintiff against the defendant for damages arising from a motor vehicle collision allowed in part — While Court found that plaintiff suffered soft tissue injuries that resulted in neck and lower back pain and headaches, it found the plaintiff greatly exaggerated his injuries — Plaintiff awarded $35,000 in non-pecuniary damages, $18,000 for past wage loss and special damages of $9,049 — Court declined to make any award for loss of future earning capacity or future care costs.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Categories of — Loss of income — Special damages — Expenses and expenditures — Medical — Medications — Therapy or rehabilitation — Non-pecuniary loss — Action by the plaintiff against the defendant for damages arising from a motor vehicle collision allowed in part — While Court found that plaintiff suffered soft tissue injuries that resulted in neck and lower back pain and headaches, it found the plaintiff greatly exaggerated his injuries — Plaintiff awarded $35,000 in non-pecuniary damages, $18,000 for past wage loss and special damages of $9,049 — Court declined to make any award for loss of future earning capacity or future care costs.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Rules of the road — Action by plaintiff against defendant for damages arising from a motor vehicle collision allowed in part — Each party denied liability and claimed the other had caused the collision by entering the intersection on a red light — Court preferred plaintiff's evidence — Key to finding that defendant was liable was a photo taken by plaintiff of defendant after accident holding a note with his licence details and "running a red light" — However, Court did not accept plaintiff's evidence that he was hurt to the degree claimed, pointing to video surveillance of plaintiff and plaintiff's inconsistent reports to doctors.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0" w:name="Case Summary_16"/>
            <w:bookmarkEnd w:id="12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Datoc against Raj for damages arising from a motor vehicle collision. The collision took place in an intersection. The 26-year-old plaintiff was travelling westbound and the 76-year-old defendant was travelling southbound. Both claimed that they had entered the intersection on a green light. The plaintiff's driver's side front fender struck the mud guard of the defendant's vehicle. The collision was relatively minor, with the plaintiff describing a "jolt" as the vehicles hit. While the circumstances that led to it were unclear, the plaintiff wrote the defendant's licence particulars and "running a red light" on a paper bag and asked the defendant to hold the bag up to allow the plaintiff to take his picture. The plaintiff claimed that he suffered injuries as a result of the accident including neck and low back pain and headaches. While the plaintiff claimed his injuries continued to prevent him from carrying on normal day-to-day activities, video surveillance obtained by the defendant suggested otherwise. The plaintiff argued the defendant was liable for the accident and claimed non-pecuniary damages of $75,000, past wage loss of $80,000, loss of earning capacity of $275,000, special damages of $9,049 and future care costs of $20,000. The defendant denied liability but argued that if he was negligent, the plaintiff was contributorily negligent because he was speeding and "timing" the light before entering the intersection. With respect to damages, the defendant's position was that non-pecuniary damages should be limited to $25,000-$35,000, past loss of income to $7,650, special damages as claimed and no amounts for future care costs or loss of earning capacity.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1" w:name="Holdings of Court_16"/>
            <w:bookmarkEnd w:id="121"/>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Although the Court had serious concerns about the plaintiff's credibility, it preferred his evidence over the defendant's on the issue of liability. Key to the Court's conclusion on liability was the photo obtained by the plaintiff immediately after the collision of the defendant posing with the note "running a red light". There was no evidence to support a finding that the plaintiff was contributorily negligent. In terms of the plaintiff's injuries, the Court found the plaintiff suffered a soft tissue injury but that his symptoms were far less severe than the plaintiff asserted. It did not accept that the plaintiff's injuries had persisted to the degree that he said they did or that they continued to impact on his ability to earn income. The Court pointed to the fact that the accident itself was minor, the video surveillance showed a dramatically different plaintiff than the one who seemed to be in constant discomfort in court, and the inconsistencies in the plaintiff's reporting of his symptoms to doctors. In terms of damages, the Court awarded $35,000 in non-pecuniary damages, $18,000 for past wage loss and special damages as claimed. It declined to make any award for loss of future earning capacity or future care costs.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2" w:name="Counsel_17"/>
      <w:bookmarkEnd w:id="12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3"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Dairn O. Shane, Adam K. Ueland.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Anthony Leoni.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3" w:name="Judgment_17"/>
      <w:bookmarkEnd w:id="123"/>
      <w:r>
        <w:pict>
          <v:line id="_x0000_s1114" style="position:absolute;z-index:2517790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4" w:name="J.S. SIGURDSON J."/>
            <w:bookmarkEnd w:id="124"/>
            <w:r>
              <w:rPr>
                <w:rFonts w:ascii="arial" w:eastAsia="arial" w:hAnsi="arial" w:cs="arial"/>
                <w:b/>
                <w:color w:val="000000"/>
                <w:sz w:val="30"/>
                <w:lang w:val="en-US" w:eastAsia="en-US" w:bidi="ar-SA"/>
              </w:rPr>
              <w:t>J.S. SIGURDSON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Roderick Paul Datoc, was involved in a collision with a vehicle driven by the defendant, Ram Raj, on July 28, 2008 at the intersection of 84th Avenue and 128th Street in Surrey. Each driver testified that he entered the intersection on a green light, and no other witnesses to the accident were called. The defendant denies liability, but says that if he was negligent, the plaintiff was contributorily negligent because he was speeding and "timing" the light just before entering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claims to have suffered injuries including neck and low back pain and headaches. The most significant injury he claims is persistent and debilitating lower back pain, which has resulted in a substantial claim for general damages, past wage loss and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says that if the plaintiff was injured in the collision, which resulted in minimal property damage, the plaintiff's injuries are far less serious than the plaintiff professes, and a modest award should be made for non-pecuniary damages and loss of past wages, and no award for loss of earning capacity or cost of future care should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 will deal with the issues of liability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then discuss the question of damages where the defendant asserts that the plaintiff failed to mitigate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time of the accident, the plaintiff was driving to work from his parents' home, and the defendant was driving his wife to a dialysis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motor vehicle accident occurred on a sunny morning sometime between 6:00 a.m. and 7:00 a.m. The intersection had traffic control lights with a through lane and a left turn lane for each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the time of the accident, the plaintiff was about 26 years old, and the defendant 76 years old. At the time of trial, the plaintiff was about 30 years old and the defendant 80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Before the accident, the drivers were perpendicular as they approached the intersection, the plaintiff travelling westbound on 84th Avenue, and the defendant travelling southbound on 128th Street. The accident occurred when one of the drivers entered the intersection on a red light. The plaintiff's driver's side fender struck the mud guard of the defendant's vehicle. After the collision, the defendant proceeded through the intersection and parked at the side of the road. The drivers got out of their vehicles. The plaintiff was upset but calmed down when he learned that the defendant was taking his wife to a dialysis treatment appointment. While the circumstances that led to it are unclear, the plaintiff wrote on a paper bag that the defendant was "running red light" and took a cell phone picture of the defendant holding that bag, which also contained the defendant's license particulars. After the photograph, the parties left the area of the accident. The defendant did not ask the plaintiff for his licence information but later that day, after talking to his granddaughter, called ICBC and gave them a statement to the effect that upon entering the intersection he was in fact facing an amber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wife, who was in the vehicle, did not testify. According to the defendant, she is "not well". Counsel for the plaintiff seeks an adverse inference against the defendant for not calling her or providing a fuller explanation as to why she did not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According to the plaintiff, he was proceeding westbound along 84th Avenue towards the intersection with 128th Street. He was wearing a seat belt. He testified that he assumed the speed limit was around 60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estimated that he was about thirty feet from the intersection, travelling at a speed of about 40 kph, when he saw the light at the intersection ahead go green. The plaintiff said he then sped up to about 55-60 kph, and entered the intersection on the green light. At the stop line he looked to his right because "people sometimes run red lights". He said that as he crossed into the intersection and looked right he saw the defendant speeding. He braked his vehicle as quickly as he could, but said that he could not avoid the collision. He had reduced his speed he said to about 10 kph when his driver's side front fender made contact with the mud guard of the defendant's vehicle. The plaintiff said that he could not stop in time to avoid the collision. He described the contact as resulting in his body moving slightly and "a jolt". He also described it as a "considerable bump". He said he could feel it and testified that his body moved slightly.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After the collision, the defendant proceeded through the intersection and parked at the side of the road, and the drivers got out of their vehicles. The plaintiff was upset. The plaintiff said that he asked the defendant why he ran a red light. The defendant apologized and said he was taking his wife to dialysis.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While the circumstances that led to it are unclear, the plaintiff wrote the defendant's license particulars and "running red light" on a paper bag and asked the defendant to hold the bag up and allow the plaintiff to take his picture. The plaintiff took a cell phone picture of the defendant holding that bag. The reason, he said, was that in past accidents he had not taken enough information. After the photograph, the parties left the area of the accident. The defendant did not ask the plaintiff for his licence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drove to his common-law wife's home and phoned work to say he was not coming in. He said had felt a little pain in his lower back, had a nap, and when he woke that afternoon, he went to see his family doctor, Dr. 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damage to the defendant's car was about $250. The damage to the plaintiff's vehicle was to the bumper, not structural, and cost $1,080.03 to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Mr. Raj, testified that the plaintiff ran the red light. He testified at trial that he had entered the intersection on a green light. However, in a statement to ICBC made after the accident, he told ICBC that he entered the intersection on an amber light. As to why he signed the paper bag with the reference to his running the red light, the defendant explained the plaintiff was a larger man and was upset and agitated, that he (the defendant) could not read or speak English, and that he did not know what he was signing. The defendant said that he was not aware that the plaintiff had taken a photograph of him with the bag.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determination of the issue of liability is essentially a question of credibility. Although, as I will describe in my discussion of damages, I have serious concerns about the plaintiff's credibility, I prefer his evidence over that of the defendant on the issue of liability. I find, on a balance of probabilities, that the accident occurred in the manner described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evidence as a whole indicates that at the time of the collision, the defendant believed he was at fault, likely, I conclude, for having run the red light. I reach this conclusion for a number of reasons. The plaintiff obtained the defendant's license information from him, but the defendant did not ask for the same information from the plaintiff. I have taken into consideration that the defendant may have thought the accident to be quite minor, but nevertheless, if he believed that he had entered the intersection on a green or amber light and that the plaintiff had run the red light, I expect the defendant would likely have asked the plaintiff for his licence information. I have also taken into consideration that the defendant may have found the plaintiff intimidating, which may have affected the defendant's behaviour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 posed for a photograph with a note that said "running red light". That of course is of little significance if the defendant did not read English. The defendant testified that he did not know much English, could write very little and could not read English. He said that he did janitorial work after he arrived in 1984 in Canada until he retired.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find that the defendant spoke to the plaintiff in English when he told the plaintiff that he was taking his wife to a dialysis appointment. This appears likely to be an explanation as to why he entered the intersection as he did. The evidence as a whole suggests that the defendant speaks and likely writes some English. He has been in Canada since 1984 and his children and grandchildren speak English. He also admitted some ability in conversational English. I find that he was aware not only that "running red light" had been written on the paper, but that the plaintiff was taking a picture of him for informational purposes to confirm that fact. Although he denied that he knew a picture was been taken, the photo itself suggests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Considering the whole of the evidence, including in particular his cross-examination, I find it is likely that the defendant understands and reads more English than he professes. The evidence of the photo suggests that the defendant, at the time of the accident, believed that he was at fault for entering the intersection on a red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do not draw an adverse inference from the failure of the defendant to call his wife to testify because I think an explanation was provided by him as to her state of health sufficient to justify her non-attendance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However, on all of the evidence, I find that the accident was caused by the defendant entering the intersection on a red light when the plaintiff had a green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 now turn to the question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 argues that if the plaintiff entered the intersection on a green light, as I have found, he did so very shortly after the light facing him turned green. The defendant's counsel says that the plaintiff was contributorily negligent for what he refers to as speeding and "timing" the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defendant's counsel says that, according to the plaintiff's evidence, the light turned green for him when he was about 30 feet from the intersection and he was travelling 55 to 60 kph as he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plaintiff's counsel argues that since at least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a driver is entitled to assume other drivers will comply with the law, i.e. not go through a red light. The plaintiff's counsel says that a similar argument about timing the light has been rejected in other cases, particularly where there is no independent evidence that the plaintiff was actually timing the light or no engineering evidence that the accident could have been avoided had the driver not been timing the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Moreover, the plaintiff's counsel says that there was no evidence as to what the speed limit in the area was. The defendant introduced a by-law that the speed limit on roads in Surrey was 50 kph unless otherwise stated, and there was no evidence it was otherwise stated. As such, the defendant argues that the plaintiff was speeding. The plaintiff testified there was some obstruction, described as a bus stop and a hill, which restricted his sightline down the road in the direction the defendant was coming. The defendant did not comment on this and the plaintiff said he only saw the defendant a moment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as I have found, was entering the intersection on a green light. As such he was the dominant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oft-quoted passage from the concurring judgment of Cartwright and Locke JJ. in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succinctly set out the duties of a driver in the dominant position: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duty of a driver having the statutory right-of-way has been discussed in many cases. In my opinion it is stated briefly and accurately in the following passage in the judgment of Aylesworth J.A., concurred in by Robertson C.J.O., in </w:t>
      </w:r>
      <w:r>
        <w:rPr>
          <w:rFonts w:ascii="arial" w:eastAsia="arial" w:hAnsi="arial" w:cs="arial"/>
          <w:i/>
          <w:color w:val="000000"/>
          <w:sz w:val="20"/>
          <w:lang w:val="en-US" w:eastAsia="en-US" w:bidi="ar-SA"/>
        </w:rPr>
        <w:t>Woodward v. Harris</w:t>
      </w:r>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[1951] O.W.N. 221</w:t>
        </w:r>
      </w:hyperlink>
      <w:r>
        <w:rPr>
          <w:rFonts w:ascii="arial" w:eastAsia="arial" w:hAnsi="arial" w:cs="arial"/>
          <w:color w:val="000000"/>
          <w:sz w:val="20"/>
          <w:lang w:val="en-US" w:eastAsia="en-US" w:bidi="ar-SA"/>
        </w:rPr>
        <w:t xml:space="preserve"> at p. 223: "Authority is not required in support of the principle that a driver entering an intersection, even although he has the right of way, is bound to act so as to avoid a collision if reasonable care on his part will prevent it. To put it another way: he ought not to exercise his right of way if the circumstances are such that the result of his so doing will be a collision which he reasonably should have foreseen and avoided."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judgment of the Court of Appeal in that case was set aside and a new trial ordered [ </w:t>
      </w:r>
      <w:hyperlink r:id="rId466" w:history="1">
        <w:r>
          <w:rPr>
            <w:rFonts w:ascii="arial" w:eastAsia="arial" w:hAnsi="arial" w:cs="arial"/>
            <w:i/>
            <w:color w:val="0077CC"/>
            <w:sz w:val="20"/>
            <w:u w:val="single"/>
            <w:shd w:val="clear" w:color="auto" w:fill="FFFFFF"/>
            <w:lang w:val="en-US" w:eastAsia="en-US" w:bidi="ar-SA"/>
          </w:rPr>
          <w:t>[1952] 1 D.L.R. 82</w:t>
        </w:r>
      </w:hyperlink>
      <w:r>
        <w:rPr>
          <w:rFonts w:ascii="arial" w:eastAsia="arial" w:hAnsi="arial" w:cs="arial"/>
          <w:color w:val="000000"/>
          <w:sz w:val="20"/>
          <w:lang w:val="en-US" w:eastAsia="en-US" w:bidi="ar-SA"/>
        </w:rPr>
        <w:t>] there is nothing said in the judgments delivered in this Court to throw any doubt on the accuracy of the statement quoted.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applying this principle it is necessary to bear in mind the statement of Lord Atkinson in </w:t>
      </w:r>
      <w:r>
        <w:rPr>
          <w:rFonts w:ascii="arial" w:eastAsia="arial" w:hAnsi="arial" w:cs="arial"/>
          <w:i/>
          <w:color w:val="000000"/>
          <w:sz w:val="20"/>
          <w:lang w:val="en-US" w:eastAsia="en-US" w:bidi="ar-SA"/>
        </w:rPr>
        <w:t>Toronto R. W. Co. v. King</w:t>
      </w:r>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7 C.R.C. 408</w:t>
        </w:r>
      </w:hyperlink>
      <w:r>
        <w:rPr>
          <w:rFonts w:ascii="arial" w:eastAsia="arial" w:hAnsi="arial" w:cs="arial"/>
          <w:color w:val="000000"/>
          <w:sz w:val="20"/>
          <w:lang w:val="en-US" w:eastAsia="en-US" w:bidi="ar-SA"/>
        </w:rPr>
        <w:t xml:space="preserve"> at p. 417, </w:t>
      </w:r>
      <w:hyperlink r:id="rId467" w:history="1">
        <w:r>
          <w:rPr>
            <w:rFonts w:ascii="arial" w:eastAsia="arial" w:hAnsi="arial" w:cs="arial"/>
            <w:i/>
            <w:color w:val="0077CC"/>
            <w:sz w:val="20"/>
            <w:u w:val="single"/>
            <w:shd w:val="clear" w:color="auto" w:fill="FFFFFF"/>
            <w:lang w:val="en-US" w:eastAsia="en-US" w:bidi="ar-SA"/>
          </w:rPr>
          <w:t>[1908] A.C. 260</w:t>
        </w:r>
      </w:hyperlink>
      <w:r>
        <w:rPr>
          <w:rFonts w:ascii="arial" w:eastAsia="arial" w:hAnsi="arial" w:cs="arial"/>
          <w:color w:val="000000"/>
          <w:sz w:val="20"/>
          <w:lang w:val="en-US" w:eastAsia="en-US" w:bidi="ar-SA"/>
        </w:rPr>
        <w:t xml:space="preserve"> at p. 269: "Traffic in the streets would be impossible if the driver of each vehicle did not proceed more or less upon the assumption that the drivers of all the other vehicles will do what it is their duty to do, namely, observe the rules regulating the traffic of the streets."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decision of every motor vehicle collision case must depend on its particular facts, I am of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This basic position was also described in </w:t>
      </w:r>
      <w:r>
        <w:rPr>
          <w:rFonts w:ascii="arial" w:eastAsia="arial" w:hAnsi="arial" w:cs="arial"/>
          <w:i/>
          <w:color w:val="000000"/>
          <w:sz w:val="20"/>
          <w:lang w:val="en-US" w:eastAsia="en-US" w:bidi="ar-SA"/>
        </w:rPr>
        <w:t>Pacheco (Guardian ad litem) v. Robinson</w:t>
      </w:r>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(1993), 75 B.C.L.R. (2d) 273</w:t>
        </w:r>
      </w:hyperlink>
      <w:r>
        <w:rPr>
          <w:rFonts w:ascii="arial" w:eastAsia="arial" w:hAnsi="arial" w:cs="arial"/>
          <w:color w:val="000000"/>
          <w:sz w:val="20"/>
          <w:lang w:val="en-US" w:eastAsia="en-US" w:bidi="ar-SA"/>
        </w:rPr>
        <w:t xml:space="preserve"> (C.A.) at paras. 18 and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In my opinion, when a driver in a servient position disregards his statutory duty to yield the right of way and a collision results, then to fix any blame on the dominant driver, the servient driver must establish that after the dominant driver became aware, or by the exercise of reasonable care should have become aware, of the servient driver's own disregard of the law, the dominant driver had a sufficient opportunity to avoid the accident of which a reasonably careful and skilful driver would have availed himself. In such circumstance any doubt should be resolved in favour of the dominant driver.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To quote Cartwright, J. in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at p. 461: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 [W]hen the time arrived at which he [the plaintiff] could reasonably have been expected to realize that [the defendant] was not yielding the right of way, it would have been too late for him to do anything effective to prevent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 further statement of the principle is found in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A driver like the defendant, who is in a dominant position, will not typically be found to be liable for an accident. Drivers are generally entitled to assume that others will obey the rules of the road. Further, though defensive driving and courteous operation of motor vehicles are to be encouraged, they do not necessarily represent the standard of care for the purposes of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 driver will not be held to have breached the standard of care simply because he or she failed to take extraordinary steps to avoid an accident or to show exceptional proficiency in the operation of a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defendant relies on </w:t>
      </w:r>
      <w:r>
        <w:rPr>
          <w:rFonts w:ascii="arial" w:eastAsia="arial" w:hAnsi="arial" w:cs="arial"/>
          <w:i/>
          <w:color w:val="000000"/>
          <w:sz w:val="20"/>
          <w:lang w:val="en-US" w:eastAsia="en-US" w:bidi="ar-SA"/>
        </w:rPr>
        <w:t>MacCrimmon v. Cherniwchan</w:t>
      </w:r>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shd w:val="clear" w:color="auto" w:fill="FFFFFF"/>
            <w:lang w:val="en-US" w:eastAsia="en-US" w:bidi="ar-SA"/>
          </w:rPr>
          <w:t>2005 ABQB 195</w:t>
        </w:r>
      </w:hyperlink>
      <w:r>
        <w:rPr>
          <w:rFonts w:ascii="arial" w:eastAsia="arial" w:hAnsi="arial" w:cs="arial"/>
          <w:color w:val="000000"/>
          <w:sz w:val="20"/>
          <w:lang w:val="en-US" w:eastAsia="en-US" w:bidi="ar-SA"/>
        </w:rPr>
        <w:t>: the plaintiff had an advance green and, turning left, was struck by the defendant coming through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trial judge, Clackson J. found the defendant 35% at fault as he was timing the lights and not reducing his speed, and would have seen the plaintiff's vehicle if he was focussing on the traffic rather than just the lights. The judge said:</w:t>
      </w:r>
      <w:r>
        <w:rPr>
          <w:rFonts w:ascii="arial" w:eastAsia="arial" w:hAnsi="arial" w:cs="arial"/>
          <w:sz w:val="20"/>
          <w:lang w:val="en-US" w:eastAsia="en-US" w:bidi="ar-SA"/>
        </w:rPr>
        <w:cr/>
      </w:r>
    </w:p>
    <w:p>
      <w:pPr>
        <w:numPr>
          <w:numId w:val="1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prudent driver would have slowed for the red light to a speed far less than Mr. Cherniwchan's given that the light governing his travel did not turn green until he was approximately one car length from the intersection.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I accept the Plaintiff's characterization of the circumstances and the Defendant's actions. As such I am satisfied that the Defendant ought to have known that his path was encumbered by the Plaintiff's vehicle and had he exercised reasonable care and skill he would have been in a position to avoid or at least significantly reduce the force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MacCrimmon</w:t>
      </w:r>
      <w:r>
        <w:rPr>
          <w:rFonts w:ascii="arial" w:eastAsia="arial" w:hAnsi="arial" w:cs="arial"/>
          <w:color w:val="000000"/>
          <w:sz w:val="20"/>
          <w:lang w:val="en-US" w:eastAsia="en-US" w:bidi="ar-SA"/>
        </w:rPr>
        <w:t>, the judge found that the defendant ought to have known his path was encumbered by the plaintiff's vehicle, and had he been focussing on the road, rather than timing the light, it would have allowed the defendant, with reasonable care and skill, to have avoided, or at least significantly reduce,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But here, I am not persuaded that the defendant has established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While there was an element of timing the light, the plaintiff testified he had his foot covering the brake as he approached the intersection. While he perhaps ought to have driven more defensively or prudently, I am not satisfied that it has been shown that the plaintiff had a sufficient opportunity to avoid the collision, or that with reasonable care the collision could have been avoided or the impact reduced. It was not shown by the defendant on the evidence that the plaintiff was exceeding what was the permissible speed limit. There was no evidence of the posted speed limit at the location of the accident. The evidence was unclear as to whether the plaintiff saw or ought to have seen the defendant much before the intersection, as the evidence of the sightlines of the plaintiff was unclear.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plaintiff entered on a green light; the defendant on a red light; any doubt on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be resolved in favour of the dominant driver. Although I do not agree with the plaintiff's counsel that the defendant must call expert evidence that the collision could have been avoided or the impact reduced if the plaintiff had acted differently, on the evidence before me, I find that it is speculative whether different conduct on the part of the plaintiff would have reduced or avoided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Therefore, I am not satisfied on the evidence that the defendant has demonstrated that the plaintiff, using reasonable care once he became aware of the defendant's disregard of his statutory duty to yield the right of way, would have reduced or avoided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alleges that, as a result of the accident, he has suffered headaches, neck pain, and, most significantly, debilitating and persisting lower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says that before the accident he had no headaches or neck pain, and only experienced some temporary mid-back pain from a football injury. The significant and persisting injury from the accident, according to the plaintiff, is to his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testified that on impact, there was a noticeable bump or a jolt, and although he had his seatbelt on, he felt his body move slightly. He testified that he did not hit anything in the vehicle during the collision. He testified that he thought he was in "a little bit of shock", and started to feel pain in his lower back when he was at his common-law wife's home where he went after the accident. He said he had a nap and when he woke up, he could not move. He slept until around 11:00 a.m. or noon, and then went to see his family doctor, who had been treating him since 2005. When he saw his doctor, he complained of a stiff neck and a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said his family doctor recommended some medication. He said the pain was very high the rest of the week, primarily in his lower back. He said that sitting was impossible because of the intense pain; talking and typing notes at work was not possible because he could not concentrate. He went on short-term disability leave for about eight weeks from his work at Top Pro, a real estate software support company where his work required him to sit, answer the phone and use a computer.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also had physiotherapy, where he was treated by ultrasound and a muscle stimulator. He testified that although the physiotherapy helped during the treatment, by the time he was home, he was once again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He described his pain as it was in the latter half of 2008 as being constant in his right leg, which he could not lift, that he had difficulty sitting, standing or walking, and he described having a hard time brushing his teeth and washing his face. The plaintiff described pain when tilting his head, and that his headaches were like dull aches, pulsing and making concentration difficult. Although he had gone to the gym regularly before the accident, he did not after. He said he found going too painful. On one occasion he was unable to attend an engagement party because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His son from his common-law relationship was born in 2008. The plaintiff said that he found caring for his child difficult, because all he was able to do was to feed his son while the child sat on his lap.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With respect to household chores, the plaintiff said that after the accident he could not cook, and although he attempted to clean the dishes, he only could for a minute or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2008, the plaintiff was treated by Dr. Mackenzie, a chiropractor. He received a series of treatments called spinal decompression where the patient is supported by a machine, specific discs are targeted, and pressure is relieved. Up until May 2009, the plaintiff had 33 such treatments at a total cost of $8,740.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When it was suggested to the plaintiff on cross-examination that he told Dr. Herschler, the expert called by his counsel, that there was a 50% improvement after the spinal decompression, the plaintiff responded there was no improvement after the spinal decompression.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2009, the plaintiff attended an organization called Back in Motion at the suggestion of ICBC. A number of treatment options were recommended for him, however the plaintiff found that the treatment did not improve his symptoms very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attempted a gradual return to work in the middle of 2009 for two or three hours per day. He eventually progressed up to five hours, although during this attempt at a gradual return, he did miss a few days of work. The plaintiff testified that he did not have any success getting back to full-time work because the pain in his lower back interfered with his ability to sit. He said he could not stand or make notes and there were times when just attending work put his back into spasm.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testified that in 2009 his headaches decreased in terms of intensity but his back pain flared up when he was in certain positions. His low back pain remained the same, he said. Although his son was growing, their interaction, he said, remained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2009, the plaintiff travelled to the Philippines for a four week trip. He said that he was able to handle the 17-hour flight because he wore a back brace and could sleep with a double dose of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the first week of 2010, the plaintiff was terminated by his employer, Top Producer, because of his number of absences. He said that he then tried to get freelancing work as a real estate photographer, a job taking photographs of properties listed for sale. This became what he called his "Plan B" when his job at Top Producer did not work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said he did a little photography work in 2010, although that amounted to fewer than 50 photo shoots. He described his headaches as being fairly mild, but still bothersome in 2010, and by the end of that year he had them most days but they were not as intense. The neck pain he described was primarily from tilting his head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testified that his lower back pain remained his most significant complaint, and that it was not improving. He did not return to the gym. He said that he did the exercises recommended at Back in Motion two or three times per week but he found the exercises painful and not really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testified that by 2011 the headaches were pretty much the same; his neck was slightly better, with pain occurring once in a while instead of daily; and, his lower back pain remained pretty much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testified that in 2012 he suffered from headaches three or four times per week. He said his neck pain was greater in the morning, as it flared up when the temperature was colder. He said his lower back pain was always an issue, causing him constant pain, and gaining in intensity during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July 2011, the plaintiff saw a naturopath and obtained a prescription for medical marijuana to relieve his pain. The plaintiff said that the medical marijuana assisted him to sleep. He said he stopped having "panic attacks", and that he no longer experienced chest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described that he takes the medical marijuana through cookies, and, in the evening, by a vaporizing unit. He testified that at nighttime it is enough to give him a "high" so he sleeps. He said that as a result of taking medical marijuana that when walking around he "can look pretty normal". He said he had only tried marijuana once or twice before the accident. He considered trying it because over-the-counter medication had not worked and that he had acid reflux and pain from the medication that was prescribed.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cross-examination, the plaintiff was asked about his posting on the internet under the name Nismo200sx in light of his comment that he had only taken marijuana once or twice before. Although those postings suggested an interest in marijuana beyond simply as a treatment for his back pain, the plaintiff denied any recreational interest in marijuana.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When giving his evidence at trial and while he was in the gallery while others testified, the plaintiff appeared to be in extreme discomfort, having great difficulty sitting and regularly adjusting his sitting position. The defendant introduced video surveillance evidence showing the plaintiff in May, June and July 2012. There were dramatic differences between the way the plaintiff moved and sat on the video surveillance as compared with how he did in court, an observation that is not disputed.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Datoc explained his apparent physical discomfort in court to be because he was not on medical marijuana while he was in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was asked about the surveillance videos shown at trial, which videos showed him driving a car and doing his photography work in May, June and July 2012. He agreed he looked relatively normal in the videos, but said it was because he was using medical marijuana. He said when he returns home in the evenings, he uses a mechanical massage machine and a backrest to assist his back. The plaintiff said that if he did not take medical marijuana, he would "look like a disabled person" and said he would be subject to attack, which I took him to mean that he thought he would appear vulnerable if he went to work in that state. He testified that he would stop using medical marijuana if his injury healed.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testified that the accident has affected his activities. For example, he said he is now very limited in what he can do around the house; he cannot carry his son or help out his wife, who has to clean, cook and do almost all the housework.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Up to June 2012, the plaintiff saw Dr. Irene Chan, a general practitioner, 128 times for his injuries. From July 8, 2008 to June 2012, the complaints he made to her were virtually the same on each occasion. Dr. Chen was not called as an expert witness but testified simply with respect to some of the observations she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was unclear as to why, after the accident, he did not go to work that day. He said that it was because of the damage to his vehicle and also, as he put it, "who knows if I would begin to feel pain" and he was "not that far from the accident to when [he] got to [his] wife's place". He agreed that the damage to his vehicle was not structural but said that the fog light on the bumper was damaged.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find that the plaintiff told Dr. Herschler after the spinal decompression treatment he felt his back was about 50% better, a statement the plaintiff now disputes he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He agreed that he saw Dr. Condon, a general practitioner with a referral practice in musculoskeletal pain management, on April 28, 2009. According to Dr. Condon's records, the plaintiff reported to him at that time that he was sleeping better and no longer suffering headaches. The plaintiff, however, disagreed with reported comments to Dr. Condon that he was no longer reporting headaches. He said he tried to return to work but with his back problem it was too difficult. He said that Dr. Condon had recommended core strengthening exercises but that he did not do them because of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two occasions the plaintiff was examined by Dr. Froh, an orthopaedic surgeon retained by the defendant. He was also examined by Dr. Herschler, a rehabilitative medicine specialist retained by his counsel. Both expert witnesses were called to testify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 agreed that he had reported his symptoms to Dr. Froh truthfully and to the best of his ability. He was asked on cross-examination about his abilities to take photographs and said that he could squat low, could bend his back and knees to take photographs temporarily. He said he could bend at the waist and lean back for a short period of time and could extend the tripod over his head and take photographs. He agreed that he could do these tasks for a short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He told Dr. Froh he was not feeling too many headaches at the time he saw him but still had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plaintiff's 36-year-old common-law wife, Alma Soriano, testified. She testified that they live with their 4-year old son in a basement apartment in Surrey. He stayed at his parents, she said, when he had to go to work in the morning, which was the case at the time of the accident. She said that he did not have neck or lower back problems before the accident but she massaged his back for some upper back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Soriano said that the plaintiff now has lower back and neck and headache problems and that his back goes into spasm once a month. She says that he cannot carry their son and that he copes with the pain by the use of medical marijuana.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She knew of his earlier football injury. She said that he can now lift her son for a short time. She said that she felt he was totally motivated to work at Top Producer because of his obligation to support them. She testified that in his present work he has to grab bags and his camera and she finds that he is really in pain. She said that she has to do all of the work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Herschler and Dr. Froh both provided expert medical legal reports and testified at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Herschler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Herschler, a rehabilitation specialist or a specialist in physical medicine and rehabilitation, saw the plaintiff once, on September 15, 2011. He said that the plaintiff's injury would be classified as a soft tissue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Herschler provided a medical-legal report dated September 15, 2011. In the "Diagnosis" section of his report,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Roderick Datoc presents with a three year and two month history of persistent pain in the central location of the low back. The pain occasionally refers into the thighs, but is not associated with numbness, tingling or weakness. The pain is made worse with bending, lifting, prolonged sitting and standing. These symptoms date from a motor vehicle accident on July 28, 2008. He also has a pre-existing injury to the mid back that continues to flare-up intermittently, as it did prior to the accident. Post-accident, however, he has noticed increased mechanical pain when extending the head backward.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is a significant loss of range of the low back in all directions, as well as tenderness with pressure on the spinal ligaments in the lumbar spine and sacrum. There is evidence of deconditioning and weakness in the lower 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history, physical examination, review of documentation and a description of the accident, it is my opinion that the mechanical injury to the low back was caused by the motor vehicle accident of July 28, 2008. Mr. Datoc had no symptoms in this region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With respect to his prognosis, Dr. Herschler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own practice, 80% of patients with these types of injury will heal within three years, while another 10% will take five years, and 10% will have permanent symptoms. Given this model, Mr. Datoc has a 50-50 chance that his symptoms will either improve over the next two years or will persist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Herschler agreed that there was no evidence of muscle spasm but said that on his examination "deep palpation of the lumbar paraspinals revealed hypertonicity and guarding". He commented that the plaintiff did not embellish or minimize his pain and found that there was no wincing while he was just sitting there, but there was on palpation of the lumbar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Datoc made no reference to Dr. Herschler of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Three years after the accident, Dr. Herschler found greater restriction on flexing and extension than Dr. Condon apparently had found a year after the accident, something that Dr. Herschler said was not typical.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Froh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Froh, an orthopaedic surgeon, saw the plaintiff on two occasions at the request of ICBC, in 2009 and in 2012. When he drafted his second report, he had reviewed the written opinion of Dr. Herschler.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Froh commented that there were significant non-organic findings (he described these as physical findings on examination that do not correlate to pathology) which while he agreed did not establish a lack of credibility or faking but was something he said were useful when evaluating a patient because a doctor should look for a correlation of symptoms and physical findings. These are referred to as Wadell Signs, but do not mean malingering, he agreed, but only that there could be another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his opinion, nothing prevents the plaintiff from returning to work in a sedentary occupation and he recommended core strengthening as well as weight loss. Dr. Froh explained that the plaintiff complained of neck pain with extension but this, he thought, was not congruent with the Spurling's test in that he passively extended the neck, rotated it and applied compression, but the plaintiff was pain free during these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Froh's diagnosis was also of a soft tissue injury - a grade one soft tissue injury to the cervical spine, which he described as an injury to the cervical spine that results in pain without any neurological findings and without any restriction in cervical range of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Froh noted different behaviour by Mr. Datoc when he was being observed as opposed to when he was distracted. In his July 2012 report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the examination he had a loping gait but there was no antalgic component. Walking into the examining room from the waiting area he had a slight limp. When observed walking down the hallway before coming to my office, he had a normal gait without a limp and walking off to the elevator while leaving, he had a normal gait without limp and walked with a normal 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When Dr. Froh saw the plaintiff on the second occasion, the plaintiff's lumbar spine range of motion had improved and he did not have the wincing from pressure to the lower lumbar spine when being 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Froh disagreed with the plaintiff's use of medical marijuana, because the plaintiff started that treatment without being assessed or followed by a chronic pain management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Froh opined that Mr. Datoc was not disabled from work and that while some activities might cause discomfort he opined that there is no problem that they would be made worse by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Froh's conclusion in his July 2012 report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patient's diagnoses includes: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Very mild mechanical neck pain only with extension. This does not correlate well with the fact that Spurling's test uses extension, rotation, and compression and this was pain-free at the neck. This patient shows no evidence of structural damage to the cervical spine. There is no evidence of disc herniation or nerve root irritation. He does have pre-existing C4-5 degenerative changes. I previously had a diagnosis of a Grade I whiplash, which had resolved by the time I saw him in April 2009. His neck is essentially normal with a complaint of pain upon extension. While Dr. Chan's clinical records would indicate the patient may have had a WAD II-type whiplash, in fact, her clinical records are of no use in evaluating this patient and when I saw the patient in April 2009, he stated that he did not have a significant decrease in neck range of motion post-motor vehicle accident.</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Mechanical lower back pain referable to the posterior facet joints and SI joints. There is no evidence here of any disc herniation, nerve root impingement, or structural damage to the lumbar spine. There was mild tenderness over the posterior facet joints and SI joints but only the right SI joint correlated with provocative tests. This patient does have pre-existing degenerative changes at the L3-4 and the L4-5 levels.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Significant non-organic findings indicating that at least a portion of the patient's symptoms are not due to organic pathology.</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Significant potential for secondary gain. This includes both monetary gain and the possible loss of his medical marijuana license.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None of the findings in the reviewed records as well as the patient's history and physical findings on the May 18, 2012 examination changed my original opinion. When I saw this patient in September 2009, I did not think that he was disabled from doing sedentary work. Despite this, he did not get back to full-time work until November 2009. I can think of no medical reason why the patient would be off for this length of time. 6 to 12 weeks is adequate time off work after soft tissue injuries such as these, especially with an accommodating employer. Even if you factor in to the equation that the patient had some pre-existing degenerative changes at the cervical spine and lumbar spine, I would expect a return to work by six months, even for a moderately strenuous job. He should never have taken that long to get back to a sedentary job. There is no medical justification for his length of time off his job.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point in time the patient has some mild mechanical lower back pain. He had some mechanical lower back pain prior to the motor vehicle accident. While he might be having discomfort with certain activities, both vocational and recreational, he would not be doing himself any harm. I do not think that he is restricted from doing any kind of activity although if he did heavy lifting, heavy yard work, or running, that he might have increased back pain. Despite this, he would not be doing himself any harm.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patient does not require any ongoing treatment. I think any further passive treatment would be a waste of time. This patient does have an exercise program that he could do for his lower back including core strengthening, which he refuses to do. I certainly would not agree with any of Dr. Herschler's suggestion with regards to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patient will not develop osteoarthritis at the neck or back as a result of this motor vehicle accident. The pre-existing degenerative changes at the cervical spine and lumbar spine will not progress any faster as a result of the motor vehicle accident from July 2008. This patient will not require surgical intervention now or in the future as a result of his motor vehicle accident from July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Froh on cross-examination acknowledged that he discounted what the plaintiff told him about his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my question to you is this. In your conclusion that he has mild mechanical lower back pain, is that strictly based on your physical examination and basically discounting what he had told you, what Dr. Chan's records are indicating, and the pain scale?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if you did not discount what he told you and if you accepted his pain scale as being a six to ten, would you conclude that his back pain is probably more in the moderate to severe area?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least moderate,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Parties' Positions on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 submits that an appropriate award should be non-pecuniary damages of $75,000, past wage loss of $80,000 (after deduction for income tax) and loss of earning capacity of $275,000. The plaintiff also seeks special damages of $9,049.84, the largest being spinal decompression at a cost of $8,740, and future care costs of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defendant's position is that non-pecuniary damages should be awarded at somewhere between $25,000-$35,000, past loss of income of $7,650, special damages as claimed, and there should be no amounts awarded for future care costs or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Finally, the defendant says that there should be a reduction in the plaintiff's award for failure to mitigate his damages by failing to undertake a rehabilitation program of core strengthening and stretching recommended by a rehabilitation consultant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nature and extent of the plaintiff's injuries and the extent to which the plaintiff currently suffers from his injuries depends on the subjective reporting of the plaintiff. The credibility and reliability of the plaintiff's evidence are therefore important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conclude that both Dr. Froh and Dr. Herschler. as well as the plaintiff's treating doctors, in assessing the extent of the plaintiff's injury, relied on the subjective reporting of the plaintiff, because there were no (or very minimal) observable physical consequences of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First, let me briefly review the parties' submissions on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plaintiff's counsel says that the plaintiff was credible. His counsel says that the plaintiff was not evasive or argumentative, provided evidence of his medical condition consistent with documentary evidence, and explained why he looked normal in the video surveillance compared to his appearance in court. The plaintiff's counsel says that the plaintiff's evidence was generally consistent with documentary evidence and any inconsistencies were explained.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defendant's counsel, on the other hand, points to these factors which he says I should take into consideration in assessing both credibility and damages: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was extremely minor in nature in terms of the severity of the impact;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significant distraction-based findings by Dr. Froh;</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inconsistent in his presentation of symptoms to the extent of whether his symptoms had improved and the duration of neck and headache symptoms, all of which should affect the weight given to the plaintiff's subjective complaints;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prior injuries that may never completely resolve which are likely to be responsible for the plaintiff's current complaints;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objective evidence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My conclusion is that the plaintiff suffered a soft tissue injury in the motor vehicle accident. However, I find that his symptoms were far less severe than the plaintiff asserts, and will have resolved by now. I do not accept the plaintiff's evidence that his injuries persisted to the degree that he said that they did, or that they continue to have any impact on his ability to earn income. I have concluded that the plaintiff, although he probably suffered injuries in the accident, was simply not hurt to the degree to which he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My reasons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accident was very minor. The plaintiff testified to feeling a slight jolt upon impact. While recognizing that significant injuries can occur from mild collisions, the court nevertheless should proceed with caution when the plaintiff's complaints of persisting soft tissue injuries continue beyond the normal recovery period: see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That is the situation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was shown video surveillance evidence of the plaintiff taken over a number of days in the months shortly before the trial. These videos showed the plaintiff getting in and out of his car, driving his car and taking photographs as a real estate photographer. This included squatting, and holding a tripod above his head to take pictures. He moved fluidly, in and out of the driver's seat, apparently without discomfort. He and his counsel acknowledge a dramatic difference between his presentation on the video and his presentation in court. The plaintiff explains the difference by saying that he is capable of doing what he does on the surveillance video only because of medical marijuana he takes in the morning and at the end of the day. However, the plaintiff introduced no medical expert report to support this contention, only his evidence that this was the effect on him of his taking medical marijuana. I did not find persuasive his evidence that marijuana would have the dramatic and persisting effect that he asserts. The video surveillance showed him during different times of the day, not simply in the morning (shortly after he would have ingested a marijuana cookie), but into the afternoon as well, and his condition appeared to be no different no matter what the time of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Generally, surveillance evidence can be relatively unhelpful to assess the condition of plaintiffs as to whether they are performing activities without pain, or whether their ability to perform activities is because of use of pain medication, or stoicism, or other factors. However, the difference in this case between the manner in which the plaintiff presented himself in court and how he was shown on the surveillance video was dramatic. I did not find the plaintiff's explanation persuasive that the dramatic difference was from his taking marijuana while working, and not taking it while in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plaintiff led no expert evidence on the pain controlling effect of medical marijuana. The evidence about it and how the plaintiff got on this treatment regime is sparse. Apparently, the plaintiff did not seek advice from any treating doctor who has filed a report before embarking on this treatment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have concluded, based on a consideration of all of the evidence, that the plaintiff is significantly exaggerating the extent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It is difficult to know what to make of the fact that the plaintiff attended his general practitioner for 128 visits and appears to have repeated his symptoms almost without change on each visit. He explained in his testimony that he went to his doctor to report changes in his condition; however his doctor noted each of his attendances with the plaintiff reporting no changes. The evidence left me with the impression that the plaintiff was creating a record of his injuries for his claim as there appears to be no reasonable medical justification for the number of attendances before his family doctor. Rather than supporting his credibility, this evidence of the numerous attendances on his family doctor left me with the opposite impression.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My assessment of the plaintiff's credibility is also negatively affected by my finding that there were inconsistencies in the plaintiff's reporting of his symptoms to doctors. While it is not unexpected that there would be some inconsistency in a patient's reporting to his or her doctor, this aspect of his evidence did not enhance the plaintiff's credibility. For example, Dr. Condon's records indicate the plaintiff told him in 2009 he no longer had headaches, but in the plaintiff's testimony at trial he said that in 2009 he had headaches almost every day continuing into 2012, three to four times a week. The plaintiff's counsel suggests that inconsistency in reports should not carry much weight because, compared to the back problem, the other injuries were much less significant and some inconsistency in reporting ought not to be unexpected. Nevertheless, they were inconsistencies that I find affect my assessment of his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observation that the plaintiff walked with a limp while being examined by Dr. Froh but not when he did not think he was being examined or displaying his condition to Dr. Froh supports my conclusion that he was exaggerating when he reported his symptoms to the Court and to the doctors he saw.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plaintiff's conduct immediately after the accident suggests an inclination to overstate and exaggerate his injuries. It was unclear to me why the plaintiff went home rather than going to work when it was not clear (other than his suggestion of shock) that he was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have serious reservations about the plaintiff's credibility; however, I found the plaintiff's wife credible and her observations provide some support for the pain he says he has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plaintiff said that prior to his prescription for medical marijuana, he tried marijuana once or twice, but he did not care for it. However, there is evidence to suggest the plaintiff's interest in marijuana is more than purely for medical treatment purposes. His internet postings suggest that. Given my concerns about the reliability of the plaintiff's evidence, and in the absence of expert evidence, I am not persuaded that medical marijuana is required by the plaintiff to treat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find that the plaintiff suffered a mild soft tissue injury to his back, and for a time had neck and lower back pain as well as headaches. I find that the injuries would have resolved within one year. I assess non-pecuniary damages at $35,000. I do not think the plaintiff has suffered persisting injuries of any significance. They certainly are not proven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terms of wage loss, I think there was a period of time when the plaintiff missed work before he fully recovered. The plaintiff argues that but for the accident he would have continued to work at Top Producer and would have earned $36,000 per year, less the income he actually earned up to the time of trial. The plaintiff suggests that up to trial this amounts to $98,510 or a wage loss net of tax of $80,000.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disagree. I find that the plaintiff has shown that he lost income up to trial for a period of six months. The evidence does not show an inability to work at Top Producer past that time. I find that the gross past loss of income to be $18,000 or $3,000 per month. There should be, I think, a 20% income tax deduction to arrive at the appropriate net award. As I did not hear submissions on whether that is the appropriate deduction to reach a net income loss award, the parties may make further submissions on this point, if they are unable to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terms of loss of future earning capacity, the plaintiff's counsel says that an award based on an assumed loss into the future of $5,000 to $15,000 per annum is appropriate, and that I should make an award of approximately $275,000. I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Garson J.A. reviewed the various approaches taken by the Court to assess this type of future loss. She said, at paras. 30-33: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Having reviewed all of these cases, I conclude that none of them are inconsistent with the basic principles articulated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These principles are:</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and</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loss of earnings but, rather, loss of earning capacity for which compensation must be made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at 251].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Furthermore, I conclude that there is no conflict between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[2007] B.C.J. No. 499</w:t>
        </w:r>
      </w:hyperlink>
      <w:r>
        <w:rPr>
          <w:rFonts w:ascii="arial" w:eastAsia="arial" w:hAnsi="arial" w:cs="arial"/>
          <w:color w:val="000000"/>
          <w:sz w:val="20"/>
          <w:lang w:val="en-US" w:eastAsia="en-US" w:bidi="ar-SA"/>
        </w:rPr>
        <w:t xml:space="preserve">, and the earlier judgment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[1995] B.C.J. No. 2</w:t>
        </w:r>
      </w:hyperlink>
      <w:r>
        <w:rPr>
          <w:rFonts w:ascii="arial" w:eastAsia="arial" w:hAnsi="arial" w:cs="arial"/>
          <w:color w:val="000000"/>
          <w:sz w:val="20"/>
          <w:lang w:val="en-US" w:eastAsia="en-US" w:bidi="ar-SA"/>
        </w:rPr>
        <w:t xml:space="preserve">. As mentioned earlier,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is not authority for the proposition that mere speculation of future loss of earning capacity is sufficient to justify an award for damages for loss of future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 plaintiff must always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[2008] B.C.J. No. 48</w:t>
        </w:r>
      </w:hyperlink>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[2010] B.C.J. No. 168</w:t>
        </w:r>
      </w:hyperlink>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[1990] B.C.J. No. 1158</w:t>
        </w:r>
      </w:hyperlink>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 A plaintiff may indeed be able to prove that there is a substantial possibility of a future loss of income despite having returned to his or her usual employment. 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color w:val="000000"/>
          <w:sz w:val="20"/>
          <w:lang w:val="en-US" w:eastAsia="en-US" w:bidi="ar-SA"/>
        </w:rPr>
        <w:t xml:space="preserve">.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an inability to perform an occupation that is not a realistic alternative occupation is not proof of a future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On the facts of this case, the trial judge found that there was no substantial possibility of a future event leading to an income loss. That should have been the end of the enquiry. That was a reasonable conclusion on the evidence because there was no evidence that she was limited in performing any realistic alternative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Similarly here, I do not find that there is the possibility of a future event leading to an income loss. The plaintiff has not proven any loss of earning capacity, as I am not persuaded that the plaintiff has continuing injuries or symptoms that in any way impair his earning capacity. As such, I award no damages under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special damages as claimed are accepted by the defendant and I will award those.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plaintiff seeks future care costs for medical marijuana of $200 per month or $2,400 a year for a suggested award of $20,000. The evidence does not support the claim that medical marijuana is reasonably necessary: see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As such, I award nothing for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defendant argued that the plaintiff has failed to mitigate his damages by failing to take steps that would have reduced or improved his alleged ongoing symptoms. Given that I have concluded that the plaintiff has recovered from his injuries and is not suffering the continuing injuries that he suggests, I do not find that the plaintiff has failed to mitigate his damages. I am not persuaded that his recovery would have been any faster than I have found it to be had he followed the rehabilitative program recommended by Back in Motion. I refuse to reduce this award for the alleged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parties may speak to 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J.S. SIGURDSON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5" style="position:absolute;z-index:2518302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73"/>
          <w:headerReference w:type="default" r:id="rId474"/>
          <w:footerReference w:type="even" r:id="rId475"/>
          <w:footerReference w:type="default" r:id="rId476"/>
          <w:headerReference w:type="first" r:id="rId477"/>
          <w:footerReference w:type="first" r:id="rId47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79" w:history="1">
        <w:r>
          <w:rPr>
            <w:rFonts w:ascii="arial" w:eastAsia="arial" w:hAnsi="arial" w:cs="arial"/>
            <w:b/>
            <w:bCs/>
            <w:i/>
            <w:color w:val="0077CC"/>
            <w:kern w:val="32"/>
            <w:sz w:val="28"/>
            <w:szCs w:val="32"/>
            <w:u w:val="single"/>
            <w:shd w:val="clear" w:color="auto" w:fill="FFFFFF"/>
            <w:lang w:val="en-US" w:eastAsia="en-US" w:bidi="ar-SA"/>
          </w:rPr>
          <w:t>Demenuk v. Dhadwal, [2013] B.C.J. No. 2539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P.G. Voith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22-26; written submissions, August 12, 26,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September 4,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S136101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2539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2111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Ronald John Demenuk, Plaintiff, and Harbhajan Singh Dhadwal and Harbans Kaur Dhadwal, Defendants, and Ronald John Demenuk and Robyn Demenuk also known as Robyn Soames, Defendants by way of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6"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5" w:name="Keywords_18"/>
      <w:bookmarkEnd w:id="125"/>
      <w:r>
        <w:rPr>
          <w:rFonts w:ascii="arial" w:eastAsia="arial" w:hAnsi="arial" w:cs="arial"/>
          <w:b/>
          <w:color w:val="000000"/>
          <w:sz w:val="20"/>
          <w:lang w:val="en-US" w:eastAsia="en-US" w:bidi="ar-SA"/>
        </w:rPr>
        <w:t>Damages — For torts — Affecting the person — Defamation — Method of publication — Miscellaneous — Counterclaim for defamation damages allowed in part — Following dispute over defendants pruning and severing roots of plaintiff's trees, plaintiff's wife erected signs on path, oriented towards laneway where people walked, that referenced tree dispute and called defendants ignorant, butchers and deceitful — Signs defamatory, showed malice and were not motivated by sense of duty, so defences of fair comment and qualified privilege not applicable — Plaintiff condoned display so both he and wife liable for $25,000 general damages plus $5,000 aggravated given racial component of signs and unrepentance — Additional punitive damages unwarranted.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Category of — Emotional and mental distress — Aggravated damages — Nature of character of wrongful act — Counterclaim for defamation damages allowed in part — Following dispute over defendants pruning and severing roots of plaintiff's trees, plaintiff's wife erected signs on path, oriented towards laneway where people walked, that referenced tree dispute and called defendants ignorant, butchers and deceitful — Signs defamatory, showed malice and were not motivated by sense of duty, so defences of fair comment and qualified privilege not applicable — Plaintiff condoned display so both he and wife liable for $25,000 general damages plus $5,000 aggravated given racial component of signs and unrepentance — Additional punitive damages unwarranted.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 Interests in land — Ownership — Duties of ownership — Duty to refrain from harmful use — Action for damages for loss of trees dismissed — Trees were on plaintiffs' property but branches and roots spilled to defendants' property — Defendants had all branches on their property pruned then severed roots on their property during excavation — Plaintiff gave defendants' contractor permission to enter property and saw him in tree pruning and did not object, so no trespass — Defendants had common law right to prune trees on their property and would have had to make significant efforts to avoid roots — That defendants gained better sun while plaintiffs lost privacy lacked economic component for unjust enrichment.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Action for damages for loss of trees dismissed — Trees were on plaintiffs' property but branches and roots spilled to defendants' property — Defendants had all branches on their property pruned then severed roots on their property during excavation — Plaintiff gave defendants' contractor permission to enter property and saw him in tree pruning and did not object, so no trespass — Defendants had common law right to prune trees on their property and would have had to make significant efforts to avoid roots — That defendants gained better sun while plaintiffs lost privacy lacked economic component for unjust enrichment.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Trespass — To land — Conduct constituting trespass — Action for damages for loss of trees dismissed — Trees were on plaintiffs' property but branches and roots spilled to defendants' property — Defendants had all branches on their property pruned then severed roots on their property during excavation — Plaintiff gave defendants' contractor permission to enter property and saw him in tree pruning and did not object, so no trespass — Defendants had common law right to prune trees on their property and would have had to make significant efforts to avoid roots — That defendants gained better sun while plaintiffs lost privacy lacked economic component for unjust enrichment.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Defamation — Defamatory statements — What constitutes defamatory words — Allegations of unchastity or immorality — Privilege — Qualified privilege — Malice — Evidence of malice — Language of defamatory statement — Refusal to apologize — Repetition of defamatory statement — Fair comment — Matters of public interest — Counterclaim for defamation damages allowed in part — Following dispute over defendants pruning and severing roots of plaintiff's trees, plaintiff's wife erected signs on path, oriented towards laneway where people walked, that referenced tree dispute and called defendants ignorant, butchers and deceitful — Signs defamatory, showed malice and were not motivated by sense of duty, so defences of fair comment and qualified privilege not applicable — Plaintiff condoned display so both he and wife liable for $25,000 general damages plus $5,000 aggravated given racial component of signs and unrepentance — Additional punitive damages unwarranted.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6" w:name="Case Summary_17"/>
            <w:bookmarkEnd w:id="12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the loss of three trees. Counterclaim for defamation damages. The plaintiff and defendants were neighbours and the plaintiff had three mature trees on his property line. The roots and branches of the trees spilled onto the defendants' property. The defendants were demolishing their house and constructing a new one and approached the plaintiff and his wife to discuss the construction plans and need to prune the trees. The plaintiff's wife admitted she gave the defendants' contractor permission to enter their property and saw him in the tree pruning and did not object. The trees were completely pruned on the defendants' side, almost to their Crowns. When the excavation work began, the roots on the defendants' property were severed. This caused instability to the trees, which was exacerbated by the pruning, and the City required the plaintiff to cut down the three trees due to risk of them toppling. The plaintiff claimed trespass,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by-law violation and unjust enrichment. As a result of the dispute, the plaintiff's wife set up a display of signs facing the laneway and had conversations about the tree dispute with people who walked by. The signs depicted animals dressed in clothing and had statements such as "down with the builder" "This isn't India" "Some people are alive only because it's against the law to kill them." The signs referred to the defendants as butchers, low-lifes, ignorant and deceitful. The RCMP investigated but decided not to lay charges. The plaintiff's wife took the signs down but then put some back up. The defendants claimed defamation against both the plaintiff and his wife.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7" w:name="Holdings of Court_17"/>
            <w:bookmarkEnd w:id="127"/>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Counterclaim allowed in part. The legal survey placed all three trees on the plaintiffs' property and the fact that roots caused a portion of the base to swell onto the defendants' property did not change that. Evidence on the city by-law was inconsistent and there did not appear to have been any municipal practice in place pertaining to the defendants' duties when pruning or cutting trees. The branches and roots cut were all on the defendants' property. The only time trespass could have occurred was when the contractor climbed the tree to prune. However, the plaintiff's wife, who lived in the house, gave the contractor permission to come on the property and did not object when she saw him pruning. There was no suggestion the plaintiffs did not know they could ask the contractor to leave. Common law allowed property owners to do as they wished on their property, including planting or pruning trees. The defendants would have had to make significant efforts to avoid the roots during construction. The plaintiffs' claim the defendants obtained a better view and sunlight while the plaintiffs lost trees and privacy was not a straightforward economic approach to properly form the basis for unjust enrichment. The plaintiff's claim failed. The signs erected by the plaintiff's wife referring to the defendants as ignorant, butchers and deceitful were large enough to be seen and were defamatory. The defences of qualified privilege and fair comment did not apply. The plaintiff's wife was not motivated by a sense of duty. Her evidence was not forthright and the display as a whole demonstrated malice. The dominant objective was mean-spirited and spiteful. The plaintiff owned the property where the display was posted and undoubtedly discussed it with his wife, so sanctioned its placement for three months. The plaintiff participated in the defamation and he and his wife were jointly and severally liable for damages. The defendants felt hurt and publicly shamed by the display. The defendants were awarded $25,000 general damages. The defendants were also awarded $5,000 aggravated damages for the racial component of the signs and their complete unrepentance. Additional punitive damages were not warranted as the damages awarded adequately addressed the issue of deterrence.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8" w:name="Legislation Cited_12"/>
      <w:bookmarkEnd w:id="12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7"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Criminal Code, </w:t>
      </w:r>
      <w:hyperlink r:id="rId480" w:history="1">
        <w:r>
          <w:rPr>
            <w:rFonts w:ascii="arial" w:eastAsia="arial" w:hAnsi="arial" w:cs="arial"/>
            <w:i/>
            <w:color w:val="0077CC"/>
            <w:sz w:val="20"/>
            <w:u w:val="single"/>
            <w:shd w:val="clear" w:color="auto" w:fill="FFFFFF"/>
            <w:lang w:val="en-US" w:eastAsia="en-US" w:bidi="ar-SA"/>
          </w:rPr>
          <w:t>R.S.C. 1985, c. C-46, s. 319</w:t>
        </w:r>
      </w:hyperlink>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Forestry Act, </w:t>
      </w:r>
      <w:hyperlink r:id="rId481" w:history="1">
        <w:r>
          <w:rPr>
            <w:rFonts w:ascii="arial" w:eastAsia="arial" w:hAnsi="arial" w:cs="arial"/>
            <w:i/>
            <w:color w:val="0077CC"/>
            <w:sz w:val="20"/>
            <w:u w:val="single"/>
            <w:shd w:val="clear" w:color="auto" w:fill="FFFFFF"/>
            <w:lang w:val="en-US" w:eastAsia="en-US" w:bidi="ar-SA"/>
          </w:rPr>
          <w:t>R.S.O. 1990, c. F.26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9" w:name="Counsel_18"/>
      <w:bookmarkEnd w:id="12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8" style="position:absolute;z-index:2517800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and Defendants by Counterclaim: Ian D. MacKinnon.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Alnoor R.S. Gangji.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0" w:name="Judgment_18"/>
      <w:bookmarkEnd w:id="130"/>
      <w:r>
        <w:pict>
          <v:line id="_x0000_s1119" style="position:absolute;z-index:2518312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1" w:name="P.G. VOITH J._0"/>
            <w:bookmarkEnd w:id="131"/>
            <w:r>
              <w:rPr>
                <w:rFonts w:ascii="arial" w:eastAsia="arial" w:hAnsi="arial" w:cs="arial"/>
                <w:b/>
                <w:color w:val="000000"/>
                <w:sz w:val="30"/>
                <w:lang w:val="en-US" w:eastAsia="en-US" w:bidi="ar-SA"/>
              </w:rPr>
              <w:t>P.G. VOITH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Mr. Demenuk, and the defendants, Mr. and Mrs. Dhadwal, are neighbours. This action arises out of two related sets of conduct by the parties. The defendants, while building a new home on their property, pruned and cut the roots of three large trees located on the boundary of the adjacent property belonging to the plaintiff. That conduct required that the trees be felled. The plaintiff seeks, under various causes of action, to recover for the loss of those trees. Thereafter, the defendant by counterclaim, Ms. Soames, who is the common law spouse of Mr. Demenuk, set up a display, consisting of various animal figures and signs on the plaintiff's property and within public view. The defendants say that that display, or various elements of it, were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HARM TO THE PLAINTIFF'S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Description of the Area and of the Trees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Demenuk purchased the lot and home located at 229 Blue Mountain Street in Coquitlam, British Columbia approximately 30 years ago. He has lived there with Ms. Soames for the past 26 years. The lot is 51' x 134' in size. Their home is 700 sq. ft. in size and it was built in the 1950's. It has a deck attached to it. The lot also has several sheds on it. The lane behind their property is used extensively by people to walk their dogs, to stroll along and to access several nearby stores.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homes on the plaintiff's side of the street are all single-family homes. Across the street there are some multi-family residences. There is some commercial development a few blocks away. The neighbourhood, like many in the Lower Mainland, is in transition. The plaintiff accepted that older homes in the neighbourhood are being demolished and being replaced by newer and larger homes, though that process has just started on Blue Mountain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Dhadwals put in an offer for the purchase of their property, located at 235 Blue Mountain Street, in late November 2010. The transaction completed on February 21, 2011. The property appears, from the photos I was provided, to have initially had a home of similar size and vintage to the home owned by Mr. Demenuk. The lot is of the same or similar size. The Dhadwal lot is to the north of the Demenuk property and, by virtue of a natural slope to the street, it is somewhat elevated.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three trees in question were all on the northern boundary of 229 Blue Mountain Street. Their trunks are all very close to the property line. Indeed there is a question, to which I will return, about whether one of the trees crossed the property line. Two of the trees were Douglas Firs. One was a Cedar. All three trees were between 40 and 50 years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largest tree, a Douglas Fir (Tree # 1) had a trunk diameter of 65 centimetres and was perhaps 25 metres high. The tree had previously been topped at about 20 metres in height and it had grown multiple tops from that point. There is some issue about the health of this tree prior to the events in question. The tree also had a radial canopy of about 6 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Cedar had a trunk diameter of approximately .5 metres, had previously been in good health, was approximately 18 metres high and had a radial canopy of about 4 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third tree, also a Douglas Fir had a trunk diameter of about 40 centimetres, was also in good health, was about 20 metres tall and had a radial canopy of about 5 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Thus the three trees were of significant height and girth and had branches that spilled, for some considerable distance, into both yards. The three trees were planted sufficiently closely together that their crowns merged and there was extensive "limbing" between the branches of the individual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Dealings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is significant disagreement between the parties about what was said by the defendants about both their intention to build a home on their property and their intention to limb the three trees. At trial the various witnesses gave detailed evidence on multiple distinct issues. I do not consider that I need to address all of these issues and I have, instead, focussed on those particular factual issues that are of some consequence.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One aspect of the evidence given by Mr. Demenuk and Ms. Soames was, however, somewhat confused. I have said that the plaintiff has sued for harm to his trees and the defendants have brought a counterclaim that is based on an alleged defamation. During the trial the plaintiff led evidence in his case that was relevant to his claims. The defendants responded and also addressed the evidence that was relevant to their defamation claim. The plaintiff and Ms. Soames each then gave further evidence in response to the counterclaim. The evidence of the plaintiff and of Ms. Soames was thus somewhat bifurcated.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the plaintiff's case each of Mr. Demenuk and Ms. Soames gave evidence of what they had been told by the defendants on various occasions about their plans to build a new home and, in particular, about discussions that related to the trees. Each expressly said these discussions were the only discussions that they had with the Dhadwals before the three trees were pruned.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subsequently became apparent that this was inaccurate. Each had had additional or further discussions with the defendants but they, or their counsel, considered that these additional discussions were more relevant to the defamation claim and that it was appropriate to defer providing this evidence until they led their evidence in defence of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a result of what appears to have been a misunderstanding, or some confusion, I have not attached any significance to the manifest inaccuracy of the evidence of Mr. Demenuk and Ms. Soames that "there were no other conversations with the defendants" beyond those that they first described in their examinations in chief.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Having said this, I do not accept either the thrust or some of the specifics of the evidence of Mr. Demenuk and of Ms. Soames that pertains to their early conversations with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Demenuk said that he had two discussions with Mr. Dhadwal before the home on the Dhadwal property was demolished. The first, a conversation where Mrs. Dhadwal was also present, was apparently limited to Mr. Dhadwal saying that he wanted to build a new and relatively small home that was easy to maintain. In the second conversation, which occurred during the last week of March, Mr. Demenuk said that Mr. Dhadwal told him that he might have to trim the three trees. Mr. Demenuk said he responded by saying that they would have to discuss the matter and was then told that there would be lots of time to do so because the home would not be demolished for months. The home on the Dhadwal property was, in fact, demolished five days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Soames, in her direct evidence, said that she had three conversations with Mr. Dhadwal. The first two were in the nature of "chit chats" about the Dhadwal family and their wish to build a new home. During the third conversation, in early March, Mr. Dhadwal apparently said that he would have to prune the trees. Ms. Soames said she told Mr. Dhadwal that she would have to discuss the matter with her husband. She also said that Mr. Dhadwal told her that the existing home on his property would not be touched for some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Thus, the thrust of the initial evidence of the plaintiff and of Ms. Soames was that the actual limbing of the trees came as something of a surprise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Soames also said that in early March an individual knocked on her door, asked for permission to come onto her property, said he wanted to decide how to trim the trees and told her that he'd be doing some trimming on the Dhadwal property side of the trees. She said she gave the person that permission, watched him for a while, while he was on her property, and that she then left her home and went out for a while. She said he did not ask for permission to limb the trees. She said that when she returned later in the day the contractors were in the process of leaving. She said that she did not see any of the pruning of the trees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do not accept much of this evidence. During her cross-examination Ms. Soames admitted that Mr. Dhadwal had in fact told her he had hired a contractor to prune the trees and that that would be happening soon. During her examination for discovery Ms. Soames had admitted that she saw the person who trimmed the trees "do his work". She accepted this statement as accurate in her evidence but said she saw him "start his work" and that she then left. Furthermore, during her examination for discovery Ms. Soames had acknowledged that she saw the person who trimmed the trees "climb the trees". She then accepted the accuracy of the answer and admitted that she had seen a worker(s) in the tree. She admitted that she never told that person or persons to stop what they were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Soames continued to assert that she returned home when the work was completed and as the contractors were leaving the site. Mr. and Mrs. Dhadwal, who were present for the latter portion of this work said that they saw Ms. Soames watching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Based on the foregoing I make the following findings:</w:t>
      </w:r>
      <w:r>
        <w:rPr>
          <w:rFonts w:ascii="arial" w:eastAsia="arial" w:hAnsi="arial" w:cs="arial"/>
          <w:sz w:val="20"/>
          <w:lang w:val="en-US" w:eastAsia="en-US" w:bidi="ar-SA"/>
        </w:rPr>
        <w:cr/>
      </w:r>
    </w:p>
    <w:p>
      <w:pPr>
        <w:numPr>
          <w:numId w:val="1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Soames knew shortly before the trees were pruned that the defendants had hired contractors to do that work and that the work would be performed imminently;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asked by the tree cutting contractor for permission to come onto her land and she gave that permission;</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then saw the contractor(s) climb at least one of the trees and start their work. She did not object to any portion of this activity.</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Soames may have left her home for a portion of the time that the tree cutting was being undertaken but I do not accept that she returned home just as the contractors were leaving. Instead, I accept the evidence of the defendants and I am satisfied that she was present for at least part of the time that the contractors continued to do their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Harm to the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three trees were completely pruned, almost to their crowns, on the Dhadwal side of the property. They looked, from the photos I reviewed, as though a child drew a Christmas tree with no branches, except near the crown, on one side of the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Thereafter, when the excavation for the Dhadwal home was undertaken, the roots of the three trees were cut or severed. The roots of the trees were cut in different locations but in each instance they were cut within what is known as the "critical root zone".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Based on the evidence of various witnesses, including the two expert arborists who were called, Messrs. Bell and Murray, it seems clear that pruning of the trees alone would not have killed them or required them to be removed. The subsequent cutting of the roots of the trees, however, rendered them unstable. That instability was exacerbated by the fact that they had been pruned earlier. Though the risk of the trees falling over was not immediate it was significant. The fact that the roots and foliage of the trees were significantly interwoven meant that removal of one tree necessitated removal of all three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resulting instability of the trees, and risks attendant to that instability, were such that the City of Coquitlam required Mr. Demenuk to cut down the trees. There was some issue about whether periodic topping of the trees, or some other measure proposed by the defendants' arborists, might save the trees. The plaintiff, after seeking expert advice, was not content with the adequacy of those proposed steps on an ongoing basis. I am satisfied that that conclusion was reasonable and that it became necessary for the three trees to be felled.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Was Tree #1 a "Shared Tree"?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report filed by the defendants' expert, Mr. Murray, concluded that Tree #1 crossed over the property line between the two properties. This conclusion caused Mr. Murray to conclude that Tree #1 was a "shared tree". This conclusion, in turn, affected Mr. Murray's calculation of the value of Tree # 1. By virtue of the conclusions I have come to I need not address the damages component of Mr. Murray's report or indeed of any of the reports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Shared trees are, however, generally considered at law to be held by the owners of adjoining properties as tenants in common. That status, in turn, can give rise to certain legal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legal survey of the defendants' property, which was commissioned by them for the purpose of dealing with the City and to secure their excavation and/or building permit, places each of the trees on the plaintiff's property. Mr. Murray, however, concluded that a portion of Tree #1's "base" traversed the property line by 9 cm.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Bell, conversely, concluded that though a portion of the "root collar" or the "buttress root flare" may have crossed over the property line the "trunk column" did not. Simply put, the roots on a tree will sometimes cause the base of the tree to swell slightly. It was this flare or swelling that traversed the property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Bell opined, after referring to different sources, that the proper means of fixing the location of a tree was by deciding where the trunk, at chest height, or about 1.4 m from the ground, was 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This conclusion is generally consistent with that reached in </w:t>
      </w:r>
      <w:r>
        <w:rPr>
          <w:rFonts w:ascii="arial" w:eastAsia="arial" w:hAnsi="arial" w:cs="arial"/>
          <w:i/>
          <w:color w:val="000000"/>
          <w:sz w:val="20"/>
          <w:lang w:val="en-US" w:eastAsia="en-US" w:bidi="ar-SA"/>
        </w:rPr>
        <w:t>Hartley v. Cunningham et al</w:t>
      </w:r>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2013 ONSC 2929</w:t>
        </w:r>
      </w:hyperlink>
      <w:r>
        <w:rPr>
          <w:rFonts w:ascii="arial" w:eastAsia="arial" w:hAnsi="arial" w:cs="arial"/>
          <w:color w:val="000000"/>
          <w:sz w:val="20"/>
          <w:lang w:val="en-US" w:eastAsia="en-US" w:bidi="ar-SA"/>
        </w:rPr>
        <w:t>. Though the case dealt with sections of the Ontario</w:t>
      </w:r>
      <w:r>
        <w:rPr>
          <w:rFonts w:ascii="arial" w:eastAsia="arial" w:hAnsi="arial" w:cs="arial"/>
          <w:i/>
          <w:color w:val="000000"/>
          <w:sz w:val="20"/>
          <w:lang w:val="en-US" w:eastAsia="en-US" w:bidi="ar-SA"/>
        </w:rPr>
        <w:t xml:space="preserve"> Forestry Act</w:t>
      </w:r>
      <w:r>
        <w:rPr>
          <w:rFonts w:ascii="arial" w:eastAsia="arial" w:hAnsi="arial" w:cs="arial"/>
          <w:color w:val="000000"/>
          <w:sz w:val="20"/>
          <w:lang w:val="en-US" w:eastAsia="en-US" w:bidi="ar-SA"/>
        </w:rPr>
        <w:t xml:space="preserve">, </w:t>
      </w:r>
      <w:hyperlink r:id="rId481" w:history="1">
        <w:r>
          <w:rPr>
            <w:rFonts w:ascii="arial" w:eastAsia="arial" w:hAnsi="arial" w:cs="arial"/>
            <w:i/>
            <w:color w:val="0077CC"/>
            <w:sz w:val="20"/>
            <w:u w:val="single"/>
            <w:shd w:val="clear" w:color="auto" w:fill="FFFFFF"/>
            <w:lang w:val="en-US" w:eastAsia="en-US" w:bidi="ar-SA"/>
          </w:rPr>
          <w:t>R.S.O. 1990, c. F.26</w:t>
        </w:r>
      </w:hyperlink>
      <w:r>
        <w:rPr>
          <w:rFonts w:ascii="arial" w:eastAsia="arial" w:hAnsi="arial" w:cs="arial"/>
          <w:color w:val="000000"/>
          <w:sz w:val="20"/>
          <w:lang w:val="en-US" w:eastAsia="en-US" w:bidi="ar-SA"/>
        </w:rPr>
        <w:t>, Justice Moore dealt with what properly constitutes a "boundary tree". He concluded that it was inappropriate to determine the location or ownership of a tree based on its physical status at ground level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Mr. Radecki, one of the respondents' experts, provided evidence in this matter. He explained that the applicant's position that tree trunk position should be measured at ground soil level is arbitrary and although some municipalities use that measurement location for their purposes and while he is aware of competing definitions of boundary trees, he rejects them as inconsistent with the conventional wisdom. He stated, and I accept his reasoning, that: a great deal of caution must be exercised when measuring trees at ground level. This is because establishing the base of the tree is often difficult and controversial. The base of the tree contains the root flare which may be broader than the trunk itself and the trunk of the tree at ground level is ambiguous and not necessarily a useful measure of where the tree trunk transfers into the root system (the true base of the tree). Focusing solely on the tree at ground level can lead to arbitrary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Furthermore, in </w:t>
      </w:r>
      <w:r>
        <w:rPr>
          <w:rFonts w:ascii="arial" w:eastAsia="arial" w:hAnsi="arial" w:cs="arial"/>
          <w:i/>
          <w:color w:val="000000"/>
          <w:sz w:val="20"/>
          <w:lang w:val="en-US" w:eastAsia="en-US" w:bidi="ar-SA"/>
        </w:rPr>
        <w:t>Koenig v. Goebel,</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[1998] 6 W.W.R. 56</w:t>
        </w:r>
      </w:hyperlink>
      <w:r>
        <w:rPr>
          <w:rFonts w:ascii="arial" w:eastAsia="arial" w:hAnsi="arial" w:cs="arial"/>
          <w:color w:val="000000"/>
          <w:sz w:val="20"/>
          <w:lang w:val="en-US" w:eastAsia="en-US" w:bidi="ar-SA"/>
        </w:rPr>
        <w:t>, 1998 CarswellSask 13 (Q.B.), the court engaged in a thorough discussion of the law that pertains to "border trees" and "straddle trees". The court described a "border tree" as a tree whose trunk is solely on one property at ground level but whose roots encroach into an adjoining property, or whose canopy of branches invades the airspace of an adjoining property (at para. 7). A "straddle tree" is a tree whose trunk straddles the common boundary between adjoining properties at ground level (</w:t>
      </w:r>
      <w:r>
        <w:rPr>
          <w:rFonts w:ascii="arial" w:eastAsia="arial" w:hAnsi="arial" w:cs="arial"/>
          <w:i/>
          <w:color w:val="000000"/>
          <w:sz w:val="20"/>
          <w:lang w:val="en-US" w:eastAsia="en-US" w:bidi="ar-SA"/>
        </w:rPr>
        <w:t>ibid</w:t>
      </w:r>
      <w:r>
        <w:rPr>
          <w:rFonts w:ascii="arial" w:eastAsia="arial" w:hAnsi="arial" w:cs="arial"/>
          <w:color w:val="000000"/>
          <w:sz w:val="20"/>
          <w:lang w:val="en-US" w:eastAsia="en-US" w:bidi="ar-SA"/>
        </w:rPr>
        <w:t xml:space="preserve">). Of significance is the fact that in </w:t>
      </w:r>
      <w:r>
        <w:rPr>
          <w:rFonts w:ascii="arial" w:eastAsia="arial" w:hAnsi="arial" w:cs="arial"/>
          <w:i/>
          <w:color w:val="000000"/>
          <w:sz w:val="20"/>
          <w:lang w:val="en-US" w:eastAsia="en-US" w:bidi="ar-SA"/>
        </w:rPr>
        <w:t>Koenig</w:t>
      </w:r>
      <w:r>
        <w:rPr>
          <w:rFonts w:ascii="arial" w:eastAsia="arial" w:hAnsi="arial" w:cs="arial"/>
          <w:color w:val="000000"/>
          <w:sz w:val="20"/>
          <w:lang w:val="en-US" w:eastAsia="en-US" w:bidi="ar-SA"/>
        </w:rPr>
        <w:t xml:space="preserve">, as in </w:t>
      </w:r>
      <w:r>
        <w:rPr>
          <w:rFonts w:ascii="arial" w:eastAsia="arial" w:hAnsi="arial" w:cs="arial"/>
          <w:i/>
          <w:color w:val="000000"/>
          <w:sz w:val="20"/>
          <w:lang w:val="en-US" w:eastAsia="en-US" w:bidi="ar-SA"/>
        </w:rPr>
        <w:t>Hartley</w:t>
      </w:r>
      <w:r>
        <w:rPr>
          <w:rFonts w:ascii="arial" w:eastAsia="arial" w:hAnsi="arial" w:cs="arial"/>
          <w:color w:val="000000"/>
          <w:sz w:val="20"/>
          <w:lang w:val="en-US" w:eastAsia="en-US" w:bidi="ar-SA"/>
        </w:rPr>
        <w:t>, the court focused on the location of the trunk of the tree.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 prefer the evidence of Mr. Bell on this issue. It seems to better accord with the relevant literature and it is consistent with the common sense conclusions expressed in </w:t>
      </w:r>
      <w:r>
        <w:rPr>
          <w:rFonts w:ascii="arial" w:eastAsia="arial" w:hAnsi="arial" w:cs="arial"/>
          <w:i/>
          <w:color w:val="000000"/>
          <w:sz w:val="20"/>
          <w:lang w:val="en-US" w:eastAsia="en-US" w:bidi="ar-SA"/>
        </w:rPr>
        <w:t>Hartley</w:t>
      </w:r>
      <w:r>
        <w:rPr>
          <w:rFonts w:ascii="arial" w:eastAsia="arial" w:hAnsi="arial" w:cs="arial"/>
          <w:color w:val="000000"/>
          <w:sz w:val="20"/>
          <w:lang w:val="en-US" w:eastAsia="en-US" w:bidi="ar-SA"/>
        </w:rPr>
        <w:t xml:space="preserve"> as well as with the guidance in </w:t>
      </w:r>
      <w:r>
        <w:rPr>
          <w:rFonts w:ascii="arial" w:eastAsia="arial" w:hAnsi="arial" w:cs="arial"/>
          <w:i/>
          <w:color w:val="000000"/>
          <w:sz w:val="20"/>
          <w:lang w:val="en-US" w:eastAsia="en-US" w:bidi="ar-SA"/>
        </w:rPr>
        <w:t>Koenig</w:t>
      </w:r>
      <w:r>
        <w:rPr>
          <w:rFonts w:ascii="arial" w:eastAsia="arial" w:hAnsi="arial" w:cs="arial"/>
          <w:color w:val="000000"/>
          <w:sz w:val="20"/>
          <w:lang w:val="en-US" w:eastAsia="en-US" w:bidi="ar-SA"/>
        </w:rPr>
        <w:t>. Accordingly I am satisfied that all three trees were located on the plaintiff's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Relevant Municipal Regime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plaintiff argues that a portion of City of Coquitlam, Bylaw No. 4091, </w:t>
      </w:r>
      <w:r>
        <w:rPr>
          <w:rFonts w:ascii="arial" w:eastAsia="arial" w:hAnsi="arial" w:cs="arial"/>
          <w:i/>
          <w:color w:val="000000"/>
          <w:sz w:val="20"/>
          <w:lang w:val="en-US" w:eastAsia="en-US" w:bidi="ar-SA"/>
        </w:rPr>
        <w:t>Tree Management Bylaw</w:t>
      </w:r>
      <w:r>
        <w:rPr>
          <w:rFonts w:ascii="arial" w:eastAsia="arial" w:hAnsi="arial" w:cs="arial"/>
          <w:color w:val="000000"/>
          <w:sz w:val="20"/>
          <w:lang w:val="en-US" w:eastAsia="en-US" w:bidi="ar-SA"/>
        </w:rPr>
        <w:t xml:space="preserve"> (2010) (the "Bylaw") mandates that a person/builder protect trees whose trunks have a diameter that is equal to or greater than 20 cm and that the operation of the Bylaw, at the times in question, extended to trees on neighbouring properties. The plaintiff does not refer to or rely on the Bylaw in his Notice of Civil Claim but argues that the standards it set are relevant to his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intent, ambit and application of the Bylaw are confused in multiple respects.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Mallenson, an employee of the City in what is now its Urban Forestry Department, accepted in her cross examination that persons who called the City for guidance were routinely told that they were permitted to prune trees on their side of the property line. I understand this to mean that property owners were not advised of any restriction on the extent to which they could prune the branches of a tree that spilled onto their property. Members of her particular department would, however, caution persons to be careful to observe that such pruning was not excessive.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She further accepted that though a survey which identified trees on neighbouring properties might be provided to the Planning Department, no one within the City would consider whether the construction authorized by a building permit, and the building envelope it pertained to, might damage neighbouring trees. In this case the defendants had formal approval to undertake the excavation for their home within an area where that excavation would require cutting the roots of the plaintiff's trees and would thus be harmful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Mallenson further accepted that there was no coordination between the Building Permit and Urban Forestry Departments. She said that the issue of trees on neighbouring properties "was not a City managed issue". She accepted that when she looked into the matter in April, 2010 she concluded that the Bylaw did not cover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Though the City, as a matter of practice, would include a pamphlet pertaining to tree cutting when a building permit was issued, the defendants assert that they received no such pamphlet. Leaving that issue aside, the brochure which existed at the relevant time did not expressly identify any obligation that a property owner had to protect trees on neighbouring properties other than to identify and plot such trees. More recent supplements or materials do contain such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Still further, an email from Ms. Bradfield, the City's solicitor, to Ms. Soames, dated May 27, 2011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noted, the City does regulate trees on private property by the owners of that private property through the City of Coquitlam Tree Management Bylaw 4109, 2010, and the Standards for Tree Cutting Applications. However, the situation involving the trees on your property is outside the scope of the bylaw and the standards because of the way it developed - meaning it was the consequence of actions taken on a property owned by a third party, and not the result of actions taken on your property, or by the City. Unfortunately, when these situations arise, they are civil matters to be resolved between yourselves and the third party. The City has no involvement in such cases, except to the extent that in the interest of community safety, we require the hazard to be addressed by the owner of the property that is the source of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Thereafter, for reasons which are not quite clear, Ms. Bradfield wrote a further letter to Ms. Soames on June 1, 2012 in which she now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previously advised, the Bylaw does not expressly address the management of trees on adjacent lots that are located near or on the property lines of a property under (re)development. Rather, the City generally leaves responsibility for identifying at-risk border trees, and taking appropriate action to manage same, to the developer that is developing the property. Developers are most aware of the limitations of their particular development sites, and are in the best position to identify the likely impact of their development on neighbouring properties, and take action to address those impacts through mitigation or other measures.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particular facts of the case of the trees at 229 Blue Mountain Avenue, I understand from staff that they would consider that the activities that occurred at 235 Blue Mountain Avenue to have amounted to a violation of the Bylaw. More specifically, damaging the root system of a tree to the extent that it required removal would amount to cutting or damaging a "protected tree" in a manner that is prohibited by the Bylaw. Unfortunately, at the time that this incident took place, due to limitations in the City's Bylaw Notice Enforcement Bylaw (the bylaw that sets out those offences for which the City may issue Bylaw Notice Enforcement tickets), the only ticketable offence for which the City could have issued a ticket to the developer would have been for "no cutting permit". In the past, the City has had limited success in defending tickets it has issued for "no cutting permit" where, on the facts of the situation, no permit would have ever been issued to the person charged with the offence. This would arise, for example, where the person charged with the offence was not the owner of the property where the trees that were cut were located. This was precisely the situation at hand; no cutting permit would have been issued to the developer as it was not the owner of the Property on which the trees were located. The City is currently taking steps to address this limitation, and amend the City's Bylaw Notice Enforcement Bylaw to introduce "damaging or cutting a protected tree" as an offence of the Bylaw for which the City may issue tickets.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opinions and evidence of Messrs. Bell and Murray, independent arborists who routinely work with the City, were inconsistent on the ambit and application of the Bylaw. Mr. Murray said that the language of the Bylaw was "muddy". He said, and I accept, that he had been told by multiple people who worked for the City on multiple occasions that the Bylaw does not address the obligation of a property owner in relation to neighbouring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foregoing evidence is not consistent with there being any municipal practice or standard in place in the spring of 2010 that would have pertained to an owner's obligation to take care when pruning the branches or cutting the roots of trees on neighbouring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Quite apart from the foregoing evidence I observe that aspects of the City's practices or policies seemed incoherent. Ms. Mallenson confirmed that the City does not regulate in any way what trees a person may plant on their property or where they can place such trees. It seems curious, and a self-evident problem, that a person might, without restriction, plant a tree of any dimension on the border of their property on one day and that their neighbour would be limited in what he or she might do to address the foliage and roots of that tree on the next day or in the years that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Causes of Action Advanced by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Counsel for the plaintiff said that his client's case was being advanced most forcefully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is significant. Overwhelmingly cases that deal with the unauthorized cutting of trees or with damage to trees are brought in trespass. There are several reasons that that is not possible in this case. Some relate to questions of liability, others to damages.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Soames has admitted, and I have found, that she knew shortly before the defendants' contractors arrived that the trees would be pruned, that the contractor asked her if he could come onto her property, that she gave that consent, that she saw the contractor climb at least one of the trees, that she saw the contractor start pruning a tree and that she voiced no objection to any such activity throughout the period that she witnessed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is important to recognize that the branches which were cut from the three trees were on the defendants' property. Thus the alleged trespass occurred not when the branches were cut but rather when the contractor climbed the trees to achieve this object. It is also common ground that all of the roots of the trees that were cut were also on the defendants'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No trespass can occur when an alleged trespasser is on land with the permission of the possessor. In the circumstances of this case the question becomes whether the tree contractor, the defendants' agent, had the implied consent of Ms. Soames to climb the trees. Such implied consent, in the context of trespass, is often described as trespass with leave and license. The burden of proving leave and license lies on the person asserting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Webb v. Attewell</w:t>
      </w:r>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(1993), 88 B.C.L.R. (2d) 1</w:t>
        </w:r>
      </w:hyperlink>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108 D.L.R. (4th) 532</w:t>
        </w:r>
      </w:hyperlink>
      <w:r>
        <w:rPr>
          <w:rFonts w:ascii="arial" w:eastAsia="arial" w:hAnsi="arial" w:cs="arial"/>
          <w:color w:val="000000"/>
          <w:sz w:val="20"/>
          <w:lang w:val="en-US" w:eastAsia="en-US" w:bidi="ar-SA"/>
        </w:rPr>
        <w:t xml:space="preserve"> at 536-7 (C.A.)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true question is whether the trespass was with leave and licence. If the entry goes beyond the permission given, there is, at least to the extent of the excess, no leave and licence. The burden of proving leave and licence is on the person who asserts it.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matter is put thus in </w:t>
      </w:r>
      <w:r>
        <w:rPr>
          <w:rFonts w:ascii="arial" w:eastAsia="arial" w:hAnsi="arial" w:cs="arial"/>
          <w:i/>
          <w:color w:val="000000"/>
          <w:sz w:val="20"/>
          <w:lang w:val="en-US" w:eastAsia="en-US" w:bidi="ar-SA"/>
        </w:rPr>
        <w:t>Halsbury's</w:t>
      </w:r>
      <w:r>
        <w:rPr>
          <w:rFonts w:ascii="arial" w:eastAsia="arial" w:hAnsi="arial" w:cs="arial"/>
          <w:color w:val="000000"/>
          <w:sz w:val="20"/>
          <w:lang w:val="en-US" w:eastAsia="en-US" w:bidi="ar-SA"/>
        </w:rPr>
        <w:t>, 4th ed., para. 1406:</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Leave and licence. It is a good defence to an action of trespass to land for the defendant to plead and prove that he entered on the land by the leave and licence of the plaintiff. If the person in possession of land gives to another person licence to enter on the land, then, so long as the licence continues and the entry is justified by the licence, the person to whom the licence was given cannot be treated as a trespasser.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the owner of land gives permission for the doing of an act on his land and that act is completed, then, generally speaking, he will be too late to complain of it and the owner's proprietary right will to that extent be extinguished.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reiterate that based on Ms. Soames' evidence, the tree contractor entered onto Mr. Demenuk's property with her express consent. He climbed at least one of the trees and began his work. He had no express or specific consent to climb the tree though he did so in full view of Ms. Soames. What legal significance, in such circumstances, does her silence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G.H.L. Fridman, The Law of Torts in Canada, 2nd ed. (Toronto: Thomson Canada Limited, 2002), cited with approval in </w:t>
      </w:r>
      <w:r>
        <w:rPr>
          <w:rFonts w:ascii="arial" w:eastAsia="arial" w:hAnsi="arial" w:cs="arial"/>
          <w:i/>
          <w:color w:val="000000"/>
          <w:sz w:val="20"/>
          <w:lang w:val="en-US" w:eastAsia="en-US" w:bidi="ar-SA"/>
        </w:rPr>
        <w:t>Montreal Trust Co. v. Williston Wildcatters Corp.</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2004 SKCA 116</w:t>
        </w:r>
      </w:hyperlink>
      <w:r>
        <w:rPr>
          <w:rFonts w:ascii="arial" w:eastAsia="arial" w:hAnsi="arial" w:cs="arial"/>
          <w:color w:val="000000"/>
          <w:sz w:val="20"/>
          <w:lang w:val="en-US" w:eastAsia="en-US" w:bidi="ar-SA"/>
        </w:rPr>
        <w:t xml:space="preserve">, leave to appeal dismissed, </w:t>
      </w:r>
      <w:hyperlink r:id="rId486" w:history="1">
        <w:r>
          <w:rPr>
            <w:rFonts w:ascii="arial" w:eastAsia="arial" w:hAnsi="arial" w:cs="arial"/>
            <w:i/>
            <w:color w:val="0077CC"/>
            <w:sz w:val="20"/>
            <w:u w:val="single"/>
            <w:shd w:val="clear" w:color="auto" w:fill="FFFFFF"/>
            <w:lang w:val="en-US" w:eastAsia="en-US" w:bidi="ar-SA"/>
          </w:rPr>
          <w:t>[2004] S.C.C.A. No 474</w:t>
        </w:r>
      </w:hyperlink>
      <w:r>
        <w:rPr>
          <w:rFonts w:ascii="arial" w:eastAsia="arial" w:hAnsi="arial" w:cs="arial"/>
          <w:color w:val="000000"/>
          <w:sz w:val="20"/>
          <w:lang w:val="en-US" w:eastAsia="en-US" w:bidi="ar-SA"/>
        </w:rPr>
        <w:t>, the author states at p.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trespass will be committed if the defendant has the express or tacit consent of the plaintiff to the defendant's entry on the plaintiff's land, the burden of proving which being on the person who asserts it. In such circumstances the defendant is said to come on such land by the leave and licence of the plaintiff.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licence or permission to enter land may be given expressly or tacitly after the initial wrongful entry. If a defendant enters in circumstances which amount to a trespass, the subsequent conduct of the plaintiff may reveal that he has acquiesced in such entry, to the extent that, as a consequence, his permission to enter can be said to have been given </w:t>
      </w:r>
      <w:r>
        <w:rPr>
          <w:rFonts w:ascii="arial" w:eastAsia="arial" w:hAnsi="arial" w:cs="arial"/>
          <w:i/>
          <w:color w:val="000000"/>
          <w:sz w:val="20"/>
          <w:lang w:val="en-US" w:eastAsia="en-US" w:bidi="ar-SA"/>
        </w:rPr>
        <w:t>ex post facto</w:t>
      </w:r>
      <w:r>
        <w:rPr>
          <w:rFonts w:ascii="arial" w:eastAsia="arial" w:hAnsi="arial" w:cs="arial"/>
          <w:color w:val="000000"/>
          <w:sz w:val="20"/>
          <w:lang w:val="en-US" w:eastAsia="en-US" w:bidi="ar-SA"/>
        </w:rPr>
        <w:t xml:space="preserve">. Where this is the case, the defendant will not be a trespasser as a result of such acquiescence, or as a consequence of estoppel. However, the mere silence of the plaintiff, i.e., his failure to do or say anything by way of objection to the entry of the defendant, will not necessarily be construed as consent and acquiescence leading to an estoppel. "While an owner may be estopped when he neglects some legal or moral duty to object to the actions of another party," said Gibson J.A. in </w:t>
      </w:r>
      <w:r>
        <w:rPr>
          <w:rFonts w:ascii="arial" w:eastAsia="arial" w:hAnsi="arial" w:cs="arial"/>
          <w:i/>
          <w:color w:val="000000"/>
          <w:sz w:val="20"/>
          <w:lang w:val="en-US" w:eastAsia="en-US" w:bidi="ar-SA"/>
        </w:rPr>
        <w:t>Pawson v. City of Sudbury</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[1954] O.J. No. 300</w:t>
        </w:r>
      </w:hyperlink>
      <w:r>
        <w:rPr>
          <w:rFonts w:ascii="arial" w:eastAsia="arial" w:hAnsi="arial" w:cs="arial"/>
          <w:color w:val="000000"/>
          <w:sz w:val="20"/>
          <w:lang w:val="en-US" w:eastAsia="en-US" w:bidi="ar-SA"/>
        </w:rPr>
        <w:t>, "there is no duty to object where he has no reason to believe that the trespasser, encroacher or invader mistakenly conceives himself to be acting lawfully." ... The Ontario Court of Appeal reversed [the trial decision], holding that there was no evidence of any actual consent by the plaintiff from the fact that he had done nothing by way of objection.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Two further matters are relevant. First, in order for consent to be implied from acquiescence it is necessary that the person alleged to have acquiesced have full knowledge of their legal rights; Linda D. Rainaldi, </w:t>
      </w:r>
      <w:r>
        <w:rPr>
          <w:rFonts w:ascii="arial" w:eastAsia="arial" w:hAnsi="arial" w:cs="arial"/>
          <w:i/>
          <w:color w:val="000000"/>
          <w:sz w:val="20"/>
          <w:lang w:val="en-US" w:eastAsia="en-US" w:bidi="ar-SA"/>
        </w:rPr>
        <w:t>Remedies in Tort</w:t>
      </w:r>
      <w:r>
        <w:rPr>
          <w:rFonts w:ascii="arial" w:eastAsia="arial" w:hAnsi="arial" w:cs="arial"/>
          <w:color w:val="000000"/>
          <w:sz w:val="20"/>
          <w:lang w:val="en-US" w:eastAsia="en-US" w:bidi="ar-SA"/>
        </w:rPr>
        <w:t>, (looseleaf), (Toronto, Ont.: Carswell, 1987) vol. 3 at 23-31. In her cross examination Ms. Soames accepted that the contractors in the trees were trespassing but said that it "didn't occur to her" to communicate this to them. This is different from not appreciating that a trespass was occurring. There was no suggestion in her evidence that she did not understand or know that she could ask the contractor to leave the tree and her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Second, the fact that it is Mr. Demenuk who owns or has title to the property does not matter. Trespass is not concerned with the title or ownership of land but rather with the legal possession of it; Lewis N. Klar, </w:t>
      </w:r>
      <w:r>
        <w:rPr>
          <w:rFonts w:ascii="arial" w:eastAsia="arial" w:hAnsi="arial" w:cs="arial"/>
          <w:i/>
          <w:color w:val="000000"/>
          <w:sz w:val="20"/>
          <w:lang w:val="en-US" w:eastAsia="en-US" w:bidi="ar-SA"/>
        </w:rPr>
        <w:t>Tort Law</w:t>
      </w:r>
      <w:r>
        <w:rPr>
          <w:rFonts w:ascii="arial" w:eastAsia="arial" w:hAnsi="arial" w:cs="arial"/>
          <w:color w:val="000000"/>
          <w:sz w:val="20"/>
          <w:lang w:val="en-US" w:eastAsia="en-US" w:bidi="ar-SA"/>
        </w:rPr>
        <w:t>, 3rd ed. (Toronto: Thomson Canada, 2003) at p.99. Ms. Soames, as I have said, has resided on the property for decades.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Having regard to the foregoing considerations and evidence I consider that the circumstances I have described do constitute a trespass with leave and licence. In such circumstances a contractor or defendant would reasonably "conceive himself to be acting lawfully".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the event I am mistaken in this conclusion I consider that the trespass which occurred was "technical" in nature. The actions of the contractor, the defendants' agent, though intentional were not willful. The appropriate measure of damages for such a technical trespass is influenced by the fact that the plaintiff suffered no loss as a result of the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614"/>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ii)</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Trespass is actionable without proof of specific damage. Having said this there is a considerable body of law that governs the various means by which a party's loss arising from the unauthorized harvesting of trees or damage to trees can be assessed. These various measures of damage are often tied to the degree of culpability or bona fides of the trespasser; see for example </w:t>
      </w:r>
      <w:r>
        <w:rPr>
          <w:rFonts w:ascii="arial" w:eastAsia="arial" w:hAnsi="arial" w:cs="arial"/>
          <w:i/>
          <w:color w:val="000000"/>
          <w:sz w:val="20"/>
          <w:lang w:val="en-US" w:eastAsia="en-US" w:bidi="ar-SA"/>
        </w:rPr>
        <w:t>Shewish v. McMillan Bloedel</w:t>
      </w:r>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48 B.C.L.R. (2d) 290</w:t>
        </w:r>
      </w:hyperlink>
      <w:r>
        <w:rPr>
          <w:rFonts w:ascii="arial" w:eastAsia="arial" w:hAnsi="arial" w:cs="arial"/>
          <w:color w:val="000000"/>
          <w:sz w:val="20"/>
          <w:lang w:val="en-US" w:eastAsia="en-US" w:bidi="ar-SA"/>
        </w:rPr>
        <w:t xml:space="preserve"> at 297, 1990 CarswellBC 189 at para. 16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this case the damage to the plaintiff's trees and the need to subsequently remove those trees is unrelated, both in concept and in fact, to the defendants' trespass. For reasons that I will develop the defendants were entitled to both prune the branches and to cut the roots of the three trees. The subsequent need to remove the trees arose because the roots to those trees were cut. This activity occurred entirely on the defendants' side of their property. The only branches that were pruned were again branches that overhung the defendants' property. Thus the actual cause of the loss which the plaintiff says he suffered is loss which arose from conduct which the defendants were entitled to undertake.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These considerations inform the measure or quantum of damages that I would have awarded the plaintiff had I concluded that a technical trespass occurred. I consider that an award of $1000 would have reflected the proper measure of damages in all the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plaintiff says that the defendants pruning the branches on his trees and cutting the roots of those trees gives rise to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argues that each of the elements of the tort, a duty of care, breach of a standard of care and damage is made out. The plaintiff relies heavily on the obiter comments of Taylor J.A. in </w:t>
      </w:r>
      <w:r>
        <w:rPr>
          <w:rFonts w:ascii="arial" w:eastAsia="arial" w:hAnsi="arial" w:cs="arial"/>
          <w:i/>
          <w:color w:val="000000"/>
          <w:sz w:val="20"/>
          <w:lang w:val="en-US" w:eastAsia="en-US" w:bidi="ar-SA"/>
        </w:rPr>
        <w:t>Anderson v. Skender</w:t>
      </w:r>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84 B.C.L.R. (2d) 135</w:t>
        </w:r>
      </w:hyperlink>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[1993] B.C.J. No. 1769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Anderson</w:t>
      </w:r>
      <w:r>
        <w:rPr>
          <w:rFonts w:ascii="arial" w:eastAsia="arial" w:hAnsi="arial" w:cs="arial"/>
          <w:color w:val="000000"/>
          <w:sz w:val="20"/>
          <w:lang w:val="en-US" w:eastAsia="en-US" w:bidi="ar-SA"/>
        </w:rPr>
        <w:t xml:space="preserve"> the defendant willfully trespassed onto the plaintiff's property and destroyed three trees. The plaintiff's claim was brought in trespass. The trial judge, </w:t>
      </w:r>
      <w:hyperlink r:id="rId490" w:history="1">
        <w:r>
          <w:rPr>
            <w:rFonts w:ascii="arial" w:eastAsia="arial" w:hAnsi="arial" w:cs="arial"/>
            <w:i/>
            <w:color w:val="0077CC"/>
            <w:sz w:val="20"/>
            <w:u w:val="single"/>
            <w:shd w:val="clear" w:color="auto" w:fill="FFFFFF"/>
            <w:lang w:val="en-US" w:eastAsia="en-US" w:bidi="ar-SA"/>
          </w:rPr>
          <w:t>[1991] B.C.J. No. 3381</w:t>
        </w:r>
      </w:hyperlink>
      <w:r>
        <w:rPr>
          <w:rFonts w:ascii="arial" w:eastAsia="arial" w:hAnsi="arial" w:cs="arial"/>
          <w:color w:val="000000"/>
          <w:sz w:val="20"/>
          <w:lang w:val="en-US" w:eastAsia="en-US" w:bidi="ar-SA"/>
        </w:rPr>
        <w:t>, awarded damages for the loss of the three trees. On appeal Taylor J.A. modestly revised the award that the trial judge had made in respect of one of those trees because the defendant had not trespassed to access that tree. He accepted that "the law of nuisance is clear that an owner of land is entitled to cut branches or roots of a neighbour's trees which extend over the property line" (para. 15). He went on to say:</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Justice McKenzie was of the view that this right of self-help does not extend to a cutting of stems, but we were referred to no authority on this point. The case of </w:t>
      </w:r>
      <w:r>
        <w:rPr>
          <w:rFonts w:ascii="arial" w:eastAsia="arial" w:hAnsi="arial" w:cs="arial"/>
          <w:i/>
          <w:color w:val="000000"/>
          <w:sz w:val="20"/>
          <w:lang w:val="en-US" w:eastAsia="en-US" w:bidi="ar-SA"/>
        </w:rPr>
        <w:t>Loverock v. Webb</w:t>
      </w:r>
      <w:r>
        <w:rPr>
          <w:rFonts w:ascii="arial" w:eastAsia="arial" w:hAnsi="arial" w:cs="arial"/>
          <w:color w:val="000000"/>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(1921), 30 B.C.R. 327</w:t>
        </w:r>
      </w:hyperlink>
      <w:r>
        <w:rPr>
          <w:rFonts w:ascii="arial" w:eastAsia="arial" w:hAnsi="arial" w:cs="arial"/>
          <w:color w:val="000000"/>
          <w:sz w:val="20"/>
          <w:lang w:val="en-US" w:eastAsia="en-US" w:bidi="ar-SA"/>
        </w:rPr>
        <w:t xml:space="preserve"> (C.A.), does not support that view. As I have said, we need not decide whether the right of self-help extends to a cutting likely to prove fatal to a border tree where, with the application of proper arboricultural technique, the tree could have been saved. The point is an important one, and I mention it again, because if the law were such that a landholder is entitled to destroy a neighbour's border trees at will by assaulting any wood or root projecting over the line, many such trees could be killed with impunity by neighbours seeking to improve their light or view, or for any other reason to be rid of them, and much of the remaining border screening in residential areas might in this way be destroyed.</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novel aspect of the present case is that here there was evidence before the court that it may be possible, with the proper arboricultural technique, to abate the nuisance created by these trees without destroying them. The judge, to use his words [p. 297], sought to see the problem "from the tree's point of view", whose health is at stake. The difficulty in doing so, in the absence of any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nuisance, does not seem to have then been dealt with at trial, as it was on the present appeal. This limitation makes it unnecessary for us to deal with the problem and, in view of the limited nature of the issue before us, I do not intend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No case in the nearly 20 years since </w:t>
      </w:r>
      <w:r>
        <w:rPr>
          <w:rFonts w:ascii="arial" w:eastAsia="arial" w:hAnsi="arial" w:cs="arial"/>
          <w:i/>
          <w:color w:val="000000"/>
          <w:sz w:val="20"/>
          <w:lang w:val="en-US" w:eastAsia="en-US" w:bidi="ar-SA"/>
        </w:rPr>
        <w:t>Anderson</w:t>
      </w:r>
      <w:r>
        <w:rPr>
          <w:rFonts w:ascii="arial" w:eastAsia="arial" w:hAnsi="arial" w:cs="arial"/>
          <w:color w:val="000000"/>
          <w:sz w:val="20"/>
          <w:lang w:val="en-US" w:eastAsia="en-US" w:bidi="ar-SA"/>
        </w:rPr>
        <w:t xml:space="preserve"> was decided has relied on the foregoing obiter statements. I was referred to no case in which a property owner has been found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cutting either the branches or roots of a tree that extend on to his property from a neighbour's property so long as he or she did not trespass in carrying out this activity. This is so even in circumstances where such conduct may kill the tree. It is so without any assessment of what steps a property owner could or should have taken to avoid that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Edwards v. Paldrugo,</w:t>
      </w:r>
      <w:r>
        <w:rPr>
          <w:rFonts w:ascii="arial" w:eastAsia="arial" w:hAnsi="arial" w:cs="arial"/>
          <w:color w:val="000000"/>
          <w:sz w:val="20"/>
          <w:lang w:val="en-US" w:eastAsia="en-US" w:bidi="ar-SA"/>
        </w:rPr>
        <w:t xml:space="preserve"> </w:t>
      </w:r>
      <w:hyperlink r:id="rId492" w:history="1">
        <w:r>
          <w:rPr>
            <w:rFonts w:ascii="arial" w:eastAsia="arial" w:hAnsi="arial" w:cs="arial"/>
            <w:i/>
            <w:color w:val="0077CC"/>
            <w:sz w:val="20"/>
            <w:u w:val="single"/>
            <w:shd w:val="clear" w:color="auto" w:fill="FFFFFF"/>
            <w:lang w:val="en-US" w:eastAsia="en-US" w:bidi="ar-SA"/>
          </w:rPr>
          <w:t>2003 BCPC 398</w:t>
        </w:r>
      </w:hyperlink>
      <w:r>
        <w:rPr>
          <w:rFonts w:ascii="arial" w:eastAsia="arial" w:hAnsi="arial" w:cs="arial"/>
          <w:color w:val="000000"/>
          <w:sz w:val="20"/>
          <w:lang w:val="en-US" w:eastAsia="en-US" w:bidi="ar-SA"/>
        </w:rPr>
        <w:t xml:space="preserve">, Judge Romilly, addressed </w:t>
      </w:r>
      <w:r>
        <w:rPr>
          <w:rFonts w:ascii="arial" w:eastAsia="arial" w:hAnsi="arial" w:cs="arial"/>
          <w:i/>
          <w:color w:val="000000"/>
          <w:sz w:val="20"/>
          <w:lang w:val="en-US" w:eastAsia="en-US" w:bidi="ar-SA"/>
        </w:rPr>
        <w:t>Anderson</w:t>
      </w:r>
      <w:r>
        <w:rPr>
          <w:rFonts w:ascii="arial" w:eastAsia="arial" w:hAnsi="arial" w:cs="arial"/>
          <w:color w:val="000000"/>
          <w:sz w:val="20"/>
          <w:lang w:val="en-US" w:eastAsia="en-US" w:bidi="ar-SA"/>
        </w:rPr>
        <w:t xml:space="preserve"> and other authorities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I find therefore that I must dismiss the Claimant's claim since I can firstly find no case authority nor legislative authority which has changed the law of nuisance to the extent that a property owner is not entitled to develop his property in accordance with the restrictions on development mandated by the municipality or other governmental authority.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Secondly, I can find no authority which prohibits a property owner from cutting roots of a border tree which extends into his property, especially since he may be deemed to employ "self- help" to prevent those roots from causing damage to his foundation or any part of his property, and the owner of the tree may be liable for any such damage. The </w:t>
      </w:r>
      <w:r>
        <w:rPr>
          <w:rFonts w:ascii="arial" w:eastAsia="arial" w:hAnsi="arial" w:cs="arial"/>
          <w:i/>
          <w:color w:val="000000"/>
          <w:sz w:val="20"/>
          <w:lang w:val="en-US" w:eastAsia="en-US" w:bidi="ar-SA"/>
        </w:rPr>
        <w:t>Skender</w:t>
      </w:r>
      <w:r>
        <w:rPr>
          <w:rFonts w:ascii="arial" w:eastAsia="arial" w:hAnsi="arial" w:cs="arial"/>
          <w:color w:val="000000"/>
          <w:sz w:val="20"/>
          <w:lang w:val="en-US" w:eastAsia="en-US" w:bidi="ar-SA"/>
        </w:rPr>
        <w:t xml:space="preserve"> case has stated however that he cannot trespass to achieve his goal.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Koenig</w:t>
      </w:r>
      <w:r>
        <w:rPr>
          <w:rFonts w:ascii="arial" w:eastAsia="arial" w:hAnsi="arial" w:cs="arial"/>
          <w:color w:val="000000"/>
          <w:sz w:val="20"/>
          <w:lang w:val="en-US" w:eastAsia="en-US" w:bidi="ar-SA"/>
        </w:rPr>
        <w:t xml:space="preserve">, the trial judge, though noting the "cautionary observation" of Taylor J.A. in </w:t>
      </w:r>
      <w:r>
        <w:rPr>
          <w:rFonts w:ascii="arial" w:eastAsia="arial" w:hAnsi="arial" w:cs="arial"/>
          <w:i/>
          <w:color w:val="000000"/>
          <w:sz w:val="20"/>
          <w:lang w:val="en-US" w:eastAsia="en-US" w:bidi="ar-SA"/>
        </w:rPr>
        <w:t>Anderson</w:t>
      </w:r>
      <w:r>
        <w:rPr>
          <w:rFonts w:ascii="arial" w:eastAsia="arial" w:hAnsi="arial" w:cs="arial"/>
          <w:color w:val="000000"/>
          <w:sz w:val="20"/>
          <w:lang w:val="en-US" w:eastAsia="en-US" w:bidi="ar-SA"/>
        </w:rPr>
        <w:t>, concluded: "There is clear authority for the proposition that a property owner is legally entitled without notice to cut those branches and roots of a neighbour's Border Tree which extend onto his property or air space although such action may kill the tree."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Glashutter et al v. Bell et al,</w:t>
      </w:r>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2001 BCSC 1581</w:t>
        </w:r>
      </w:hyperlink>
      <w:r>
        <w:rPr>
          <w:rFonts w:ascii="arial" w:eastAsia="arial" w:hAnsi="arial" w:cs="arial"/>
          <w:color w:val="000000"/>
          <w:sz w:val="20"/>
          <w:lang w:val="en-US" w:eastAsia="en-US" w:bidi="ar-SA"/>
        </w:rPr>
        <w:t xml:space="preserve"> at para. 27, Madam Justice Wedge said: "Where branches or roots extend across the property line into a neighbour's property the law of nuisance may entitle the neighbour to cut but does not entitle him or her to enter the other's property, or to cut any part of the tree that is on the other person's side of the property line"; </w:t>
      </w:r>
      <w:r>
        <w:rPr>
          <w:rFonts w:ascii="arial" w:eastAsia="arial" w:hAnsi="arial" w:cs="arial"/>
          <w:i/>
          <w:color w:val="000000"/>
          <w:sz w:val="20"/>
          <w:lang w:val="en-US" w:eastAsia="en-US" w:bidi="ar-SA"/>
        </w:rPr>
        <w:t>Anderson</w:t>
      </w:r>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foregoing portion of </w:t>
      </w:r>
      <w:r>
        <w:rPr>
          <w:rFonts w:ascii="arial" w:eastAsia="arial" w:hAnsi="arial" w:cs="arial"/>
          <w:i/>
          <w:color w:val="000000"/>
          <w:sz w:val="20"/>
          <w:lang w:val="en-US" w:eastAsia="en-US" w:bidi="ar-SA"/>
        </w:rPr>
        <w:t>Glashutter</w:t>
      </w:r>
      <w:r>
        <w:rPr>
          <w:rFonts w:ascii="arial" w:eastAsia="arial" w:hAnsi="arial" w:cs="arial"/>
          <w:color w:val="000000"/>
          <w:sz w:val="20"/>
          <w:lang w:val="en-US" w:eastAsia="en-US" w:bidi="ar-SA"/>
        </w:rPr>
        <w:t xml:space="preserve">, in turn, was relied on in each of </w:t>
      </w:r>
      <w:r>
        <w:rPr>
          <w:rFonts w:ascii="arial" w:eastAsia="arial" w:hAnsi="arial" w:cs="arial"/>
          <w:i/>
          <w:color w:val="000000"/>
          <w:sz w:val="20"/>
          <w:lang w:val="en-US" w:eastAsia="en-US" w:bidi="ar-SA"/>
        </w:rPr>
        <w:t>Rowe v. Thomson</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2011 BCSC 430</w:t>
        </w:r>
      </w:hyperlink>
      <w:r>
        <w:rPr>
          <w:rFonts w:ascii="arial" w:eastAsia="arial" w:hAnsi="arial" w:cs="arial"/>
          <w:color w:val="000000"/>
          <w:sz w:val="20"/>
          <w:lang w:val="en-US" w:eastAsia="en-US" w:bidi="ar-SA"/>
        </w:rPr>
        <w:t xml:space="preserve"> at para.11 and in </w:t>
      </w:r>
      <w:r>
        <w:rPr>
          <w:rFonts w:ascii="arial" w:eastAsia="arial" w:hAnsi="arial" w:cs="arial"/>
          <w:i/>
          <w:color w:val="000000"/>
          <w:sz w:val="20"/>
          <w:lang w:val="en-US" w:eastAsia="en-US" w:bidi="ar-SA"/>
        </w:rPr>
        <w:t>Keissling et al v. Varga et al,</w:t>
      </w:r>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2002 BCSC 90</w:t>
        </w:r>
      </w:hyperlink>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Koenig</w:t>
      </w:r>
      <w:r>
        <w:rPr>
          <w:rFonts w:ascii="arial" w:eastAsia="arial" w:hAnsi="arial" w:cs="arial"/>
          <w:color w:val="000000"/>
          <w:sz w:val="20"/>
          <w:lang w:val="en-US" w:eastAsia="en-US" w:bidi="ar-SA"/>
        </w:rPr>
        <w:t xml:space="preserve"> is cited authoritatively in both </w:t>
      </w:r>
      <w:r>
        <w:rPr>
          <w:rFonts w:ascii="arial" w:eastAsia="arial" w:hAnsi="arial" w:cs="arial"/>
          <w:i/>
          <w:color w:val="000000"/>
          <w:sz w:val="20"/>
          <w:lang w:val="en-US" w:eastAsia="en-US" w:bidi="ar-SA"/>
        </w:rPr>
        <w:t>Halsbury's Laws of Canada</w:t>
      </w:r>
      <w:r>
        <w:rPr>
          <w:rFonts w:ascii="arial" w:eastAsia="arial" w:hAnsi="arial" w:cs="arial"/>
          <w:color w:val="000000"/>
          <w:sz w:val="20"/>
          <w:lang w:val="en-US" w:eastAsia="en-US" w:bidi="ar-SA"/>
        </w:rPr>
        <w:t xml:space="preserve">, vol. 78, 1st ed. (Markham, Ont.: LexisNexis Canada, 2012) at 553 and the </w:t>
      </w:r>
      <w:r>
        <w:rPr>
          <w:rFonts w:ascii="arial" w:eastAsia="arial" w:hAnsi="arial" w:cs="arial"/>
          <w:i/>
          <w:color w:val="000000"/>
          <w:sz w:val="20"/>
          <w:lang w:val="en-US" w:eastAsia="en-US" w:bidi="ar-SA"/>
        </w:rPr>
        <w:t>Canadian Encyclopedic Digest</w:t>
      </w:r>
      <w:r>
        <w:rPr>
          <w:rFonts w:ascii="arial" w:eastAsia="arial" w:hAnsi="arial" w:cs="arial"/>
          <w:color w:val="000000"/>
          <w:sz w:val="20"/>
          <w:lang w:val="en-US" w:eastAsia="en-US" w:bidi="ar-SA"/>
        </w:rPr>
        <w:t xml:space="preserve"> (West 4th),vol. 54, title 156 at para.100 for the proposition that property owners are entitled to remove or prune encroaching roots and branches up to their property line, without regard to the survival of the tree.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foregoing principles are important in a time of increasing pressure on urban land use. Properties are smaller. They are also more valuable. Homes are often larger. These realities give rise to inevitable tensions. Some of those tensions relate to mature trees which, as in this case, border a property and impact on the use and enjoyment of the neighbouring property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Other tensions stem from how differently people view trees and their attributes, aesthetic or otherwise. The plaintiff, in this case, lamented the loss of shade from his trees. At the same time he touted the fact that the defendants would now enjoy more sunshine on their property. He also lamented the loss of wildlife, including raccoons, in his trees. Not all persons would view the presence of such wildlife in the same way. He complained that he now had to remove weeds in the area that had formerly been covered by his trees. Others might, however, perceive the difficulty of growing anything under the canopy of conifers quite differently.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Still other tensions are financial in nature. The plaintiff, in this case, argues that the defendants should have taken "reasonable steps" and incurred the costs associated with such steps to protect his trees. The conduct of the defendants, conversely, which affected the stability of the plaintiff's trees and necessitated their removal, imposed a financial burden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Ultimately, the current common-law regime allows each property owner, within the boundaries of his or her property, and subject to municipal regulation or other restrictive covenants, to do as they wish. This is so both with respect to planting trees, which may tomorrow block a neighbour's view or spill onto a neighbour's property, and with respect to pruning or cutting the branches and roots of trees that cross a property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wish to deal with one further point which illustrates how very different the lens through which people view this issue can be. Mr. Bell explained that there were various means by which the roots of trees might be protected by a neighbouring home builder. One such technique, which would have been necessary in this case, would have the home builder modify the foundations of his or her home and cantilever those foundations over the roots that are to be protected. This would have to be done within a "minimum protection zone". Mr. Bell fixed this zone at 2.6 metres, whereas Mr. Murray believed it would be 3.9 metres. I would accept Mr. Murray's evidence and his explanation on this issue. The real point, however, is that among the perceived "reasonable steps" the plaintiff says the defendants should have taken was the requirement to build around and over the roots that came onto their property for either about 8 feet or for about 12 feet. The building envelope for a home, either in the form of a crawlspace or a basement, would often have to be made correspondingly smaller. Furthermore, though no specific figure was attached to the cost of doing such work, Mr. Murray, whose evidence I would again accept, opined that it would be "significant".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also advances a claim in unjust enrichment. The plaintiff submits that the defendants have been enriched by the removal of the trees as they have gained a better view and greater sun exposure, while the plaintiff has suffered a corresponding deprivation in the loss of the trees and privacy.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doctrine of unjust enrichment is premised on "the notion of restoring a benefit which justice does not permit one to retain" (</w:t>
      </w:r>
      <w:r>
        <w:rPr>
          <w:rFonts w:ascii="arial" w:eastAsia="arial" w:hAnsi="arial" w:cs="arial"/>
          <w:i/>
          <w:color w:val="000000"/>
          <w:sz w:val="20"/>
          <w:lang w:val="en-US" w:eastAsia="en-US" w:bidi="ar-SA"/>
        </w:rPr>
        <w:t>Kerr v. Baranow</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2011 SCC 10</w:t>
        </w:r>
      </w:hyperlink>
      <w:r>
        <w:rPr>
          <w:rFonts w:ascii="arial" w:eastAsia="arial" w:hAnsi="arial" w:cs="arial"/>
          <w:color w:val="000000"/>
          <w:sz w:val="20"/>
          <w:lang w:val="en-US" w:eastAsia="en-US" w:bidi="ar-SA"/>
        </w:rPr>
        <w:t xml:space="preserve"> at para. 31). The test for unjust enrichment is well established and requires an enrichment of the defendant, a corresponding deprivation of the plaintiff, and an absence of juristic reasons for the enrichment: </w:t>
      </w:r>
      <w:r>
        <w:rPr>
          <w:rFonts w:ascii="arial" w:eastAsia="arial" w:hAnsi="arial" w:cs="arial"/>
          <w:i/>
          <w:color w:val="000000"/>
          <w:sz w:val="20"/>
          <w:lang w:val="en-US" w:eastAsia="en-US" w:bidi="ar-SA"/>
        </w:rPr>
        <w:t>Garland v. Consumers' Gas Co.,</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2004 SCC 25</w:t>
        </w:r>
      </w:hyperlink>
      <w:r>
        <w:rPr>
          <w:rFonts w:ascii="arial" w:eastAsia="arial" w:hAnsi="arial" w:cs="arial"/>
          <w:color w:val="000000"/>
          <w:sz w:val="20"/>
          <w:lang w:val="en-US" w:eastAsia="en-US" w:bidi="ar-SA"/>
        </w:rPr>
        <w:t xml:space="preserve"> at para. 30. The courts have taken a "straightforward economic approach" to the first two elements, requiring that "there must be a benefit which has enriched the defendant and which can be restored to the plaintiff </w:t>
      </w:r>
      <w:r>
        <w:rPr>
          <w:rFonts w:ascii="arial" w:eastAsia="arial" w:hAnsi="arial" w:cs="arial"/>
          <w:i/>
          <w:color w:val="000000"/>
          <w:sz w:val="20"/>
          <w:lang w:val="en-US" w:eastAsia="en-US" w:bidi="ar-SA"/>
        </w:rPr>
        <w:t>in specie</w:t>
      </w:r>
      <w:r>
        <w:rPr>
          <w:rFonts w:ascii="arial" w:eastAsia="arial" w:hAnsi="arial" w:cs="arial"/>
          <w:color w:val="000000"/>
          <w:sz w:val="20"/>
          <w:lang w:val="en-US" w:eastAsia="en-US" w:bidi="ar-SA"/>
        </w:rPr>
        <w:t xml:space="preserve"> or by money. Moreover, the benefit must be tangible" (</w:t>
      </w:r>
      <w:r>
        <w:rPr>
          <w:rFonts w:ascii="arial" w:eastAsia="arial" w:hAnsi="arial" w:cs="arial"/>
          <w:i/>
          <w:color w:val="000000"/>
          <w:sz w:val="20"/>
          <w:lang w:val="en-US" w:eastAsia="en-US" w:bidi="ar-SA"/>
        </w:rPr>
        <w:t>Kerr</w:t>
      </w:r>
      <w:r>
        <w:rPr>
          <w:rFonts w:ascii="arial" w:eastAsia="arial" w:hAnsi="arial" w:cs="arial"/>
          <w:color w:val="000000"/>
          <w:sz w:val="20"/>
          <w:lang w:val="en-US" w:eastAsia="en-US" w:bidi="ar-SA"/>
        </w:rPr>
        <w:t xml:space="preserve"> at paras. 37-38). In considering whether there is an absence of juristic reasons for the enrichment, the court must consider first whether a juristic reason from an established category exists to deny recovery by the plaintiff (for example, in contract or as a result of a common law obligation or otherwise). If there is no such categorical juristic reason, the court can then consider other reasons to deny recovery, such as the legitimate expectations of the parties and other policy considerations (</w:t>
      </w:r>
      <w:r>
        <w:rPr>
          <w:rFonts w:ascii="arial" w:eastAsia="arial" w:hAnsi="arial" w:cs="arial"/>
          <w:i/>
          <w:color w:val="000000"/>
          <w:sz w:val="20"/>
          <w:lang w:val="en-US" w:eastAsia="en-US" w:bidi="ar-SA"/>
        </w:rPr>
        <w:t>Kerr</w:t>
      </w:r>
      <w:r>
        <w:rPr>
          <w:rFonts w:ascii="arial" w:eastAsia="arial" w:hAnsi="arial" w:cs="arial"/>
          <w:color w:val="000000"/>
          <w:sz w:val="20"/>
          <w:lang w:val="en-US" w:eastAsia="en-US" w:bidi="ar-SA"/>
        </w:rPr>
        <w:t xml:space="preserve"> at paras. 43-44).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my view, the benefits and detriments pleaded by the plaintiff do not give rise to a "straightforward economic approach" to unjust enrichment and do not therefore properly form the basis of this claim. More importantly, given my findings that the defendants' acted pursuant to their common law property rights and that the doctrine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inapplicable to the circumstances of this case, even if the elements of benefit and detriment were made out, I consider that the defendants have established a juristic reason to deny recovery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Accordingly, the plaintiff's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DEFAMATION ACTION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defamation action brought by the Dhadwals is based on a display that Ms. Soames constructed, adjacent to the back lane of her property, with the accedence or agreement of Mr. Demenuk.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display consisted of several signs that were either carried by or stenciled onto the clothing of a number of animal figures. The display, Ms. Soames accepted, was approximately 7 feet wide and perhaps 5 feet high. Its three main figures consisted of a monkey, an elephant and a lion. These three figures are each upright, are each clothed and are each between 3 feet and 5 feet tall. There are also numerous smaller animal figures which also carry signs of various sizes.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display and signs are generally oriented towards the back lane. That lane is used extensively by persons who live in the neighbourhood. Because the signs are of varying size, it is not clear if all of the signs could be seen by a person who walked down the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animal figures and signs were generally put in place in June 2011. In September, after several months, Ms. Dhadwal complained to the RCMP. The RCMP investigated and was concerned by the content of some of the signs. In particular there was a concern that some of the signage offended section 319 (1)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That provision deals with the public incitement of hatred. The RCMP ultimately concluded, after input from Crown Counsel, that it would be inappropriate to file charges against the defendants by counterclaim. After speaking to Constable Scott of the RCMP, Ms. Soames removed the display. She thereafter replaced a portion of it and filed a public complaint against Constable Scott.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Dhadwals rely, in their pleadings, on the following specific statements or signage in support of their claim:</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"Down with owner builder"</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Canada!! Not India" Respect It !!"</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people are alive simply because It's against the law to kill them"</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Particulars of two signs displayed next to a dummy of an elephant are as follows: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"Butchers. 3 old Growth Trees. Totally ignorant!, ! Ordered to remove the trees ... unfair and unjust! The People who caused this Deceitful and Dispicable. Having to to Live Next Door to us now... (minimum 1 year) "Absolutely priceless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"Low Lifes"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Ms. Dhadwal testified, and I accept, that Ms. Soames would also speak to people who stopped to look at the display and would point toward the Dhadwal property when speaking to these people. Furthermore, Ms. Soames kept a guestbook in which she had people write their comments. Most of these comments pertained to the trees that had been cut down. Some did not. Among this latter group of comments are found, for example, the following:</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all the best with your adventure with your new friends next door!"</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I hope that other trees are not torn down to build a palace for foreigners!!"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the conversations we've had about the trees! And those neighbours... OMG!!"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Ms. Dhadwal was born in South Africa, moved to England and immigrated with Mr. Dhadwal to Canada more than 30 years ago. Mr. Dhadwal was born in India, and first moved to England before coming to Canada. They have two daughters who were born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Both Mr. and Mrs. Dhadwal are slightly darker skinned. Both speak perfect English but speak with a diction and lilt often associated with persons of East Indian origin. Ms. Dhadwal often wears a sari.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tort of defamation has three requirements; </w:t>
      </w:r>
      <w:r>
        <w:rPr>
          <w:rFonts w:ascii="arial" w:eastAsia="arial" w:hAnsi="arial" w:cs="arial"/>
          <w:i/>
          <w:color w:val="000000"/>
          <w:sz w:val="20"/>
          <w:lang w:val="en-US" w:eastAsia="en-US" w:bidi="ar-SA"/>
        </w:rPr>
        <w:t>Grant v. Torstar,</w:t>
      </w:r>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shd w:val="clear" w:color="auto" w:fill="FFFFFF"/>
            <w:lang w:val="en-US" w:eastAsia="en-US" w:bidi="ar-SA"/>
          </w:rPr>
          <w:t>2009 SCC 61</w:t>
        </w:r>
      </w:hyperlink>
      <w:r>
        <w:rPr>
          <w:rFonts w:ascii="arial" w:eastAsia="arial" w:hAnsi="arial" w:cs="arial"/>
          <w:color w:val="000000"/>
          <w:sz w:val="20"/>
          <w:lang w:val="en-US" w:eastAsia="en-US" w:bidi="ar-SA"/>
        </w:rPr>
        <w:t xml:space="preserve"> at para. 28:</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words spoken must be defamatory. What constitutes a defamatory communication was described by Justice Abella in </w:t>
      </w:r>
      <w:r>
        <w:rPr>
          <w:rFonts w:ascii="arial" w:eastAsia="arial" w:hAnsi="arial" w:cs="arial"/>
          <w:i/>
          <w:color w:val="000000"/>
          <w:sz w:val="20"/>
          <w:lang w:val="en-US" w:eastAsia="en-US" w:bidi="ar-SA"/>
        </w:rPr>
        <w:t>Color Your World Corp. v. Canadian Broadcasting Corp.</w:t>
      </w:r>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shd w:val="clear" w:color="auto" w:fill="FFFFFF"/>
            <w:lang w:val="en-US" w:eastAsia="en-US" w:bidi="ar-SA"/>
          </w:rPr>
          <w:t>38 O.R. (3d) 97</w:t>
        </w:r>
      </w:hyperlink>
      <w:r>
        <w:rPr>
          <w:rFonts w:ascii="arial" w:eastAsia="arial" w:hAnsi="arial" w:cs="arial"/>
          <w:color w:val="000000"/>
          <w:sz w:val="20"/>
          <w:lang w:val="en-US" w:eastAsia="en-US" w:bidi="ar-SA"/>
        </w:rPr>
        <w:t xml:space="preserve"> at 106, </w:t>
      </w:r>
      <w:hyperlink r:id="rId501" w:history="1">
        <w:r>
          <w:rPr>
            <w:rFonts w:ascii="arial" w:eastAsia="arial" w:hAnsi="arial" w:cs="arial"/>
            <w:i/>
            <w:color w:val="0077CC"/>
            <w:sz w:val="20"/>
            <w:u w:val="single"/>
            <w:shd w:val="clear" w:color="auto" w:fill="FFFFFF"/>
            <w:lang w:val="en-US" w:eastAsia="en-US" w:bidi="ar-SA"/>
          </w:rPr>
          <w:t>[1998] O.J. No. 510</w:t>
        </w:r>
      </w:hyperlink>
      <w:r>
        <w:rPr>
          <w:rFonts w:ascii="arial" w:eastAsia="arial" w:hAnsi="arial" w:cs="arial"/>
          <w:color w:val="000000"/>
          <w:sz w:val="20"/>
          <w:lang w:val="en-US" w:eastAsia="en-US" w:bidi="ar-SA"/>
        </w:rPr>
        <w:t xml:space="preserve"> (C.A.), leave to appeal to SCC dismissed </w:t>
      </w:r>
      <w:hyperlink r:id="rId502" w:history="1">
        <w:r>
          <w:rPr>
            <w:rFonts w:ascii="arial" w:eastAsia="arial" w:hAnsi="arial" w:cs="arial"/>
            <w:i/>
            <w:color w:val="0077CC"/>
            <w:sz w:val="20"/>
            <w:u w:val="single"/>
            <w:shd w:val="clear" w:color="auto" w:fill="FFFFFF"/>
            <w:lang w:val="en-US" w:eastAsia="en-US" w:bidi="ar-SA"/>
          </w:rPr>
          <w:t>[1998] S.C.C.A. No. 170</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take as my starting point the following definition of defamation: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 defamatory statement is one which has a tendency to injure the reputation of the person to whom it refers; which tends, that is to say, to lower him [or her] in the estimation of right-thinking members of society generally and in particular to cause him [or her] to be regarded with feelings of hatred, contempt, ridicule, fear, dislike, or disesteem. The statement is judged by the standard of an ordinary, right-thinking member of society. Hence the test is an objective one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standard of what constitutes a reasonable or ordinary member of the public is difficult to articulate. It should not be so low as to stifle free expression unduly, nor so high as to imperil the ability to protect the integrity of a person's reputation. The impressions about the content of any broadcast -- or written statement -- should be assessed from the perspective of someone reasonable, that is, a person who is reasonably thoughtful and informed, rather than someone who is with an overly fragile sensibility. A degree of common sense must be attributed to viewers.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the written submissions of counsel for the defendants by counterclaim accept that the words identified in the pleadings filed by the Dhadwals are defamatory.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must be "pleaded and proved that the defamatory statement was spoken "of and concerning the plaintiff""; Allen M. Linden &amp; Bruce Feldthusen,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xml:space="preserve"> 9th ed. (LexisNexis Canada: 2011) at p.765. Simply put, the plaintiff must establish that the reference would reasonably be understood to have been made about the plaintiff. The written submissions of counsel for the defendants by counterclaim also concede that this requirement has been established.</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defamatory remark must be communicated or "published" to a third-party for it to be actionable. It is on this last point that the defendants by counterclaim focus. They argue that some of the signs placed within the display were too small to be seen. This would include, for example, the sign which says "This is Canada! Not India. Respect It !!" and the sign which says "Low Lifes".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am prepared to accept that this is so. This conclusion does not assist Ms. Soames or Mr. Demenuk. The remaining signs, which described Mr. and Mrs. Dhadwal as "Butchers" or as "Ignorant", or as "Deceitful", or as "Dispicable"(sic) are all defamatory. They are each communications or descriptions which would tend to lower an individual in the estimation of right-thinking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Having established each of the foregoing requirements on the balance of probabilities, "falsity and damage are presumed .... The plaintiff is not required to show that the defendant intended to do harm, or even that the defendant was careless. The tort is one of strict liability"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Furthermore, having proved the required elements "the onus then shifts to the defendant to advance a defence in order to escape liability"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defendants by counterclaim do not rely on the defence of justification. Instead they assert, though they pleaded neither of these matters, that each of the defences of qualified privilege and of fair comment is available to them. I do not accept that these defences are available to Ms. Soames or Mr. Demenuk.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factual underpinning advanced by Ms. Soames for each of these defences is the same. She testified that her object in constructing the display was to bring attention to the problems that arose from the existing municipal tree cutting bylaw, "... to get the information out that this was happening all over Coquitlam" and "to get the information out to the public". Ms. Soames emphasized that she did not construct the display to be "mean or malicious". She said she had built other displays in the past, for example when the Winter Olympics were on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Each of the defences of qualified privilege and of fair comment has various constituent requirements. I do not propose to deal with each of these various elements because I do not consider that either defence is available to the defendants by counterclaim for two core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First, I do not accept, as a fact, Ms. Soames was motivated by any "sense of duty", by a need to educate the public, or indeed by any object that would engage these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earlier referred to aspects of Ms. Soames' evidence that were not forthright in that portion of her evidence that advanced the plaintiff's case. She gave similarly implausible evidence when addressing the Dhadwals' defamation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She said, for example, that she did not know that the Dhadwals were East Indian. She conceded she had, on the day the trees were cut, called Mr. and Mrs. Dhadwal "fucking Hindus". Furthermore, one of the signs she constructed said "This is Canada. Not India". When faced with this evidence, both Ms. Soames and Mr. Demenuk responded in like fashion. Each maintained that they did not know that the Dhadwals were East Indian and each argued that they might have been "from Sri Lanka". I consider this evidence to be nonsense. There is little reason for a court to have confidence in the evidence of individuals whose testimony is so patently disingenuous.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place the suggestion that Ms. Soames built her display to advance some public or laudable object in the same category. It is not believable when one looks at the display and the signage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This finding is directly related to the second issue I alluded to. Both the defences of qualified privilege and of fair comment are vitiated by a finding of malice. In </w:t>
      </w:r>
      <w:r>
        <w:rPr>
          <w:rFonts w:ascii="arial" w:eastAsia="arial" w:hAnsi="arial" w:cs="arial"/>
          <w:i/>
          <w:color w:val="000000"/>
          <w:sz w:val="20"/>
          <w:lang w:val="en-US" w:eastAsia="en-US" w:bidi="ar-SA"/>
        </w:rPr>
        <w:t>Smith v. Cross,</w:t>
      </w:r>
      <w:r>
        <w:rPr>
          <w:rFonts w:ascii="arial" w:eastAsia="arial" w:hAnsi="arial" w:cs="arial"/>
          <w:color w:val="000000"/>
          <w:sz w:val="20"/>
          <w:lang w:val="en-US" w:eastAsia="en-US" w:bidi="ar-SA"/>
        </w:rPr>
        <w:t xml:space="preserve"> </w:t>
      </w:r>
      <w:hyperlink r:id="rId503" w:history="1">
        <w:r>
          <w:rPr>
            <w:rFonts w:ascii="arial" w:eastAsia="arial" w:hAnsi="arial" w:cs="arial"/>
            <w:i/>
            <w:color w:val="0077CC"/>
            <w:sz w:val="20"/>
            <w:u w:val="single"/>
            <w:shd w:val="clear" w:color="auto" w:fill="FFFFFF"/>
            <w:lang w:val="en-US" w:eastAsia="en-US" w:bidi="ar-SA"/>
          </w:rPr>
          <w:t>2009 BCCA 529</w:t>
        </w:r>
      </w:hyperlink>
      <w:r>
        <w:rPr>
          <w:rFonts w:ascii="arial" w:eastAsia="arial" w:hAnsi="arial" w:cs="arial"/>
          <w:color w:val="000000"/>
          <w:sz w:val="20"/>
          <w:lang w:val="en-US" w:eastAsia="en-US" w:bidi="ar-SA"/>
        </w:rPr>
        <w:t xml:space="preserve"> ,Madam Justice Kirkpatrick, for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The defence of fair comment is also defeated by malice, and malice "for the purpose of defeating the defence of qualified privilege is the same as malice for the purpose of defeating the defence of fair comment." (</w:t>
      </w:r>
      <w:r>
        <w:rPr>
          <w:rFonts w:ascii="arial" w:eastAsia="arial" w:hAnsi="arial" w:cs="arial"/>
          <w:i/>
          <w:color w:val="000000"/>
          <w:sz w:val="20"/>
          <w:lang w:val="en-US" w:eastAsia="en-US" w:bidi="ar-SA"/>
        </w:rPr>
        <w:t>Creative Salmon Company Ltd. v. Staniford</w:t>
      </w:r>
      <w:r>
        <w:rPr>
          <w:rFonts w:ascii="arial" w:eastAsia="arial" w:hAnsi="arial" w:cs="arial"/>
          <w:color w:val="000000"/>
          <w:sz w:val="20"/>
          <w:lang w:val="en-US" w:eastAsia="en-US" w:bidi="ar-SA"/>
        </w:rPr>
        <w:t xml:space="preserve">, </w:t>
      </w:r>
      <w:hyperlink r:id="rId504" w:history="1">
        <w:r>
          <w:rPr>
            <w:rFonts w:ascii="arial" w:eastAsia="arial" w:hAnsi="arial" w:cs="arial"/>
            <w:i/>
            <w:color w:val="0077CC"/>
            <w:sz w:val="20"/>
            <w:u w:val="single"/>
            <w:shd w:val="clear" w:color="auto" w:fill="FFFFFF"/>
            <w:lang w:val="en-US" w:eastAsia="en-US" w:bidi="ar-SA"/>
          </w:rPr>
          <w:t>2009 BCCA 61</w:t>
        </w:r>
      </w:hyperlink>
      <w:r>
        <w:rPr>
          <w:rFonts w:ascii="arial" w:eastAsia="arial" w:hAnsi="arial" w:cs="arial"/>
          <w:color w:val="000000"/>
          <w:sz w:val="20"/>
          <w:lang w:val="en-US" w:eastAsia="en-US" w:bidi="ar-SA"/>
        </w:rPr>
        <w:t xml:space="preserve">, </w:t>
      </w:r>
      <w:hyperlink r:id="rId504" w:history="1">
        <w:r>
          <w:rPr>
            <w:rFonts w:ascii="arial" w:eastAsia="arial" w:hAnsi="arial" w:cs="arial"/>
            <w:i/>
            <w:color w:val="0077CC"/>
            <w:sz w:val="20"/>
            <w:u w:val="single"/>
            <w:shd w:val="clear" w:color="auto" w:fill="FFFFFF"/>
            <w:lang w:val="en-US" w:eastAsia="en-US" w:bidi="ar-SA"/>
          </w:rPr>
          <w:t>307 D.L.R. (4th) 518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Creative Salmon</w:t>
      </w:r>
      <w:r>
        <w:rPr>
          <w:rFonts w:ascii="arial" w:eastAsia="arial" w:hAnsi="arial" w:cs="arial"/>
          <w:color w:val="000000"/>
          <w:sz w:val="20"/>
          <w:lang w:val="en-US" w:eastAsia="en-US" w:bidi="ar-SA"/>
        </w:rPr>
        <w:t>] at para.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The term "malice" is more expansive than the everyday meaning of a desire to harm another. Brown at 16.3(2) suggests the alternate language of "bad faith". This Court summarized the definition in </w:t>
      </w:r>
      <w:r>
        <w:rPr>
          <w:rFonts w:ascii="arial" w:eastAsia="arial" w:hAnsi="arial" w:cs="arial"/>
          <w:i/>
          <w:color w:val="000000"/>
          <w:sz w:val="20"/>
          <w:lang w:val="en-US" w:eastAsia="en-US" w:bidi="ar-SA"/>
        </w:rPr>
        <w:t>Creative Salmon</w:t>
      </w:r>
      <w:r>
        <w:rPr>
          <w:rFonts w:ascii="arial" w:eastAsia="arial" w:hAnsi="arial" w:cs="arial"/>
          <w:color w:val="000000"/>
          <w:sz w:val="20"/>
          <w:lang w:val="en-US" w:eastAsia="en-US" w:bidi="ar-SA"/>
        </w:rPr>
        <w:t xml:space="preserve"> at para. 37: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Botiuk</w:t>
      </w:r>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[1995] 3 S.C.R. 3</w:t>
        </w:r>
      </w:hyperlink>
      <w:r>
        <w:rPr>
          <w:rFonts w:ascii="arial" w:eastAsia="arial" w:hAnsi="arial" w:cs="arial"/>
          <w:color w:val="000000"/>
          <w:sz w:val="20"/>
          <w:lang w:val="en-US" w:eastAsia="en-US" w:bidi="ar-SA"/>
        </w:rPr>
        <w:t xml:space="preserve">, at para. 79, malice was defined to include "ill will" and "any indirect motive which conflicts with the sense of duty created by the occasion [in the case of qualified privilege]". The definition of malice stated by Mr. Justice Dickson in </w:t>
      </w:r>
      <w:r>
        <w:rPr>
          <w:rFonts w:ascii="arial" w:eastAsia="arial" w:hAnsi="arial" w:cs="arial"/>
          <w:i/>
          <w:color w:val="000000"/>
          <w:sz w:val="20"/>
          <w:lang w:val="en-US" w:eastAsia="en-US" w:bidi="ar-SA"/>
        </w:rPr>
        <w:t>Cherneskey</w:t>
      </w:r>
      <w:r>
        <w:rPr>
          <w:rFonts w:ascii="arial" w:eastAsia="arial" w:hAnsi="arial" w:cs="arial"/>
          <w:color w:val="000000"/>
          <w:sz w:val="20"/>
          <w:lang w:val="en-US" w:eastAsia="en-US" w:bidi="ar-SA"/>
        </w:rPr>
        <w:t xml:space="preserve">, </w:t>
      </w:r>
      <w:hyperlink r:id="rId506" w:history="1">
        <w:r>
          <w:rPr>
            <w:rFonts w:ascii="arial" w:eastAsia="arial" w:hAnsi="arial" w:cs="arial"/>
            <w:i/>
            <w:color w:val="0077CC"/>
            <w:sz w:val="20"/>
            <w:u w:val="single"/>
            <w:shd w:val="clear" w:color="auto" w:fill="FFFFFF"/>
            <w:lang w:val="en-US" w:eastAsia="en-US" w:bidi="ar-SA"/>
          </w:rPr>
          <w:t>[1979] 1 S.C.R. 1067</w:t>
        </w:r>
      </w:hyperlink>
      <w:r>
        <w:rPr>
          <w:rFonts w:ascii="arial" w:eastAsia="arial" w:hAnsi="arial" w:cs="arial"/>
          <w:color w:val="000000"/>
          <w:sz w:val="20"/>
          <w:lang w:val="en-US" w:eastAsia="en-US" w:bidi="ar-SA"/>
        </w:rPr>
        <w:t xml:space="preserve">, at 1099, and adopted by Mr. Justice LeBel in </w:t>
      </w:r>
      <w:r>
        <w:rPr>
          <w:rFonts w:ascii="arial" w:eastAsia="arial" w:hAnsi="arial" w:cs="arial"/>
          <w:i/>
          <w:color w:val="000000"/>
          <w:sz w:val="20"/>
          <w:lang w:val="en-US" w:eastAsia="en-US" w:bidi="ar-SA"/>
        </w:rPr>
        <w:t>WIC Radio</w:t>
      </w:r>
      <w:r>
        <w:rPr>
          <w:rFonts w:ascii="arial" w:eastAsia="arial" w:hAnsi="arial" w:cs="arial"/>
          <w:color w:val="000000"/>
          <w:sz w:val="20"/>
          <w:lang w:val="en-US" w:eastAsia="en-US" w:bidi="ar-SA"/>
        </w:rPr>
        <w:t xml:space="preserve">, </w:t>
      </w:r>
      <w:hyperlink r:id="rId507" w:history="1">
        <w:r>
          <w:rPr>
            <w:rFonts w:ascii="arial" w:eastAsia="arial" w:hAnsi="arial" w:cs="arial"/>
            <w:i/>
            <w:color w:val="0077CC"/>
            <w:sz w:val="20"/>
            <w:u w:val="single"/>
            <w:shd w:val="clear" w:color="auto" w:fill="FFFFFF"/>
            <w:lang w:val="en-US" w:eastAsia="en-US" w:bidi="ar-SA"/>
          </w:rPr>
          <w:t>[2008] 2 S.C.R. 420</w:t>
        </w:r>
      </w:hyperlink>
      <w:r>
        <w:rPr>
          <w:rFonts w:ascii="arial" w:eastAsia="arial" w:hAnsi="arial" w:cs="arial"/>
          <w:color w:val="000000"/>
          <w:sz w:val="20"/>
          <w:lang w:val="en-US" w:eastAsia="en-US" w:bidi="ar-SA"/>
        </w:rPr>
        <w:t>, at para. 102, includes "spite or ill will" and "any indirect motive or ulterior 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Supreme Court of Canada summarized the law of malice and qualified privilege in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126 D.L.R. (4th) 129</w:t>
        </w:r>
      </w:hyperlink>
      <w:r>
        <w:rPr>
          <w:rFonts w:ascii="arial" w:eastAsia="arial" w:hAnsi="arial" w:cs="arial"/>
          <w:color w:val="000000"/>
          <w:sz w:val="20"/>
          <w:lang w:val="en-US" w:eastAsia="en-US" w:bidi="ar-SA"/>
        </w:rPr>
        <w:t xml:space="preserve"> at para. 145: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Malice is commonly understood, in the popular sense, as spite or ill-will. However, it also includes, as Dickson J. (as he then was) pointed out in dissent in </w:t>
      </w:r>
      <w:r>
        <w:rPr>
          <w:rFonts w:ascii="arial" w:eastAsia="arial" w:hAnsi="arial" w:cs="arial"/>
          <w:i/>
          <w:color w:val="000000"/>
          <w:sz w:val="20"/>
          <w:lang w:val="en-US" w:eastAsia="en-US" w:bidi="ar-SA"/>
        </w:rPr>
        <w:t>Cherneskey, supra</w:t>
      </w:r>
      <w:r>
        <w:rPr>
          <w:rFonts w:ascii="arial" w:eastAsia="arial" w:hAnsi="arial" w:cs="arial"/>
          <w:color w:val="000000"/>
          <w:sz w:val="20"/>
          <w:lang w:val="en-US" w:eastAsia="en-US" w:bidi="ar-SA"/>
        </w:rPr>
        <w:t xml:space="preserve">, at p. 1099, "any indirect motive or ulterior purpose" that conflicts with the sense of duty or the mutual interest which the occasion created. See, also, </w:t>
      </w:r>
      <w:r>
        <w:rPr>
          <w:rFonts w:ascii="arial" w:eastAsia="arial" w:hAnsi="arial" w:cs="arial"/>
          <w:i/>
          <w:color w:val="000000"/>
          <w:sz w:val="20"/>
          <w:lang w:val="en-US" w:eastAsia="en-US" w:bidi="ar-SA"/>
        </w:rPr>
        <w:t>Taylor v. Despard</w:t>
      </w:r>
      <w:r>
        <w:rPr>
          <w:rFonts w:ascii="arial" w:eastAsia="arial" w:hAnsi="arial" w:cs="arial"/>
          <w:color w:val="000000"/>
          <w:sz w:val="20"/>
          <w:lang w:val="en-US" w:eastAsia="en-US" w:bidi="ar-SA"/>
        </w:rPr>
        <w:t xml:space="preserve">, [1956] O.R. 963 (C.A.). Malice may also be established by showing that the defendant spoke dishonestly, or in knowing or reckless disregard for the truth. See </w:t>
      </w:r>
      <w:r>
        <w:rPr>
          <w:rFonts w:ascii="arial" w:eastAsia="arial" w:hAnsi="arial" w:cs="arial"/>
          <w:i/>
          <w:color w:val="000000"/>
          <w:sz w:val="20"/>
          <w:lang w:val="en-US" w:eastAsia="en-US" w:bidi="ar-SA"/>
        </w:rPr>
        <w:t xml:space="preserve">McLoughlin, </w:t>
      </w:r>
      <w:hyperlink r:id="rId508" w:history="1">
        <w:r>
          <w:rPr>
            <w:rFonts w:ascii="arial" w:eastAsia="arial" w:hAnsi="arial" w:cs="arial"/>
            <w:i/>
            <w:color w:val="0077CC"/>
            <w:sz w:val="20"/>
            <w:u w:val="single"/>
            <w:shd w:val="clear" w:color="auto" w:fill="FFFFFF"/>
            <w:lang w:val="en-US" w:eastAsia="en-US" w:bidi="ar-SA"/>
          </w:rPr>
          <w:t>[1979] 2 S.C.R. 311</w:t>
        </w:r>
      </w:hyperlink>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at pp. 323-24, and </w:t>
      </w:r>
      <w:r>
        <w:rPr>
          <w:rFonts w:ascii="arial" w:eastAsia="arial" w:hAnsi="arial" w:cs="arial"/>
          <w:i/>
          <w:color w:val="000000"/>
          <w:sz w:val="20"/>
          <w:lang w:val="en-US" w:eastAsia="en-US" w:bidi="ar-SA"/>
        </w:rPr>
        <w:t>Netupsky v. Craig</w:t>
      </w:r>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[1973] S.C.R. 55</w:t>
        </w:r>
      </w:hyperlink>
      <w:r>
        <w:rPr>
          <w:rFonts w:ascii="arial" w:eastAsia="arial" w:hAnsi="arial" w:cs="arial"/>
          <w:color w:val="000000"/>
          <w:sz w:val="20"/>
          <w:lang w:val="en-US" w:eastAsia="en-US" w:bidi="ar-SA"/>
        </w:rPr>
        <w:t>, at pp. 61-62.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In </w:t>
      </w:r>
      <w:r>
        <w:rPr>
          <w:rFonts w:ascii="arial" w:eastAsia="arial" w:hAnsi="arial" w:cs="arial"/>
          <w:i/>
          <w:color w:val="000000"/>
          <w:sz w:val="20"/>
          <w:lang w:val="en-US" w:eastAsia="en-US" w:bidi="ar-SA"/>
        </w:rPr>
        <w:t>Canadian Libel and Slander Actions</w:t>
      </w:r>
      <w:r>
        <w:rPr>
          <w:rFonts w:ascii="arial" w:eastAsia="arial" w:hAnsi="arial" w:cs="arial"/>
          <w:color w:val="000000"/>
          <w:sz w:val="20"/>
          <w:lang w:val="en-US" w:eastAsia="en-US" w:bidi="ar-SA"/>
        </w:rPr>
        <w:t xml:space="preserve"> (Toronto: Irwin Law, 2004) at 299, R.D. McConchie and D.A. Potts reduce this statement to a helpful framework for the categories under which a finding of malice can be made. A defendant is actuated by malice if he or she publishes the comment: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Knowing it was false; </w:t>
      </w:r>
      <w:r>
        <w:rPr>
          <w:rFonts w:ascii="arial" w:eastAsia="arial" w:hAnsi="arial" w:cs="arial"/>
          <w:i/>
          <w:color w:val="000000"/>
          <w:sz w:val="20"/>
          <w:lang w:val="en-US" w:eastAsia="en-US" w:bidi="ar-SA"/>
        </w:rPr>
        <w:t>or</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reckless indifference whether it is true or false; </w:t>
      </w:r>
      <w:r>
        <w:rPr>
          <w:rFonts w:ascii="arial" w:eastAsia="arial" w:hAnsi="arial" w:cs="arial"/>
          <w:i/>
          <w:color w:val="000000"/>
          <w:sz w:val="20"/>
          <w:lang w:val="en-US" w:eastAsia="en-US" w:bidi="ar-SA"/>
        </w:rPr>
        <w:t>or</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the dominant purpose of injuring the plaintiff because of spite or animosity; </w:t>
      </w:r>
      <w:r>
        <w:rPr>
          <w:rFonts w:ascii="arial" w:eastAsia="arial" w:hAnsi="arial" w:cs="arial"/>
          <w:i/>
          <w:color w:val="000000"/>
          <w:sz w:val="20"/>
          <w:lang w:val="en-US" w:eastAsia="en-US" w:bidi="ar-SA"/>
        </w:rPr>
        <w:t>or</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some other dominant purpose which is improper or indirect, or also, if the occasion is privileged, for a dominant purpose not related to the occasion.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 than one finding can be present in a given case (McConchie and Potts at 299).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Counsel for Ms. Soames argued that her use of the words "ignorant" and "deceitful" were based on her honest and non-reckless belief that those adjectives properly described the Dhadwals. Thus, by way of example, she had the honest belief that the Dhadwals were "ignorant" because they covered a portion of the fencing around the excavation of their home with plastic. She apparently believed that they did this to hide what they were doing. She said that the Dhadwals misled her in several respects and consequently they were "deceitful". I observe, again, that no plea of justification is advanced. Instead, these submissions were directed to establishing that Ms. Soames was not being reckless when describing the Dhadwals.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 do not accept this. This is partly because, in the main, I accept the Dhadwals' evidence of what transpired in the various discussions they had with the defendants by counterclaim. More importantly, Ms. Soames' commentary went beyond "ignorant" and "deceitful". It extended to "despicable", a word defined in </w:t>
      </w:r>
      <w:r>
        <w:rPr>
          <w:rFonts w:ascii="arial" w:eastAsia="arial" w:hAnsi="arial" w:cs="arial"/>
          <w:i/>
          <w:color w:val="000000"/>
          <w:sz w:val="20"/>
          <w:lang w:val="en-US" w:eastAsia="en-US" w:bidi="ar-SA"/>
        </w:rPr>
        <w:t>The Concise Oxford English Dictionary</w:t>
      </w:r>
      <w:r>
        <w:rPr>
          <w:rFonts w:ascii="arial" w:eastAsia="arial" w:hAnsi="arial" w:cs="arial"/>
          <w:color w:val="000000"/>
          <w:sz w:val="20"/>
          <w:lang w:val="en-US" w:eastAsia="en-US" w:bidi="ar-SA"/>
        </w:rPr>
        <w:t>, 11th ed., as "deserving hatred and contempt". These various adjectives were also attended by the message that "some people are simply alive because it's against the law to kill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addition, what constitutes malice extends beyond comments made with reckless indifference to the truth. It includes statements made with an indirect motive or an ulterior purpose. Though the racial comments included in Ms. Soames' display or the comment "low lifes" may have been too small to be visible and consequently to have been published for the purposes of the defamation, I consider that their inclusion in the display informs an assessment of Ms. Soames' true motives or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am satisfied that Ms. Soames' object in publishing the defamatory comments I have referred to went beyond both "incidental gratification of personal feelings" and dislike. I understand that over time the parties, and in particular Ms. Soames and Mrs. Dhadwal, had come to dislike each other. I find, however, that Ms. Soames' dominant object was mean-spirited, spiteful and directed at the Dhadwals.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Dhadwals argued that Mr. Demenuk is jointly and severally liable with Ms. Soames. Counsel for Mr. Demenuk argued, and I accept, that Mr. Demenuk had no direct involvement in the creation of the display. He did not choose the figures, dress them or create any of the signage associated with the display.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extent to which he encouraged or openly supported Ms. Soames in her efforts is not clear though there is no evidence that he took any steps to deter her. Each gave evidence that they did not discuss the display with each other, an assertion that is hard to accept. At her examination for discovery and at trial Ms. Soames admitted that after her discussions with the police Mr. Demenuk complimented her on the display. Mr. Demenuk did not expressly deny this though he denied using the particular words "good one" that Ms. Soames had ascribed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Both counsel, in addressing the liability of Mr. Demenuk, rely on </w:t>
      </w:r>
      <w:r>
        <w:rPr>
          <w:rFonts w:ascii="arial" w:eastAsia="arial" w:hAnsi="arial" w:cs="arial"/>
          <w:i/>
          <w:color w:val="000000"/>
          <w:sz w:val="20"/>
          <w:lang w:val="en-US" w:eastAsia="en-US" w:bidi="ar-SA"/>
        </w:rPr>
        <w:t>Crookes v. Newton,</w:t>
      </w:r>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2011 SCC 47</w:t>
        </w:r>
      </w:hyperlink>
      <w:r>
        <w:rPr>
          <w:rFonts w:ascii="arial" w:eastAsia="arial" w:hAnsi="arial" w:cs="arial"/>
          <w:color w:val="000000"/>
          <w:sz w:val="20"/>
          <w:lang w:val="en-US" w:eastAsia="en-US" w:bidi="ar-SA"/>
        </w:rPr>
        <w:t>. This is a case where the plaintiff sued the defendant for creating hyperlinks on the Internet that led to material that was defamatory. The majority of the court considered that this act did not give rise to a publication and focused on the fact that a hyperlink on the Internet was different from other forms of publication. Thus, hyperlinks communicate "that something exists, but do not, by themselves, communicate its content",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Dhadwals emphasized those paragraphs of the judgment where Justice Abella, for the majority, addressed both the traditional parameters for publication and the general rule which relates to further dissemination of defamatory material by others: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The publication rule has also captured the following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range of conduct: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defamatory meaning] may be communicated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directly by the defendant orally, or in some written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or printed form, or by way of a symbolic ceremony,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dramatic pantomime, mime, brochure, gesture,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handbill, letter, photograph, placard, poster, sign,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or cartoon. It may be inscribed on a blackboard,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posted on a mirror or a telephone pole, or placed 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wall of a building or the gable wall of the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defendant's property, or on the front of a cheque,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or entered in a database, or accessed on 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downloaded from a website on the internet. It may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appear on an ariel banner flown behind an airplane,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or someone's attention may be drawn by the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 a poster, or a defamatory writing already 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circulation. A third person may be given access 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defamatory material, or defamatory matter may be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left in a place where others can see it, or the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defendant may request others to go to a place where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defamatory information is available to see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read it, or it may be set into motion as a result 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death. In each case there is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publication. [Footnotes omitted.]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[Citation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Defendants obtained some relief from the rule's significant breadth with the development of the "innocent dissemination" defence, which protects "those who play a secondary role in the distribution system, such as news agents, booksellers, and libraries": Allen M. Linden and Bruce Feldthusen,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xml:space="preserve"> (8TH ed. 2006), at pp. 783-84, see also </w:t>
      </w:r>
      <w:r>
        <w:rPr>
          <w:rFonts w:ascii="arial" w:eastAsia="arial" w:hAnsi="arial" w:cs="arial"/>
          <w:i/>
          <w:color w:val="000000"/>
          <w:sz w:val="20"/>
          <w:lang w:val="en-US" w:eastAsia="en-US" w:bidi="ar-SA"/>
        </w:rPr>
        <w:t>Society of Composers, Authors, and Music Publishers of Canada v. Canadian Assn. Of Internet Providers</w:t>
      </w:r>
      <w:r>
        <w:rPr>
          <w:rFonts w:ascii="arial" w:eastAsia="arial" w:hAnsi="arial" w:cs="arial"/>
          <w:color w:val="000000"/>
          <w:sz w:val="20"/>
          <w:lang w:val="en-US" w:eastAsia="en-US" w:bidi="ar-SA"/>
        </w:rPr>
        <w:t xml:space="preserve">, </w:t>
      </w:r>
      <w:hyperlink r:id="rId511" w:history="1">
        <w:r>
          <w:rPr>
            <w:rFonts w:ascii="arial" w:eastAsia="arial" w:hAnsi="arial" w:cs="arial"/>
            <w:i/>
            <w:color w:val="0077CC"/>
            <w:sz w:val="20"/>
            <w:u w:val="single"/>
            <w:shd w:val="clear" w:color="auto" w:fill="FFFFFF"/>
            <w:lang w:val="en-US" w:eastAsia="en-US" w:bidi="ar-SA"/>
          </w:rPr>
          <w:t>2004 SCC 45</w:t>
        </w:r>
      </w:hyperlink>
      <w:r>
        <w:rPr>
          <w:rFonts w:ascii="arial" w:eastAsia="arial" w:hAnsi="arial" w:cs="arial"/>
          <w:color w:val="000000"/>
          <w:sz w:val="20"/>
          <w:lang w:val="en-US" w:eastAsia="en-US" w:bidi="ar-SA"/>
        </w:rPr>
        <w:t xml:space="preserve">, </w:t>
      </w:r>
      <w:hyperlink r:id="rId511" w:history="1">
        <w:r>
          <w:rPr>
            <w:rFonts w:ascii="arial" w:eastAsia="arial" w:hAnsi="arial" w:cs="arial"/>
            <w:i/>
            <w:color w:val="0077CC"/>
            <w:sz w:val="20"/>
            <w:u w:val="single"/>
            <w:shd w:val="clear" w:color="auto" w:fill="FFFFFF"/>
            <w:lang w:val="en-US" w:eastAsia="en-US" w:bidi="ar-SA"/>
          </w:rPr>
          <w:t>[2004] 2 S.C.R. 427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SOCAN</w:t>
      </w:r>
      <w:r>
        <w:rPr>
          <w:rFonts w:ascii="arial" w:eastAsia="arial" w:hAnsi="arial" w:cs="arial"/>
          <w:color w:val="000000"/>
          <w:sz w:val="20"/>
          <w:lang w:val="en-US" w:eastAsia="en-US" w:bidi="ar-SA"/>
        </w:rPr>
        <w:t xml:space="preserve">"), at para 89; Philip H. Osborne,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(4th ed. 2011), at p. 411. Such "subordinate distributors" may escape liability by showing that they "have no actual knowledge of an alleged libel, are aware of no circumstances to put them on notice to suspect a libel, and committed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find out about the libel" (</w:t>
      </w:r>
      <w:r>
        <w:rPr>
          <w:rFonts w:ascii="arial" w:eastAsia="arial" w:hAnsi="arial" w:cs="arial"/>
          <w:i/>
          <w:color w:val="000000"/>
          <w:sz w:val="20"/>
          <w:lang w:val="en-US" w:eastAsia="en-US" w:bidi="ar-SA"/>
        </w:rPr>
        <w:t>SOCAN</w:t>
      </w:r>
      <w:r>
        <w:rPr>
          <w:rFonts w:ascii="arial" w:eastAsia="arial" w:hAnsi="arial" w:cs="arial"/>
          <w:color w:val="000000"/>
          <w:sz w:val="20"/>
          <w:lang w:val="en-US" w:eastAsia="en-US" w:bidi="ar-SA"/>
        </w:rPr>
        <w:t xml:space="preserve">, at para 89; </w:t>
      </w:r>
      <w:r>
        <w:rPr>
          <w:rFonts w:ascii="arial" w:eastAsia="arial" w:hAnsi="arial" w:cs="arial"/>
          <w:i/>
          <w:color w:val="000000"/>
          <w:sz w:val="20"/>
          <w:lang w:val="en-US" w:eastAsia="en-US" w:bidi="ar-SA"/>
        </w:rPr>
        <w:t>Vizetelly v. Mudie's Select Library, Ltd.,</w:t>
      </w:r>
      <w:r>
        <w:rPr>
          <w:rFonts w:ascii="arial" w:eastAsia="arial" w:hAnsi="arial" w:cs="arial"/>
          <w:color w:val="000000"/>
          <w:sz w:val="20"/>
          <w:lang w:val="en-US" w:eastAsia="en-US" w:bidi="ar-SA"/>
        </w:rPr>
        <w:t xml:space="preserve"> [1900] 2 Q.B. 170 (C.A.), at p.180; Brown, at para. 7.12(6)(c); and also </w:t>
      </w:r>
      <w:r>
        <w:rPr>
          <w:rFonts w:ascii="arial" w:eastAsia="arial" w:hAnsi="arial" w:cs="arial"/>
          <w:i/>
          <w:color w:val="000000"/>
          <w:sz w:val="20"/>
          <w:lang w:val="en-US" w:eastAsia="en-US" w:bidi="ar-SA"/>
        </w:rPr>
        <w:t>Sun Life Assurance Co. of Canada v. W.H. Smith and Son Ltd.</w:t>
      </w:r>
      <w:r>
        <w:rPr>
          <w:rFonts w:ascii="arial" w:eastAsia="arial" w:hAnsi="arial" w:cs="arial"/>
          <w:color w:val="000000"/>
          <w:sz w:val="20"/>
          <w:lang w:val="en-US" w:eastAsia="en-US" w:bidi="ar-SA"/>
        </w:rPr>
        <w:t xml:space="preserve"> (1934), 150 L.T. 211 (C.A.), at pp. 212-14).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Both parties also place particular emphasis on the following statement with the defendants by counterclaim emphasizing those particular portions of the judgment that stress the need for some form of positive conduct by a defendant: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Recently, jurisprudence has emerged suggesting that some acts are so passive that they should not be held to be publication. In </w:t>
      </w:r>
      <w:r>
        <w:rPr>
          <w:rFonts w:ascii="arial" w:eastAsia="arial" w:hAnsi="arial" w:cs="arial"/>
          <w:i/>
          <w:color w:val="000000"/>
          <w:sz w:val="20"/>
          <w:lang w:val="en-US" w:eastAsia="en-US" w:bidi="ar-SA"/>
        </w:rPr>
        <w:t>Bunt v. Tilley</w:t>
      </w:r>
      <w:r>
        <w:rPr>
          <w:rFonts w:ascii="arial" w:eastAsia="arial" w:hAnsi="arial" w:cs="arial"/>
          <w:color w:val="000000"/>
          <w:sz w:val="20"/>
          <w:lang w:val="en-US" w:eastAsia="en-US" w:bidi="ar-SA"/>
        </w:rPr>
        <w:t>, [2006] EWHC 407, [2006] 3 All E.R. 336 (Q.B.), considering the potential liability of an Internet service provider, the court held that in order to hold someone liable as a publisher, "[i]t is not enough that a person merely plays a passive instrumental role in the process"; there must be "knowing involvement in the process of publication of</w:t>
      </w:r>
      <w:r>
        <w:rPr>
          <w:rFonts w:ascii="arial" w:eastAsia="arial" w:hAnsi="arial" w:cs="arial"/>
          <w:i/>
          <w:color w:val="000000"/>
          <w:sz w:val="20"/>
          <w:lang w:val="en-US" w:eastAsia="en-US" w:bidi="ar-SA"/>
        </w:rPr>
        <w:t xml:space="preserve"> the relevant words</w:t>
      </w:r>
      <w:r>
        <w:rPr>
          <w:rFonts w:ascii="arial" w:eastAsia="arial" w:hAnsi="arial" w:cs="arial"/>
          <w:color w:val="000000"/>
          <w:sz w:val="20"/>
          <w:lang w:val="en-US" w:eastAsia="en-US" w:bidi="ar-SA"/>
        </w:rPr>
        <w:t xml:space="preserve">" (para. 23 (emphasis in original); see </w:t>
      </w:r>
      <w:r>
        <w:rPr>
          <w:rFonts w:ascii="arial" w:eastAsia="arial" w:hAnsi="arial" w:cs="arial"/>
          <w:i/>
          <w:color w:val="000000"/>
          <w:sz w:val="20"/>
          <w:lang w:val="en-US" w:eastAsia="en-US" w:bidi="ar-SA"/>
        </w:rPr>
        <w:t>also Metropolitan International Schools Ltd. v. Designtechnica Corpn</w:t>
      </w:r>
      <w:r>
        <w:rPr>
          <w:rFonts w:ascii="arial" w:eastAsia="arial" w:hAnsi="arial" w:cs="arial"/>
          <w:color w:val="000000"/>
          <w:sz w:val="20"/>
          <w:lang w:val="en-US" w:eastAsia="en-US" w:bidi="ar-SA"/>
        </w:rPr>
        <w:t>., [2009] EWHC 1765, [2011] 1 W.L.R. 1743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conceptual framework of the discussion in </w:t>
      </w:r>
      <w:r>
        <w:rPr>
          <w:rFonts w:ascii="arial" w:eastAsia="arial" w:hAnsi="arial" w:cs="arial"/>
          <w:i/>
          <w:color w:val="000000"/>
          <w:sz w:val="20"/>
          <w:lang w:val="en-US" w:eastAsia="en-US" w:bidi="ar-SA"/>
        </w:rPr>
        <w:t>Crookes</w:t>
      </w:r>
      <w:r>
        <w:rPr>
          <w:rFonts w:ascii="arial" w:eastAsia="arial" w:hAnsi="arial" w:cs="arial"/>
          <w:color w:val="000000"/>
          <w:sz w:val="20"/>
          <w:lang w:val="en-US" w:eastAsia="en-US" w:bidi="ar-SA"/>
        </w:rPr>
        <w:t xml:space="preserve"> is not quite apposite. The present case is not concerned with a republication and with whether the nature of that republication can fairly be described as an innocent dissemination. Instead this case addresses the status of a party, here a landowner, who provides the medium through which the initial publication is effected.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Linden and Feldthusen, at p. 776, the authors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regard, some element of fault is required. If defendants intend that someone should hear the defamatory statements, therefore, there will be liability. However, if they did not intend a publication and they could not, by the exercise of reasonable care, have avoided it, they will be exonerated. In fact, this duty of care aspect may even go so far as to impose a positive obligation on a defendant, who is aware of publication of defamatory matter, and who has the power to remove it, to do so, or be held responsible as a publisher thereof.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Such situations appear to have occurred infrequently. In</w:t>
      </w:r>
      <w:r>
        <w:rPr>
          <w:rFonts w:ascii="arial" w:eastAsia="arial" w:hAnsi="arial" w:cs="arial"/>
          <w:i/>
          <w:color w:val="000000"/>
          <w:sz w:val="20"/>
          <w:lang w:val="en-US" w:eastAsia="en-US" w:bidi="ar-SA"/>
        </w:rPr>
        <w:t xml:space="preserve"> Byrne v. Deane,</w:t>
      </w:r>
      <w:r>
        <w:rPr>
          <w:rFonts w:ascii="arial" w:eastAsia="arial" w:hAnsi="arial" w:cs="arial"/>
          <w:color w:val="000000"/>
          <w:sz w:val="20"/>
          <w:lang w:val="en-US" w:eastAsia="en-US" w:bidi="ar-SA"/>
        </w:rPr>
        <w:t xml:space="preserve"> [1937] 1 KB 818 (C.A.), however, the court addressed very similar circumstances. In </w:t>
      </w:r>
      <w:r>
        <w:rPr>
          <w:rFonts w:ascii="arial" w:eastAsia="arial" w:hAnsi="arial" w:cs="arial"/>
          <w:i/>
          <w:color w:val="000000"/>
          <w:sz w:val="20"/>
          <w:lang w:val="en-US" w:eastAsia="en-US" w:bidi="ar-SA"/>
        </w:rPr>
        <w:t>Byrne</w:t>
      </w:r>
      <w:r>
        <w:rPr>
          <w:rFonts w:ascii="arial" w:eastAsia="arial" w:hAnsi="arial" w:cs="arial"/>
          <w:color w:val="000000"/>
          <w:sz w:val="20"/>
          <w:lang w:val="en-US" w:eastAsia="en-US" w:bidi="ar-SA"/>
        </w:rPr>
        <w:t xml:space="preserve"> a defamatory notice was posted on the wall of a club. The initial placement of the notice on the wall constituted a trespass. The owners of the club took no steps to remove the notice. A majority of the Court of Appeal concluded that the proprietors of the club had participated in the publication and said at p. 829-830: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allowing [the defamatory statement] ... to rest upon their wall and to not remove it, with the knowledge that they must have had that by not removing it it would be read by people to whom it would convey such meaning as it had, were taking part in the publication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Greene L.J, in separate concurring reasons, also said at 837-838: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Now, on the substantial question of publication, publication, of course, is a question of fact, and it must depend on the circumstances in each case whether or not publication has taken place. It is said that as a general proposition where the act of the person alleged to have published a libel has not been any positive act, but has merely been the refraining from doing some act, he cannot be guilty of publication. I am quite unable to accept any such general proposition. It may very well be that in some circumstances a person, by refraining from removing or obliterating the defamatory matter, is not committing any publication at all. In other circumstances he may be doing so. The test it appears to me is this: having regard to all the facts of the case is the proper inference that by not removing the defamatory matter the defendant really made himself responsible for its continued presence in the place where it had been put?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Byrne</w:t>
      </w:r>
      <w:r>
        <w:rPr>
          <w:rFonts w:ascii="arial" w:eastAsia="arial" w:hAnsi="arial" w:cs="arial"/>
          <w:color w:val="000000"/>
          <w:sz w:val="20"/>
          <w:lang w:val="en-US" w:eastAsia="en-US" w:bidi="ar-SA"/>
        </w:rPr>
        <w:t xml:space="preserve"> is referenced in each of Peter F. Carter-Ruck &amp; Harvey N.A. Starte, eds., </w:t>
      </w:r>
      <w:r>
        <w:rPr>
          <w:rFonts w:ascii="arial" w:eastAsia="arial" w:hAnsi="arial" w:cs="arial"/>
          <w:i/>
          <w:color w:val="000000"/>
          <w:sz w:val="20"/>
          <w:lang w:val="en-US" w:eastAsia="en-US" w:bidi="ar-SA"/>
        </w:rPr>
        <w:t>Carter-Ruck on Libel and Slander</w:t>
      </w:r>
      <w:r>
        <w:rPr>
          <w:rFonts w:ascii="arial" w:eastAsia="arial" w:hAnsi="arial" w:cs="arial"/>
          <w:color w:val="000000"/>
          <w:sz w:val="20"/>
          <w:lang w:val="en-US" w:eastAsia="en-US" w:bidi="ar-SA"/>
        </w:rPr>
        <w:t xml:space="preserve">, 5th ed. (London, UK: Butterworths, 1997) at p.63 and in Patrick Milmo &amp; W.V.H. Rogers, eds., </w:t>
      </w:r>
      <w:r>
        <w:rPr>
          <w:rFonts w:ascii="arial" w:eastAsia="arial" w:hAnsi="arial" w:cs="arial"/>
          <w:i/>
          <w:color w:val="000000"/>
          <w:sz w:val="20"/>
          <w:lang w:val="en-US" w:eastAsia="en-US" w:bidi="ar-SA"/>
        </w:rPr>
        <w:t>Gatley on Libel and Slander</w:t>
      </w:r>
      <w:r>
        <w:rPr>
          <w:rFonts w:ascii="arial" w:eastAsia="arial" w:hAnsi="arial" w:cs="arial"/>
          <w:color w:val="000000"/>
          <w:sz w:val="20"/>
          <w:lang w:val="en-US" w:eastAsia="en-US" w:bidi="ar-SA"/>
        </w:rPr>
        <w:t>, 10th ed. (London, UK: Sweet &amp; Maxwell, 2004) at p. 146.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Demenuk owns the property on which the display was placed. I do not accept that he and Ms. Soames did not discuss the display. Instead, I conclude that he endorsed and sanctioned the display-- if not its original construction then certainly its continued existence and placement on his property for a period of three months. As such he participated in the defamation of the Dhadwals.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General damages in a defamation case are at large and are intended to compensate the plaintiff for the injury suffered to his or her reputation. In </w:t>
      </w:r>
      <w:r>
        <w:rPr>
          <w:rFonts w:ascii="arial" w:eastAsia="arial" w:hAnsi="arial" w:cs="arial"/>
          <w:i/>
          <w:color w:val="000000"/>
          <w:sz w:val="20"/>
          <w:lang w:val="en-US" w:eastAsia="en-US" w:bidi="ar-SA"/>
        </w:rPr>
        <w:t>Hill v. Scientology,</w:t>
      </w:r>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at p. 1205 the court said: ".... there is little to be gained from a detailed comparison of libel awards" as each libel case is unique. Having said this, in </w:t>
      </w:r>
      <w:r>
        <w:rPr>
          <w:rFonts w:ascii="arial" w:eastAsia="arial" w:hAnsi="arial" w:cs="arial"/>
          <w:i/>
          <w:color w:val="000000"/>
          <w:sz w:val="20"/>
          <w:lang w:val="en-US" w:eastAsia="en-US" w:bidi="ar-SA"/>
        </w:rPr>
        <w:t>Leenen v. Canadian Broadcasting Corp.,</w:t>
      </w:r>
      <w:r>
        <w:rPr>
          <w:rFonts w:ascii="arial" w:eastAsia="arial" w:hAnsi="arial" w:cs="arial"/>
          <w:color w:val="000000"/>
          <w:sz w:val="20"/>
          <w:lang w:val="en-US" w:eastAsia="en-US" w:bidi="ar-SA"/>
        </w:rPr>
        <w:t xml:space="preserve"> </w:t>
      </w:r>
      <w:hyperlink r:id="rId512" w:history="1">
        <w:r>
          <w:rPr>
            <w:rFonts w:ascii="arial" w:eastAsia="arial" w:hAnsi="arial" w:cs="arial"/>
            <w:i/>
            <w:color w:val="0077CC"/>
            <w:sz w:val="20"/>
            <w:u w:val="single"/>
            <w:shd w:val="clear" w:color="auto" w:fill="FFFFFF"/>
            <w:lang w:val="en-US" w:eastAsia="en-US" w:bidi="ar-SA"/>
          </w:rPr>
          <w:t>48 O.R. (3d) 656</w:t>
        </w:r>
      </w:hyperlink>
      <w:r>
        <w:rPr>
          <w:rFonts w:ascii="arial" w:eastAsia="arial" w:hAnsi="arial" w:cs="arial"/>
          <w:color w:val="000000"/>
          <w:sz w:val="20"/>
          <w:lang w:val="en-US" w:eastAsia="en-US" w:bidi="ar-SA"/>
        </w:rPr>
        <w:t xml:space="preserve">, </w:t>
      </w:r>
      <w:hyperlink r:id="rId513" w:history="1">
        <w:r>
          <w:rPr>
            <w:rFonts w:ascii="arial" w:eastAsia="arial" w:hAnsi="arial" w:cs="arial"/>
            <w:i/>
            <w:color w:val="0077CC"/>
            <w:sz w:val="20"/>
            <w:u w:val="single"/>
            <w:shd w:val="clear" w:color="auto" w:fill="FFFFFF"/>
            <w:lang w:val="en-US" w:eastAsia="en-US" w:bidi="ar-SA"/>
          </w:rPr>
          <w:t>[2000] O.J. No. 1359</w:t>
        </w:r>
      </w:hyperlink>
      <w:r>
        <w:rPr>
          <w:rFonts w:ascii="arial" w:eastAsia="arial" w:hAnsi="arial" w:cs="arial"/>
          <w:color w:val="000000"/>
          <w:sz w:val="20"/>
          <w:lang w:val="en-US" w:eastAsia="en-US" w:bidi="ar-SA"/>
        </w:rPr>
        <w:t xml:space="preserve"> (S.C.J.), aff'd </w:t>
      </w:r>
      <w:hyperlink r:id="rId514" w:history="1">
        <w:r>
          <w:rPr>
            <w:rFonts w:ascii="arial" w:eastAsia="arial" w:hAnsi="arial" w:cs="arial"/>
            <w:i/>
            <w:color w:val="0077CC"/>
            <w:sz w:val="20"/>
            <w:u w:val="single"/>
            <w:shd w:val="clear" w:color="auto" w:fill="FFFFFF"/>
            <w:lang w:val="en-US" w:eastAsia="en-US" w:bidi="ar-SA"/>
          </w:rPr>
          <w:t>[2001] O.J. No. 2229</w:t>
        </w:r>
      </w:hyperlink>
      <w:r>
        <w:rPr>
          <w:rFonts w:ascii="arial" w:eastAsia="arial" w:hAnsi="arial" w:cs="arial"/>
          <w:color w:val="000000"/>
          <w:sz w:val="20"/>
          <w:lang w:val="en-US" w:eastAsia="en-US" w:bidi="ar-SA"/>
        </w:rPr>
        <w:t xml:space="preserve">, leave to appeal ref'd </w:t>
      </w:r>
      <w:hyperlink r:id="rId515" w:history="1">
        <w:r>
          <w:rPr>
            <w:rFonts w:ascii="arial" w:eastAsia="arial" w:hAnsi="arial" w:cs="arial"/>
            <w:i/>
            <w:color w:val="0077CC"/>
            <w:sz w:val="20"/>
            <w:u w:val="single"/>
            <w:shd w:val="clear" w:color="auto" w:fill="FFFFFF"/>
            <w:lang w:val="en-US" w:eastAsia="en-US" w:bidi="ar-SA"/>
          </w:rPr>
          <w:t>[2001] S.C.C.A. No. 432</w:t>
        </w:r>
      </w:hyperlink>
      <w:r>
        <w:rPr>
          <w:rFonts w:ascii="arial" w:eastAsia="arial" w:hAnsi="arial" w:cs="arial"/>
          <w:color w:val="000000"/>
          <w:sz w:val="20"/>
          <w:lang w:val="en-US" w:eastAsia="en-US" w:bidi="ar-SA"/>
        </w:rPr>
        <w:t>, the trial judge, after referring to various authorities, identified the following considerations as useful when addressing a general damage award for libel: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[205] ...</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seriousness of the defamatory statement;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the accuser;</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breadth of the distribution of the publication of the libel;</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republication of the libel;</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to give the audience both sides of the picture and not presenting a balanced review;</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desire to increase one's professional reputation or to increase ratings of a particular program;</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of the defendant and defendant's counsel through to the end of trial;</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absence or refusal of any retraction or apology;</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to establish a plea of justification.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[206] In assessing general damages, as was the case in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injury caused to the feelings of the plaintiff and the plaintiff's grief are to be taken into account. In that case, great pains were taken to set out the effect of the defamation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Several of these factors are directly engaged. I consider a number of the defamatory words I have referred to as harsh and malevolent. Ms. Soames admitted that she constructed the display with the intention that people would be attracted to it and would come close to see it. Ms. Soames did not begin to provide her audience with both sides of the events that had taken place. She and Mr. Demenuk have steadfastly refused to provide the Dhadwals with any form of apology. Indeed, after Ms. Soames met with Constable Scott and removed the original display she thereafter re-created two modified displays. The first of these initially said "... (the signs) ... will be back" and the second of which said, in part, ".... I will not be intimidated or apologize to those whom disagree". The original publication, though finite in terms of the breadth of its distribution, continued for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Both Mr. and Mrs. Dhadwal gave evidence of the injury caused to them by the defamation. Both describe how many of their neighbours, originally friendly, now avoid them. Ms. Dhadwal described how hurtful she considered some of the comments that were made. She said that the display felt like "a public shaming". Mr. Dhadwal, in responding to the words "deceitful" and "despicable", said "we are not such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all the circumstances I consider that an appropriate award of general damages is $25,000. Mr. Demenuk and Ms. Soames are jointly and severally liable for this award.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Cory J., at pp.1205 and 1206, addressed the purpose and considerations relevant to an award of aggravated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Aggravated damages may be awarded in circumstances where the defendants' conduct has been particularly high-handed or oppressive, thereby increasing the plaintiff's humiliation and anxiety arising from the libellous statement. The nature of these damages was aptly described by Robbins J.A. in </w:t>
      </w:r>
      <w:r>
        <w:rPr>
          <w:rFonts w:ascii="arial" w:eastAsia="arial" w:hAnsi="arial" w:cs="arial"/>
          <w:i/>
          <w:color w:val="000000"/>
          <w:sz w:val="20"/>
          <w:lang w:val="en-US" w:eastAsia="en-US" w:bidi="ar-SA"/>
        </w:rPr>
        <w:t>Walker v. C.F.T.O. Ltd.</w:t>
      </w:r>
      <w:r>
        <w:rPr>
          <w:rFonts w:ascii="arial" w:eastAsia="arial" w:hAnsi="arial" w:cs="arial"/>
          <w:color w:val="000000"/>
          <w:sz w:val="20"/>
          <w:lang w:val="en-US" w:eastAsia="en-US" w:bidi="ar-SA"/>
        </w:rPr>
        <w:t xml:space="preserve">, </w:t>
      </w:r>
      <w:hyperlink r:id="rId516" w:history="1">
        <w:r>
          <w:rPr>
            <w:rFonts w:ascii="arial" w:eastAsia="arial" w:hAnsi="arial" w:cs="arial"/>
            <w:i/>
            <w:color w:val="0077CC"/>
            <w:sz w:val="20"/>
            <w:u w:val="single"/>
            <w:shd w:val="clear" w:color="auto" w:fill="FFFFFF"/>
            <w:lang w:val="en-US" w:eastAsia="en-US" w:bidi="ar-SA"/>
          </w:rPr>
          <w:t>[1987] O.J. No. 236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in these words at p. 111: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defendant is guilty of insulting, high-handed, spiteful, malicious or oppressive conduct which increases the mental distress -- the humiliation, indignation, anxiety, grief, fear and the like -- suffered by the plaintiff as a result of being defamed, the plaintiff may be entitled to what has come to be known as "aggravated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damages take into account the additional harm caused to the plaintiff's feelings by the defendant's outrageous and malicious conduct. Like general or special damages, they are compensatory in nature. Their assessment requires consideration by the jury of the entire conduct of the defendant prior to the publication of the libel and continuing through to the conclusion of the trial. They represent the expression of natural indignation of right-thinking people arising from the malicious conduct of the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a number of factors that a jury may properly take into account in assessing aggravated damages. For example, was there a withdrawal of the libellous statement made by the defendants and an apology tendered? If there was, this may go far to establishing that there was no malicious conduct on the part of the defendant warranting an award of aggravated damages. The jury may also consider whether there was a repetition of the libel, conduct that was calculated to deter the plaintiff from proceeding with the libel action, a prolonged and hostile cross-examination of the plaintiff or a plea of justification which the defendant knew was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 number of the foregoing considerations do not pertain to this case. The cross-examination of the Dhadwals was not aggressive or hostile. No plea of justification was advanced. On the other hand, the defendants by counterclaim have been completely unrepentant.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Furthermore, Ms. Soames exacerbated her conduct by creating a further display which indicated that the initial display or signs were "... Gone Temporarily! .... But They Will be Back!" Ms. Dhadwal described how the new signs created the same feeling or took her to the "same place" as had the original signs and that she was anxious about what more was to come. These acts increased the Dhadwals' "humiliation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Still further, the racial component of the signage, though not part of the defamation itself, informs the context and nature of the conduct of the defendants by counterclaim. It was conduct which sharpened the attack on the Dhadwals' dignity.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Aggravated damages are not to be awarded jointly and severally. I award an amount of $5,000 as against each of Ms. Soames and Mr. Demenuk for aggravated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Cory J., at p. 1208,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Punitive damages may be awarded in situations where the defendant's misconduct is so malicious, oppressive and high-handed that it offends the court's sense of decency. Punitive damages bear no relation to what the plaintiff should receive by way of compensation. Their aim is not to compensate the plaintiff, but rather to punish the defendant. It is the means by which the jury or judge expresses its outrage at the egregious conduct of the defendant. They are in the nature of a fine which is meant to act as a deterrent to the defendant and to others from acting in this manner. It is important to emphasize that punitive damages should only be awarded in those circumstances where the combined award of general and aggravated damages would be insufficient to achieve the goal of punishment and deterrence.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circumstances I have described do not warrant a further award of punitive damages. The awards I have made adequately address the issue of deterrence.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parties asked that they be permitted to address the issue of costs after receipt of these reasons for judgment. If counsel are unable to agree between themselves they can seek, through the Registry, to fix a date when they can appear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P.G. VOITH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0"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Gulati v. Chan, [2015] B.C.J. No. 533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G.R.J. Gaul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22 - May 2,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20,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M104202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533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2015 BCSC 431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Neenu Gulati, Claimant, and Henry Wallace Chan,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1"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2" w:name="Keywords_19"/>
      <w:bookmarkEnd w:id="132"/>
      <w:r>
        <w:rPr>
          <w:rFonts w:ascii="arial" w:eastAsia="arial" w:hAnsi="arial" w:cs="arial"/>
          <w:b/>
          <w:color w:val="000000"/>
          <w:sz w:val="20"/>
          <w:lang w:val="en-US" w:eastAsia="en-US" w:bidi="ar-SA"/>
        </w:rPr>
        <w:t>Damages — Physical and psychological injuries — Body injuries — Soft tissue — Head injuries — Ears — Hearing — Arm injuries — Fractures — Psychological injuries — Depression — Personality change — Action by pedestrian against driver who collided with her in intersection allowed — Pedestrian sustained fractured arm, soft tissue injuries in accident, and subsequently suffered from depression — Inability to work post-accident meant award of $70,000 for past lost income and $172,500 for future lost income appropriate — Non-pecuniary damages of $120,000 awarded for pain and suffering — Pedestrian awarded $35,000 for future care costs and special expenses of $7,522.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For personal injuries — Cost of future care — Retroactive loss of income — Special damages — Expenses and expenditures — Non-pecuniary loss — Pain and suffering — Action by pedestrian against driver who collided with her in intersection allowed — Pedestrian sustained fractured arm, soft tissue injuries in accident, and subsequently suffered from depression — Inability to work post-accident meant award of $70,000 for past lost income and $172,500 for future lost income appropriate — Non-pecuniary damages of $120,000 awarded for pain and suffering — Pedestrian awarded $35,000 for future care costs and special expenses of $7,522.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Motor vehicles — Pedestrians — Action by pedestrian against driver who collided with her in intersection allowed — Pedestrian entitled to rely on driver to stop at stop sign — Driver 100 liable for damages resulting from colliding with pedestrian after running stop sign.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3" w:name="Case Summary_18"/>
            <w:bookmarkEnd w:id="13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Gulati seeking damages from Chan for personal injuries she sustained as a pedestrian in a motor vehicle accident. Gulati looked both ways before entering the intersection. She proceeded to walk across the street. Chan's vehicle did not stop at the stop sign and proceeded through the intersection, colliding with Gulati. A bystander said that Chan did not appear to be paying attention. Chan was issued a ticket for driving without due care and failing to yield to a pedestrian in an intersection. He did not dispute the ticket. Gulati fell to the ground and cried out that her arm hurt. She did not lose consciousness. She was taken to the hospital by ambulance and diagnosed with a fractured left humerus. Chan conceded she suffered this injury as well as soft tissue injuries to her neck, back and legs, as well as dizziness and headaches and a mild hearing loss. He also accepted that Gulati suffered from some PTSD and depression as a result of the accident, but denied that the accident caused a concussion or mild traumatic brain injury. He also pointed out that she had a pre-existing arthritic condition and had sustained a fractured left elbow in a subsequent fall, both impacting her condition at the time of the trial. Gulati and her family gave evidence about the negative changes to her personality and lifestyle that occurred after the accident with Chan. She was unable to return to work in her full-time position with JP Morgan after the accident. Her branch closed a few months later. She started working for CRA in February 2011, earning less than she had with JP Morgan.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4" w:name="Holdings of Court_18"/>
            <w:bookmarkEnd w:id="134"/>
            <w:r>
              <w:rPr>
                <w:rFonts w:ascii="arial" w:eastAsia="arial" w:hAnsi="arial" w:cs="arial"/>
                <w:color w:val="000000"/>
                <w:sz w:val="20"/>
                <w:lang w:val="en-US" w:eastAsia="en-US" w:bidi="ar-SA"/>
              </w:rPr>
              <w:t>HELD: Chan was 100 per cent liable for the accident.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He was not paying attention and did not stop when he should have. Gulati was legally crossing the road. It was not unreasonable for her to believe Chan's vehicle would stop for the stop sign. A reasonable person would not be expected to anticipate that Chan would breach the rules of the road as he did. The evidence did not establish that Gulati's pre-existing problems with arthritis would have caused the back problems she experienced post-accident. However, there was a real and substantial risk her shoulder and knees would have been affected by arthritis. Her elbow fracture was distinct and divisible from the injuries she sustained in the accident with Chan. The appropriate non-pecuniary damage award of $150,000 was reduced by 20 per cent to $120,000 on account of these factors. Gulati was awarded $70,000 for past income loss and $172,500 for future income loss, the court accepting that Gulati's injuries impacted her ability to work and would result in her retiring earlier than anticipated. Her need for ongoing treatment for depression and chronic pain entitled Gulati to $35,000 in future care costs. She also received $7,522 for out-of-pocket expenses.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5" w:name="Legislation Cited_13"/>
      <w:bookmarkEnd w:id="1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2"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525" w:history="1">
        <w:r>
          <w:rPr>
            <w:rFonts w:ascii="arial" w:eastAsia="arial" w:hAnsi="arial" w:cs="arial"/>
            <w:i/>
            <w:color w:val="0077CC"/>
            <w:sz w:val="20"/>
            <w:u w:val="single"/>
            <w:shd w:val="clear" w:color="auto" w:fill="FFFFFF"/>
            <w:lang w:val="en-US" w:eastAsia="en-US" w:bidi="ar-SA"/>
          </w:rPr>
          <w:t>RSBC 1996, CHAPTER 318, s. 179</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6" w:name="Counsel_19"/>
      <w:bookmarkEnd w:id="13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3" style="position:absolute;z-index:2517811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Claimant: J. Malik, P. Grewal,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A. du Plessis, A. Meade.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7" w:name="Judgment_19"/>
      <w:bookmarkEnd w:id="137"/>
      <w:r>
        <w:pict>
          <v:line id="_x0000_s1124" style="position:absolute;z-index:2518323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8" w:name="G.R.J. GAUL J."/>
            <w:bookmarkEnd w:id="138"/>
            <w:r>
              <w:rPr>
                <w:rFonts w:ascii="arial" w:eastAsia="arial" w:hAnsi="arial" w:cs="arial"/>
                <w:b/>
                <w:color w:val="000000"/>
                <w:sz w:val="30"/>
                <w:lang w:val="en-US" w:eastAsia="en-US" w:bidi="ar-SA"/>
              </w:rPr>
              <w:t>G.R.J. GAUL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the evening of 30 November 2009, Neenu Gulati was struck by a motor vehicle as she was walking in a marked pedestrian cross-walk (the "Accident"). The motor vehicle was being driven by the defendant Henry 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Mrs. Gulati claims Mr. Chan was responsible for the Accident and that she suffered a number of injuries, including a broken arm, soft-tissue injuries, a concussion, hearing loss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Chan acknowledges that his vehicle struck Mrs. Gulati; however he asserts she was partially at fault for the Accident. He also maintains that some of the injuries and losses Mrs. Gulati complains of are not causally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are three issues that need to be determined in this lawsuit:</w:t>
      </w:r>
      <w:r>
        <w:rPr>
          <w:rFonts w:ascii="arial" w:eastAsia="arial" w:hAnsi="arial" w:cs="arial"/>
          <w:sz w:val="20"/>
          <w:lang w:val="en-US" w:eastAsia="en-US" w:bidi="ar-SA"/>
        </w:rPr>
        <w:cr/>
      </w:r>
    </w:p>
    <w:p>
      <w:pPr>
        <w:numPr>
          <w:numId w:val="1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for the Accident;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 of the plaintiff's injuries; and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Mrs. Gulati was born and raised in the Republic of India. She is 57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1976 Mrs. Gulati completed her post-secondary studies at Delhi University, obtaining a Batchelor of Arts in history and political science. While living in India, Mrs. Gulati spent 18 years working for the India Oil Corporation as a data entry clerk.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November 1982, Mrs. Gulati married her husband, Tejinder Gulati. In 1987 the Gulatis' first child, Jasleen was born. A year later in 1988 their second child, Jaskeerat "Joyce", was born.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Gulati family immigrated to Canada and settled in British Columbia in October 1995.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Pre-Accident Condition: Employment &amp; Social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After her arrival in British Columbia, Mrs. Gulati spent 2 years working for Nationwide Natural Foods as an administrative clerk. That employment ended in or around 1999. Mrs. Gulati then pursued a course of studies at the Canadian Health Care Academy to become a Care Aid Attendant. Mrs. Gulati worked in that capacity for a few months until she obtained employment as a customer service agent with Future Shop. That employment continued for 7 or 8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March 2008, Mrs. Gulati began working full-time as a call centre agent with JP Morgan Chase Bank ("JP Morgan") at the Central City Shopping Mall in Surrey, B.C. (the "Mall"). For the 2008 calendar year, Mrs. Gulati's employment income was approximately $41,000.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Mrs. Gulati lives with her husband and youngest daughter in a large home in Surrey, B.C. In 2009, around the time of the Accident, Mr. Gulati's elderly mother was also living with them in their home. Mrs. Gulati was responsible for most of the domestic work around the home, including the cooking and cleaning. She was also principally responsible for the care her mother-in-law.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For leisure activities, Mrs. Gulati spent time on the weekends gardening, reading and watching movies with her family. She also enjoyed going for walks with her friends.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Pre-Accident Condition: Physical &amp; Psychological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the time of the Accident Mrs. Gulati was 53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Mrs. Gulati suffered from arthritis in her left shoulder and both of her knees prior to the Accident, but only occasionally did she feel pain or stiffness in these joints. Moreover, prior to the Accident she was receiving medical attention to address stress and anxiety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Mrs. Gulati testified that prior to the Accident she was happy with her life and actively engaged in various activities. She acknowledged that she did have ordinary aches and pains and had sought the medical assistance for an anxiety and stress condition, however she maintained that none of these impeded her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was favourably impressed with Mrs. Gulati's evidence regarding her pre-accident health. She was a responsive and thoughtful witness and able to explain in a clear and convincing manner what life was like for her prior to the Accident as well as what it has been like following the Accident. She was, in my opinion, a credible and reliable witness. In addition to Mrs. Gulati's testimony, I also have that of Mrs. Gulati's husband and daughter as well as Mrs. Gulati's friends Santosh Bhatoa, Baljit Jawanda, Ranbir Kaur, and Maninder Arora. Like Mrs. Gulati, I found these witnesses to be credible and reliable. Based upon all of this evidence, I am satisfied that notwithstanding Mrs. Gulati's pre-existing medical conditions, she was a reasonably healthy and able person in good emotional and physical state in the fall of 2009.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30 November 2009, Mrs. Gulati worked her regular 1:00 pm to 8:00 pm shift at JP Morgan. When she had completed her workday, she exited the Mall with the intention of proceeding to her car, which was located in the Mall's auto-parkade and then driving home. To access the parkade, Mrs. Gulati had to cross a four-lane access road. Mrs. Gulati stopped at the northern end of a marked crosswalk and looked both ways. She then proceeded into the crosswalk and began to cross the road. About half way across the road, Mrs. Gulati was struck on the left side of her body by the vehicle being driven by Mr. Chan. According to Mrs. Gulati, the force of the impact propelled her onto the hood of the car and then she fell onto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Daniel Leverett witnessed the Accident and provided immediate assistance to Mrs. Gulati. Mr. Leverett testified that Mrs. Gulati did not lose consciousness and that right after she fell to the roadway she began crying out "my arm, my arm". Although she was in obvious pain, she was coherent and responsive and able to provide her husband's telephone number and other personal details to bystanders.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Within minutes of the Accident, emergency health services were on the scene attending to Mrs. Gulati. Mr. Wayne Michel, a paramedic who was treating Mrs. Gulati, was able to obtain from her a detailed account of what had occurred as well as a personal history. Moreover, Mrs. Gulati confirmed to Mr. Michel that the collision had not caused her to lose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Mrs. Gulati was taken to the Surrey Memorial Hospital by ambulance. The emergency physician who assessed her diagnosed her with a fracture of the left humerus. Mrs. Gulati's arm was placed in a splint and a sling and she was advised to see Dr. Colin Jackson at the hospital's cast clinic on 2 December 2009. She was discharged later that evening and returned home with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 #1: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Mrs. Gulati says she proceeded into the crosswalk cautiously keeping a lookout for traffic. In light of this, she maintains that she had the right of way when Mr. Chan's vehicle suddenly appeared and struck her. She asserts that collision was so sudden that she was unable to avoid Mr. Chan's vehicle.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Chan acknowledges that he was principally responsible for the Accident. However, he contends that Mrs. Gulati was 10 to 20% at fault because she failed to avoid his on-coming vehicle which, he maintains, was a visible and foreseeable risk to 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Mrs. Gulati says she looked to her right and left before entering the crosswalk. At that time, she did not see any vehicular traffic coming in her direction. When she was approximately half way across the crosswalk she saw Mr. Chan's vehicle approaching the nearby intersection that was controlled by stop signs. According to Mrs. Gulati, the vehicle was approximately 4 to 5 car lengths away from her when she first saw it. To Mrs. Gulati's surprise, the vehicle did not stop at the stop sign; instead it turned left and struck her while she was in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Leverett was standing at the southern end of the crosswalk, directly in front of the stop sign for the intersection. He saw Mrs. Gulati exit the Mall and stand at the northern end of the crosswalk. He saw her look both ways and then proceed into the crosswalk. According to Mr. Leverett, there was no vehicular traffic in the vicinity when Mrs. Gulati began to cross the road. Mr. Leverett saw Mr. Chan's vehicle approach the stop sign. It appeared to Mr. Leverett that Mr. Chan was not paying attention to what he was doing, because his vehicle coasted through the stop sign. Mr. Chan's vehicle then accelerated and collided with Mrs. Gulati who was still in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Constable Lorne Smith of the Surrey RCMP attended at the scene of the Accident shortly after it occurred. While he was there, he spoke with Mr. Chan. According to Constable Smith, Mr. Chan said he had been leaving the Mall's parkade, had not seen Mrs. Gulati in the crosswalk and had collided with her when she suddenly appeared in front of his vehicle. The officer issued Mr. Chan a violation ticket alleging that he had been driving without due care and attention and had failed to yield to a pedestrian contrary to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Mr. Chan did not dispute the violation ticket.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Section 179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is the statutory instrument that governs the rights of way between pedestrians and motor vehicles in cases such as the one before me. The relevant sections of that provision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179 (1) Subject to section 180, the driver of a vehicle must yield the right of way to a pedestrian where traffic control signals are not in place or not in operation when the pedestrian is crossing the highway in a crosswalk and the pedestrian is on the half of the highway on which the vehicle is travelling, or is approaching so closely from the other half of the highway that he or she is in danger.</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must not leave a curb or other place of safety and walk or run into the path of a vehicle that is so close it is impracticable for the driver to yield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Paskall v. Scheithauer</w:t>
      </w:r>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2014 BCCA 26</w:t>
        </w:r>
      </w:hyperlink>
      <w:r>
        <w:rPr>
          <w:rFonts w:ascii="arial" w:eastAsia="arial" w:hAnsi="arial" w:cs="arial"/>
          <w:color w:val="000000"/>
          <w:sz w:val="20"/>
          <w:lang w:val="en-US" w:eastAsia="en-US" w:bidi="ar-SA"/>
        </w:rPr>
        <w:t xml:space="preserve">, Mr. Justice Chiasson considered the respective obligations of drivers and pedestrians in a personal injury case where the plaintiff was struck by the defendant's vehicle while she was in a pedestrian crosswalk. In addressing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Justice Chiasson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[66] Although there was dispute in the evidence concerning the appellant's lookout on entering the crosswalk, it is clear that she had the right-of-way as she approached the point of collision. The issue is whether she had a common-law duty to avoid a foreseeable risk of harm to herself.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[67] The appellant concedes that right-of-way is subject to a common-law duty to avoid a foreseeable risk of harm, but she asserts that a pedestrian who is lawfully in a crosswalk has special protection. She does not contend that a crosswalk is a risk-free zone, but states that a pedestrian need not exercise "extreme vigilance" or take "heroic efforts" to protect his or her safety. She relies on a number of authorities to support this proposition. I have reviewed them all and refer to some of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[75] I do not read the authorities as supporting the proposition that once pedestrians are lawfully in a crosswalk they have a special immunity from the obligation to attend to their own safety. Comments that heroic action or extreme measures are not required merely reflect the circumstances of the cases in which they were made. In my view, a person - driver or pedestrian - who has the right-of-way is entitled to assume that others will act lawfully and will respect it. That does not mean that they can ignore the risk that others may not do so and place themselves in danger.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[76]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reflects the fact that parties ought not to create a foreseeable risk of harm to themselves. It is not an obligation that is owed to others. It is an obligation individuals owe to themselves.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Mr. Chan submits that his vehicle was clearly visible to Mrs. Gulati and that she had the duty to avoid the foreseeable risk that it posed to her safety. Relying upon what he maintains are the parallels between the facts in the present case and those in </w:t>
      </w:r>
      <w:r>
        <w:rPr>
          <w:rFonts w:ascii="arial" w:eastAsia="arial" w:hAnsi="arial" w:cs="arial"/>
          <w:i/>
          <w:color w:val="000000"/>
          <w:sz w:val="20"/>
          <w:lang w:val="en-US" w:eastAsia="en-US" w:bidi="ar-SA"/>
        </w:rPr>
        <w:t>Paskall</w:t>
      </w:r>
      <w:r>
        <w:rPr>
          <w:rFonts w:ascii="arial" w:eastAsia="arial" w:hAnsi="arial" w:cs="arial"/>
          <w:color w:val="000000"/>
          <w:sz w:val="20"/>
          <w:lang w:val="en-US" w:eastAsia="en-US" w:bidi="ar-SA"/>
        </w:rPr>
        <w:t>, Mr. Chan contends that by proceeding into the crosswalk in the manner that she did, Mrs. Gulati negligently placed her well-being in jeopardy and for that she should be found to be partially responsible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accept the evidence of Mrs. Gulati and Mr. Leverett with respect to how the Accident occurred. In particular I am satisfied that Mr. Chan was not paying attention when he was driving and that he did not bring his vehicle to a stop when he should have. Instead, without any notice or warning to Mrs. Gulati who was legally crossing the road, Mr. Chan proceeded through the stop sign and turned left, leaving Mrs. Gulati with no time to react and avoid the collision. It was not unreasonable for Mrs. Gulati to believe that Mr. Chan's vehicle would stop at the stop sign and it cannot be said that a reasonable person would have anticipated his decision to breach the rules of the road in the manner that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my opinion, Mr. Chan is 100 percent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 #2: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Mrs. Gulati alleges the accident caused her multiple injuries, including:</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mid-shaft fracture of her left humerus;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injuries to her neck, left arm and hand, lower back and legs;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 quervain's Tenosynovitis (thumb side wrist pain);</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concussion or mild-traumatic brain injury;</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hearing loss;</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memory loss;</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dizziness and loss of balance;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depression and post-traumatic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Mrs. Gulati admits that she had pre-existing arthritis in her shoulder and both knees prior to the Accident. She also acknowledges that in July of 2009 she fell at work and injured her neck and left shoulder and that in April 2011 she fell a second time and on this occasion she fractured her left elbow. Notwithstanding her pre-accident conditions, Mrs. Gulati maintains she was in good physical and mental health in the fall of 2009 and that the injuries she complains of in this action are causally linked to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Chan does not dispute that Mrs. Gulati suffered a fracture to her left humerus as a result of the Accident. Nor does he deny that she also suffered soft tissue injuries to her neck, back and legs, as well as dizziness and headaches and a mild loss of hearing in her left ear. Lastly, Mr. Chan accepts that the Accident caused Mrs. Gulati to suffer from some post-traumatic stress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Chan denies that Mrs. Gulati suffered a concussion or mild traumatic brain injury. He also submits that some of the injuries that resulted from the Accident have healed and that others such as the pain in her left shoulder, arm and hand and her knees would have developed in any event on account of her pre-existing osteoarthritis or as a result of the fracture she suffered to her left elbow in 2011.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As the plaintiff in this action, Mrs. Gulati has the evidentiary burden of satisfying the court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cause of her injuries and condition: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She can accomplish that by showing that "but for" the negligent actions of the defendant, she would not have suffered her injuries. This test does not require Mrs. Gulati to prove that Mr. Chan's actions were the only cause of her injuries. All that is required is proof that they would not have occurred or developed without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"but for" test ensures that an award of damages is only made where there is a substantial connection between the injury or condition complained of and the defendant's conduct: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Expert Medical Evidence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Dr. Gulzar Cheema, M.D.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Cheema is Mrs. Gulati's long-time family physician. He testified at trial and at the request of the plaintiff he was qualified to give expert opinion evidence in the area of "family medicine and in particular physical and mental health". In this regard, Dr. Cheema prepared two medical-legal reports, one dated 28 December 2011 and the second dated 3 January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Cheema confirmed that Mrs. Gulati attended his office on 1 December 2009, the day following the Accident, complaining of headaches, dizziness, and pain in knees, hips, lower back and left arm. According to Dr. Cheema, Mrs. Gulati reported that the Accident did not cause her to lose consciousness. Approximately one year after the Accident, in October 2010, Mrs. Gulati reported to Dr. Cheema that she was having memory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Between 1 December 2009 and 30 October 2011, Dr. Cheema saw Mrs. Gulati on 31 Accident-related occasions. His first medical-legal report addresses this time frame and offers the following limited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Diagnosis: Multiple soft tissue injuries - cervical region, both knees, both hips, left upper arm, left elbow, low back strain, fractured left humerus, post traumatic headaches, depression and short term memory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Disability: Mrs. Gulati's (sic) was totally disabled from November 30, 2009 until March 2011 and partially disabled until July 4, 2011.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Prognosis: Unknown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Between 23 December 2011 and 28 November 2013, Dr. Cheema saw Mrs. Gulati 9 times on account of her Accident-related injuries. In his supplemental report dated 3 January 2014, Dr. Cheema confirmed his previous diagnosis as well as his opinion about Mrs. Gulati's disability. As for a prognosis, Dr. Cheema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Prognosis: Guarded. There is a probability of her developing arthritis of the left shoulder and left elbow.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Due to her post-traumatic stress disorder and continued muscular pain in the para-spinal region she will require ongoing treatment to manage her symptoms. Due to her MVA injuries she might not be able to work on full 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Counsel for Mr. Chan submitted that I should be cautious of Dr. Cheema's evidence. In support of that submission, counsel was critical of the fact that Dr. Cheema chose not to address in either of his medical-legal reports Mrs. Gulati's fall in April 2011 and the resulting fracture to her left elbow. Mr. Chan's counsel also underscored the fact that Dr. Cheema disagreed with the opinion of the orthopedic surgeon who operated on Mrs. Gulati's left arm in 2010, that a fracture of the elbow is medically more serious and damaging than a fracture of the humerus. Finally, counsel points out that Dr. Cheema failed to provide any reason or foundation for his opinion that Mrs. Gulati may not be able to work full time. I agree with counsel for Mr. Chan. In my opinion, Dr. Cheema's failure to consider the health consequences that flowed from the elbow fracture, his attempt in cross-examination to minimize the seriousness of that injury and his unexplained omission to include any reference to the injury in his medical-legal reports, limits the value of his expert evidence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Dr. Colin Jackson, M.D.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Jackson is a medical doctor with a specialty in orthopedic surgery. He testified at trial and at the request of the plaintiff he provided expert opinion evidence in the area of "orthopedic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Jackson examined Mrs. Gulati on 2 December 2009, two days after the Accident, and confirmed that she had a mid-shaft left humerus fracture that was moderately displaced. He remained involved in Mrs. Gulati's treatment and saw her on multiple occasions between 9 December 2009 and 3 March 2010. On 23 March 2010, Dr. Jackson operated on Mrs. Gulati's left arm. Dr. Jackson saw Mrs. Gulati six times after the surgery, with the last occasion being 22 September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 medical-legal report he authored dated 29 October 2012, Dr. Jackson explained his diagnoses and treatment of Mrs. Gulati's post-accident conditions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focussed my treatment attention on her left humerus as this was the major orthopaedic injury that she suffered. I do not treat head or neck injuries and these seemed to be more mild in nature. Also, her knee injuries seemed to be more mild and not in need of active orthopaedic management...She was initially treated conservatively with bracing and splinting. Unfortunately...she continued to have pain and mobility at the fracture site without healing. I think the fact that she has left shoulder arthritis and some limited shoulder movement may have influenced her inability to heal this conservatively...It was decided...just over two months out from the injury that the fracture did not appear to be proceeding to heal and therefore a decision was made to go forward with open reduction internal fixation of the humeral fracture. Surgery was undertaken on March 23rd 2010 and I was happy with the intraoperative surgical result. Postoperatively she had some difficulty with recovery and had a lot of pain. She had fairly significant pain around the shoulder and difficulty with mobilization of the shoulder. It was determined that she had at least moderate arthritis to the glenohumeral joint...and some fairly large osteophytes around the glenohumeral joint... I performed a local anesthetic and steroid injection to the shoulder joint on the 5th of May 2010. This did seem to help her regain some of her range of motion and control some of her pain. However this did not resolve her shoulder symptoms. She then began to develop dequervain's tenosynovitis to the first dorsal extensor compartment and this was noted first on the 9th of June 2010 at which point an injection of this area was performed. The injection did help, but either it was incomplete or her symptoms recurred as she continued to complain of symptoms up until her final visit with me on September 22nd 2010. At the time of her last visit she had excellent healing of the humerus but continued to have some symptoms in the shoulder and hand. As well she had some mild pain in the elbow as well as weakness around the elbow. She also had some issues with regards to the proximal scar...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regards to causation of the patient's left upper extremity and humeral troubles, there is no question in my mind that the motor vehicle accident of November 30th 2009 caused this patient's humeral fracture. I also feel that secondary to the injury and the subsequent immobilization and surgery, the patient's ipsilateral shoulder arthritis flared up. The patient did have pre-existing at least moderate arthritis of the shoulder, but I feel these injuries caused her should symptoms to become fairly significant...However with the pre-existing pathology of glenohumeral arthritis I think this caused these symptoms to be even more profound. I also feel that the ongoing symptoms around the elbow and in the radial wrist were very likely secondary to the injury and subsequent immobilization and inflammation in the left upper extremity. In my opinion, the limited function and disability in this patient's left upper extremity is almost entirely related to her MVA of November 30th 2009. It is likely that with pre-existing glenohumeral arthritis, she would have developed some stiffness and maybe some pain in the glenohumeral joint. However her symptoms were minimal to non-existent prior to the accident and it may have taken many years for symptoms to develop and they may never have developed without the accident having occurred. It is my opinion that the patient's disability in the left upper extremity is at least moderate, secondary to the injuries sustained on November 30th, 2009. She has pain, stiffness, and weakness mainly in the shoulder but also somewhat in the elbow, wrist, and base of thumb area. I am not aware that she was ever able to return to work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Under the heading "Prognosis", Dr. Jackson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patient's humerus has gone on to heal well. Unfortunately she had pre-existing osteoarthritis of the glenohumeral joint and in my opinion this was significantly flared from the accident and post-accident management with immobilization...I think that her symptoms and disability are fairly static. I think it is unlikely that things will significantly change with time at least with regards to osteoarthritis and this may progress with time, but I think that any progression with regards to disability related to the accident. With regards to the glenohumeral joint she does have at least moderate osteoarthritis and this may progress in time, but I think that any progression with regards to her shoulder disability and osteoarthritis would be unrelated to the accident. Therefore any further progression of the shoulder disability, in my opinion would not be as a result of the motor vehicle accident, but more primarily as a result of the osteoarthritis in the shoulder. It is possible that she may have progression or ongoing symptoms related to her dequervain's tenosynovitis of the radial wrist. If this were to progress, then this could be treated surgically and surgical treatment for this condition is usually quite successful although there are some small risks associated with this. I do feel that this condition likely came on secondary to the injury and therefore if this is to progress I would feel that this was secondary to the injury that occurred on November30th, 2009. Fortunately this can be treated well with surgery and it unlikely to become a long term disability if she does seek treatment. Therefore it is my opinion that the patient will continue to have moderate lifelong disability secondary to this injury and that she will have to decrease and modify her activities to accommodate for this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the question of Mrs. Gulati's functional capacity to work in the future, Dr. Jackson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she will be able to adapt to this disability and to perform activities of daily living and possibly even some work related activities with this left arm, but I do not think that she would be able to perform any heavy or repetitive activities with this left upper extremity on an ongoing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cross-examination, Dr. Jackson acknowledged that he was not aware that Mrs. Gulati had fallen and injured her neck and left shoulder a few months prior to the Accident and he agreed that such a fall could have caused the arthritis in her shoulder to flare-up and become symptomatic. Dr. Jackson also admitted that the information relating to Mrs. Gulati's fall in April 2011 and the resulting fracture to her left elbow had not been part of the information he had considered in reaching his diagnoses and prognosis. He further agreed that the fracture Mrs. Gulati suffered to her elbow could have rendered the arthritis in her left shoulder 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While I found Dr. Jackson to be an earnest and credible witness, his failure to assess and consider crucial evidence about Mrs. Gulati's post-accident health, makes his expert evidence less reliable.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Dr. Neil Longridge, M.D.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Longridge is a medical doctor with a specialty in otolaryngology. In testifying at trial for the plaintiff, Dr. Longridge was qualified to give expert opinion evidence in the areas of hearing loss, dizziness and tinnitus.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Longridge examined Mrs. Gulati on 14 March 2012 for the purpose of preparing a medical-legal opinion about the dizziness she claimed to have suffered following the Accident. During the course of his pre-examination interview of Mrs. Gulati, she described the Accident to him including the claim that the left side of her head struck the ground after she rolled off of Mr. Chan's vehicle. Dr. Longridge records in his medical-legal report dated 24 July 2012, that "She stated that at the time of the accident she was unaware, possibly knocked out for a few seconds". Under the heading "Opinion", Dr. Longridge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Cervical Vestibular Evoked Myogenic Potentials (CVEMP) is abnormal. This is a test which measures function of the macula of the saccule, one of the gravity receptor balance organs of the inner ear. There is a substantially reduced response from the right side when compared to the left. The patient has no other previous history of trauma or other previous vertiginous or dizzy episode as an explanation for this finding and in the absence of any other satisfactory explanation in my opinion the accident is the probable cause.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patient has a disturbance of her balance system. As she ages it is probable that she is more likely to run into difficulties with balance and unsteadiness than someone who has not had the insult to her balance system which she has incurred. Clearly this is something which is going to occur in significant old age, but should be kept in mind. Potentially there is an increased likelihood of falls and for this reason osteoporosis management has to be optimized.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experience with dizziness is that if it is present for two years, in my opinion, it is likely to be present on a long-term, permanent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does recount some falls. I clarified these as far as was possible and was unconvinced that dizziness was the precipitating factor and that maybe the falls were not related to dizziness but could be related to loss of consciousness or fainting, but felt that they did not have a vertiginous component as an instigator. She is on blood pressure medication and conceivably postural hypotension could be a factor in these episodes, perhaps combined with the side effects from antidepressants.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cross-examination, Dr. Longridge agreed that Mrs. Gulati's dizziness could be accurately described as "minimal". He also agreed that her hearing loss in her left ear was "minimal" and should not impair her ability to function at home or at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Dr. Donald Cameron, M.D.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Cameron is a medical doctor specializing in neurology. He testified at trial and at the request of the plaintiff he was qualified to provide expert opinion evidence regarding "the brain and the central and peripheral nervous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Cameron met with and conducted a neurological assessment of Mrs. Gulati on 18 April 2012. In his medical-legal report dated 3 August 2012, Dr. Cameron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Opinion</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Ms. Gulati probably did suffer a brief altered state of consciousness or loss of consciousness at the time of the motor vehicle accident... The clinical records of her family physicians, Dr. Cheema and Dr. Singh, document that she reported she had no loss of consciousness at the time of the accident...The emergency records subsequently document that she was awake and alert, and it is my opinion that she probably had a Glasgow Coma Scale of 15 out of a possible normal 15 when she was assessed by the ambulance crew following the accident and in the emergency department.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the clinical condition of Ms. Gulati and the probable Glasgow Coma Scale data, it is my opinion that Ms. Gulati probably suffered a mild traumatic brain injury or concussion at the time of the motor vehicle accident of November20, 2009.</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however my opinion that Ms. Gulati probably did not develop symptoms diagnostic of a post traumatic brain injury syndrome following this accident. Ms. Gulati reports suffering from headaches and decrease in memory following this accident. These symptoms alone are not sufficient to make a diagnosis of a post traumatic brain injury syndrome or post concussion syndrome.</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probable in my opinion that the symptoms of depression and post traumatic stress disorder are the main reasons for Ms. Gulati's cognitive complaints, i.e. problems with short-term memory present following this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the post traumatic headaches that Ms. Gulati suffered with following this accident were associated with the soft tissue and musculoskeletal injuries to her head and neck area that she sustained at the time of the accident.</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Gulati reported suffering with hypoesthesia or numbness involving the left fourth and fifth digits following the left elbow injury one year following this accident. There is no history to indicate to me that the fall one year following the accident was related to the accident of November 30, 2009. Ms. Gulati was assessed by Dr. Singh at a follow-up assessment on December 1, 2010 because of the paresthesia affecting both upper extremities...Dr. Singh documented...that Ms. Gulati had a very mild median nerve palsy with the irritation or compression of the median nerves located at the wrist, i.e. a carpal tunnel syndrome. It is my opinion that this carpal tunnel syndrome would not be related to the injuries that Ms. Gulati sustained at the time of the accident of November 30, 2009...</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predominant injury that Ms. Gulati sustained at the time of the accident involved a fracture of the left humerus. As well, Ms. Gulati reported to me that she had hypoesthesia or numbness affecting the left fourth and fifth digits following the fracture of the left elbow one year following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Ms. Gulati's main reason for complete and then subsequent partial disability following this accident is pain and discomfort as a result of the injuries that she sustained at the time of the accident and the subsequent post-accident psychological dysfunction diagnosed as a post traumatic stress disorder with depressive symptoms...It is probably that the injury one year following this accident fracturing the same left upper extremity in the elbow region resulted in prolongation of her disability and recovery time following the original first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the post traumatic musculoskeletal or cervicogenic headaches are probably contributing to ongoing complete and partial disability to a minor degree following this accident. These headaches improved associated with improvement in pain over time.</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the hypoesthesia in the left ulnar verve distribution into the fourth and fifth digits of left hand following the injury one year post accident is probably not related to the accident of November 30, 2009. Ms. Gulati reported to me that she only had pain and discomfort and limitation of movement of the left upper extremity related to the fractured left humerus and associated soft tissue and musculoskeletal injuries that she sustained at the time of the accident of November 30, 2009. In my opinion the injury to her elbow one year following the accident would potentially be contributing to exacerbation of her pain present as a result of the injuries sustained at the time of the original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Cameron prepared a second medical-legal report, dated 26 September 2013. This report was in response to a medical-legal report prepared for the defence by Dr. Winston Gittens. In his second report, Dr. Cameron confirmed his earlier opinion that Mrs. Gulati suffered a mild-traumatic brain injury but did not develop any post traumatic brain injury. In maintaining his opinions, Dr. Cameron explained that in a case like Mrs. Gulati's, the concussion could be caused by a whiplash motion without the head actually striking a hard surface. Dr. Cameron also continued to place reliance on his belief that Mrs. Gulati has lost consciousness after the Accident and that fact that at the time of his assessment of her she could not remember many of the details surrounding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cross-examination, Dr. Cameron confirmed that in his opinion Mrs. Gulati did not suffer any post-concussion syndrome. He also agreed that the numbness and tingling sensation she felt in her fourth and fifth digits of her left hand and the carpal tunnel syndrome she developed in her wrist were likely unrelated to the November 2009 accident and more probably associated with the fracture to her left elbow a year later.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Dr. Jatinder Singh Sandhu, M.D.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Sandhu is a medical doctor with a specialty in psychiatry. Most of his patients are Indo-Canadians and according to him he speaks their "mother tongues" and is familiar with "their cultural, family and religious values".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At the request of Dr. Cheema, Dr. Sandhu began treating Mrs. Gulati for psychiatric problems she was reporting in December 2009. Dr. Sandhu testified at trial and at the request of the plaintiff was qualified to provide expert opinion evidence in the areas of "mental health, including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At their first appointment in December 2009 Mrs. Gulati described to Dr. Sandhu the events that had occurred on 30 November 2009, including the fact that she had been struck by a car as she was walking in a pedestrian crosswalk, had sustained a fracture to her left humerus, and had suffered soft tissue injuries. She also explained how she thought she had not lost consciousness as a result of the Accident. Dr. Sandhu diagnosed Mrs. Gulati as suffering from Post-Traumatic Stress Disorder with depressive features. To address this condition, he prescribed a course of antidepressant medication for Mrs. Gulati.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Between 24 December 2009 and 11 June 2011, Dr. Sandhu saw Mrs. Gulati on 15 occasions. His first medical-legal, dated 22 June 2011, addresses this time frame and provides the following observations: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Impression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suffered from Pain symptoms associated with accident related soft tissue injuries and Major Depression. The symptoms of Post Traumatic Stress Disorder gradually resolved with time. The pain disorder is caused by injuries doe to a traffic accident on November 30, 2009. Pain and depression symptoms are severe. These symptoms are causing disruption in her personal, social and work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Treatment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antidepressant medication should be continued for long time and she may need them for rest of her life as her pain symptoms will perpetuate her depression. As she gets older, she will have decreased strength to cope with pain and depression. Depression becomes resistant to treatment with time and aging. In the best possible scenario, she may be able to work only part time till age of 60.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Prognosis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Prognosis seems to be poor in her conditions which are likely to become chronic. She is physically and emotionally damaged for the remaining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Sandhu's second report, dated 26 August 2013, addresses the 11 appointments he had with Mrs. Gulati between 18 August 2011 and 24 August 2013. In this supplemental report, Dr. Sandhu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Impression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suffered from Chronic Pain Disorder associated with accident related soft tissue injuries and Chronic Major Depression. The pain disorder and depression are most likely caused by injuries due to a traffic accident on November 30, 2009. Pain symptoms are severe. These symptoms are causing disruption in her personal, social and work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Symptoms of depression are well controlled with [medication] and her sleep is assisted with [medication] at bed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Treatment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present psychiatric medications should be continued for long time and she may need them for rest of her life as her pain symptoms will perpetuate her depression. As she gets older, she will have decreased strength to cope with pain and depression. Depression becomes resistant to treatment with time and aging.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best possible scenario, she may be able to work only part time till age of 60. She has tried her best to remain productive last year and this year. She likes to work when she can and does not like dependence on others...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Prognosis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Prognosis seems to be poor in her conditions which have become chronic. She is physically and emotionally damaged for her remaining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cross-examination, Dr. Sandhu agreed that Mrs. Gulati had recovered from her post-traumatic stress disorder. He also agreed that her depression is well managed with medication. He confirmed that in his opinion Mrs. Gulati's mood and condition seemed to improve when she was working full time. With regard to Mrs. Gulati's ability to work, Dr. Sandhu agreed that his opinion went beyond his expertise and that he should not have offered it in his reports.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Dr. Winston Gittens, M.D.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Gittens is a medical doctor with a specialty in neurology and neurosurgery. At the request of the defence, Dr. Gittens examined Mrs. Gulati on 22 January 2013 and prepared a medical-legal report that same day. Dr. Gittens testified at trial and was qualified to give expert opinion evidence in the areas of "diagnosis and treatment of injuries and diseases to the neurological system of the human body, including the brain".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Dr. Gittens' opinion Mrs. Gulati did not suffer a concussion or traumatic brain injury as a result of the Accident. In his medical-legal report, Dr. Gittens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Gulati...suffered the left mid-shaft [humerus] fracture, soft tissue injury to multiple areas and post-traumatic headache as a result of the motor vehicle accident. Over time, she has gone on to have chronic pain in multiple locations. This includes headache, neck, left upper extremity, shoulder and back. She has developed what was felt to be a transient problem with Post-Traumatic Stress Disorder and depression. The latter may still be persistent to some extent. The former Dr. Sandhu thinks has resolved.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regard to the head injury, there is no good evidence that Ms. Gulati suffered a blow to the head. There was no loss of consciousness reported by the paramedics, or reported to the emergency physicians or to Dr. Cheema on her first visit. Furthermore, Ms. Gulati did not develop any symptoms of the post-concussion syndrome. She had post-traumatic headache related to the soft tissue neck injury. The history of impaired cognitive function, i.e. loss of memory, was late in its appearance. In fact, it was not until October the following year that there was any report of memory problems to Dr. Cheema. Therefore, taking this into consideration, it is my opinion that Ms. Gulati did not have a head injury and that any cognitive problems which she now reports are unrelated to any head trauma and more likely to be related to other factors, including chronic pain and possibly depression with mood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far as the headache, neck pain and lower back pain is concerned, the clinical features would not suggest that she would benefit from any disc surgery or any form of spinal surgery at this time. It is difficult to predict the future with respect to the need for surgery, but any surgery to the spine I would believe would be most likely on the basis of degenerative change rather than related to this specific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Lastly, in regard to the prognosis, I think that is a reflection of chronic pain and she will, I believe, have continued pain in many locations described. There may be a need for some assistance with the management of chronic pain. I do not know that a multidisciplinary Pain Clinic is going to make any difference to her, but certainly there may be benefit from some psychological counselling and counselling with respect to coping mechanisms in regard to chronic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far as her work is concerned, I understand that this is seasonal and she should be able to continue to work in the capacity that she has been working.</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Dr. Jordan Leith, M.D.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Leith is a medical doctor a specialty in orthopedic surgery. He is a member of Specialist Referral Clinic (Vancouver) Inc. At the request of the defence, Dr. Leith examined Mrs. Gulati on 16 July 2013. At trial he was qualified to give expert opinion evidence in the area of "diagnosing and treating injuries and diseases of the skeletal system and of the connected soft tissues of the human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his medical-legal report dated 9 August 2013, Dr. Leith agreed with Dr. Jackson's conclusions regarding Mrs. Gulati's pre-existing osteoarthritis and the likely role it will have in the future pain and stiffness she suffers in her left arm. Under the heading "Opinion", Dr. Leith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clear that Ms. Gulati sustained a number of soft tissue injuries in the subject pedestrian struck accident. She also sustained a fracture to her left midshaft humerus that failed to hear with conservative management and required an open reduction and internal fixation.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subject accident is responsible for the fractured proximal humerus and the minor soft tissue injuries affecting her neck and back. There is no indication of any other injuries resulting from the subject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all accounts, the proximal humeral fracture healed in the usual manner following the operative fixation. This injury did not involve the shoulder or elbow joints.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left arm was reinjured secondary to a fall. She sustained an intraarticular distal humeral/elbow injury requiring an open reduction and internal fixation. This injury involving the structures of the joint and the joint cartilage is a more significant injury then (sic) the fracture sustained in the subject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distal humeral/elbow fracture, has also healed fully and should not significantly affect her ability to function.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Much of her ongoing pain over the scar is clearly the result of the subject accident since the pain is localized to the mid upper arm area. Any symptoms experienced around the left elbow and the forearm and hand are not the result of the subject accident but are secondary to the elbow fracture sustained independently in the fall that occurred well after the subject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Furthermore, the symptoms associated with the loss of shoulder motion are not due to the subject accident but are secondary to the pre-existing osteoarthritis of the left shoulder and its natural history of progression. She also described pain about the shoulder joint region. This pain is secondary to the osteoarthritis of the left shoulder and not due to the subject accident. The shoulder joint was not involved in the fracture to the humerus as the fracture was extra-articular and did not extend to the shoulder joint. The loss of function from the limited range of motion and pain localized about the left shoulder joint is not the responsibility of the subject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Overall, the prognosis from the humeral shaft injury is excellent as it does not involve any of the joints and will not result in any long-term degenerative sequelae. These fractures once healed do not usually result in any functional disability. They can have residual pain over the fracture site from the hardware or the fracture callus or from the soft tissue envelop also injured at the time of the fracture.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not expect there to be any problems with respect to work in a sedentary position as Ms. Gulati has been involved in. She should be able to work at a call centre following the expected recovery time from a fracture of this nature.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injury to the elbow joint with the fall, however, will likely result in some slowly progressive degenerative change to the joint over time. It will likely not result in any significant physical disability during her lifetime.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Leith's opinion that the fracture to her left humerus played no direct role in the osteoarthritis in her shoulder becoming symptomatic is based principally on the lack of any record of complaint by Mrs. Gulati until December 2009. On cross-examination, Dr. Leith agreed that if Mrs. Gulati had injured her left shoulder in the Accident, then the subsequent development of pain and stiffness in the shoulder would likely be related to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my opinion, Mrs. Gulati did suffer a number of serious injuries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There is no denying that the fracture to her left humerus is solely attributable to the Accident and that this injury was the most serious one caused by the Accident. In my view, the pain and stiffness that she continues to feel in her left arm and shoulder is principally because of the broken humerus. While I accept that the osteoarthritis in her left shoulder would likely have become more prominent over time; I find the Accident did aggravate it and prompt it to become symptomatic earlier than it otherwise would have. The same can be said about the pain in Mrs. Gulati's knees.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am satisfied that for a short period of time Mrs. Gulati suffered from post-traumatic stress but that it is now completely resolved. In this regard, I accept the evidence of Dr. Sandhu.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Chan accepts that Mrs. Gulati suffered soft tissue injuries to her neck, hips and lower back. He also accepts that she has depression and post-traumatic headaches after the accident. In my opinion, while the depression is being well managed with medication, Mrs. Gulati continues to suffer from chronic pain and depression and will likely do so for the remainder of her life. Moreover, I find that Mrs. Gulati has developed symptoms in her left hand that are consistent with De quervain's Tenosynovitis and that this condition is attributable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Chan does not dispute that Mrs. Gulati suffered a mild hearing loss in her left ear, as described by Dr. Longridge. In my view that is an appropriate concession for I found Dr. Longridge's evidence in this area to be convincing. I also find that Mrs. Gulati is now dealing with minor balance and dizziness issues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am not satisfied that Mrs. Gulati suffered a concussion or mild-traumatic brain injury. In my opinion, the evidence on this issue conflicts and is inconclusive. I accept the evidence of Mr. Leverett and Mr. Michel that Mrs. Gulati was conscious and appropriately responsive immediately after the Accident. The suggestion by Mrs. Gulati that she had lost consciousness and could not remember the details of what had occurred was only made to some of her health care professionals well after the Accident. At trial, when asked by her counsel in examination-in-chief whether she had lost consciousness after being struck by Mr. Chan's vehicle, Mrs. Gulati was uncertain, replying that she did not know and that she "might have". I am not satisfied that Mrs. Gulati's present inability to remember or recount all of the details of the Accident is attributable to an Accident-related head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Although I have not concluded that Mrs. Gulati suffered a concussion or mild traumatic brain injury, I accept that she does suffer from mild difficulties with her short-term memory and that this condition is more likely related to her post-accident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There was an intervening event that will impact the amount of damages that Mrs. Gulati is entitled to. That event was the severe fracture she suffered to her left elbow in 2011. On this question, I reject the evidence of Dr. Cheema that the injury was not as significant as the one she suffered to her left arm in November 2009. I prefer the evidence of the orthopedic surgeons who opined that the fracture to the elbow was a major trauma to Mrs. Gulati's arm and resulted in the aggravation of existing symptoms as well as new and distinct symptoms. In this regard, I reject Mrs. Gulati's claim that the carpal tunnel syndrome and other symptoms that developed in her left arm and hand after her fall in 2011 are causally related to the Accident in November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Mrs. Gulati testified that she became a different person after the Accident. The evidence from her family members and friends confirm this fact. On account of the Accident, Mrs. Gulati had difficulty maintaining the role she had assumed and played in her family. She withdrew from her husband and children as well as her friends. She had problems sleeping and often became irritable and had significant mood swings. The resulting tension in the home placed great strain on her relationship with her husband and daughters. Her activity levels within the community as well as her recreational activities have diminished not only because of her physical condition but her emotional condition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seeks damages under the following headings:</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Wage Loss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Wages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Housekeeping</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Mrs. Gulati is entitled to be compensated for the pain, suffering, loss of enjoyment of life and loss of amenities that have resulted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Kirkpatrick J.A. explained some of the factors that are relevant to the assessment of non-pecuniary damages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evidence from Mrs. Gulati's family members and friends who testified at trial uniformly points to a significant change in her personality and activity levels post-accident. Before the Accident, she was a vibrant, active person who worked outside of the home and took care of many of the domestic tasks at home. She was friendly and outgoing and participated in community events. After the Accident, she withdrew from her friends and family. She was easily irritated and this caused tension and problems in her relations with her husband and children. It also caused her to become ostracized from her friends and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Counsel for Mrs. Gulati submits that an award of non-pecuniary damages in the range of $160,000 to $170,000 would be appropriate in the circumstances of this case. In support of this position, he relies upon the following case authorities:</w:t>
      </w:r>
      <w:r>
        <w:rPr>
          <w:rFonts w:ascii="arial" w:eastAsia="arial" w:hAnsi="arial" w:cs="arial"/>
          <w:sz w:val="20"/>
          <w:lang w:val="en-US" w:eastAsia="en-US" w:bidi="ar-SA"/>
        </w:rPr>
        <w:cr/>
      </w:r>
    </w:p>
    <w:p>
      <w:pPr>
        <w:numPr>
          <w:numId w:val="4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Adamson v. Charity</w:t>
      </w:r>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2007 BCSC 671</w:t>
        </w:r>
      </w:hyperlink>
      <w:r>
        <w:rPr>
          <w:rFonts w:ascii="arial" w:eastAsia="arial" w:hAnsi="arial" w:cs="arial"/>
          <w:color w:val="000000"/>
          <w:sz w:val="20"/>
          <w:lang w:val="en-US" w:eastAsia="en-US" w:bidi="ar-SA"/>
        </w:rPr>
        <w:t xml:space="preserve"> ($200,000)</w:t>
      </w:r>
    </w:p>
    <w:p>
      <w:pPr>
        <w:numPr>
          <w:numId w:val="4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Han v. Chahal</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2013 BCSC 1575</w:t>
        </w:r>
      </w:hyperlink>
      <w:r>
        <w:rPr>
          <w:rFonts w:ascii="arial" w:eastAsia="arial" w:hAnsi="arial" w:cs="arial"/>
          <w:color w:val="000000"/>
          <w:sz w:val="20"/>
          <w:lang w:val="en-US" w:eastAsia="en-US" w:bidi="ar-SA"/>
        </w:rPr>
        <w:t xml:space="preserve"> ($140,000)</w:t>
      </w:r>
    </w:p>
    <w:p>
      <w:pPr>
        <w:numPr>
          <w:numId w:val="4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Scoates v. Dermott</w:t>
      </w:r>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2012 BCSC 485</w:t>
        </w:r>
      </w:hyperlink>
      <w:r>
        <w:rPr>
          <w:rFonts w:ascii="arial" w:eastAsia="arial" w:hAnsi="arial" w:cs="arial"/>
          <w:color w:val="000000"/>
          <w:sz w:val="20"/>
          <w:lang w:val="en-US" w:eastAsia="en-US" w:bidi="ar-SA"/>
        </w:rPr>
        <w:t xml:space="preserve"> ($250,000)</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Sirna v. Smolinski</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2007 BCSC 967</w:t>
        </w:r>
      </w:hyperlink>
      <w:r>
        <w:rPr>
          <w:rFonts w:ascii="arial" w:eastAsia="arial" w:hAnsi="arial" w:cs="arial"/>
          <w:color w:val="000000"/>
          <w:sz w:val="20"/>
          <w:lang w:val="en-US" w:eastAsia="en-US" w:bidi="ar-SA"/>
        </w:rPr>
        <w:t xml:space="preserve">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defence submits that the appropriate range for an award for non-pecuniary damages is between $50,000 and $75,000. In doing so counsel for Mr. Chan relies upon the following case authorities:</w:t>
      </w:r>
      <w:r>
        <w:rPr>
          <w:rFonts w:ascii="arial" w:eastAsia="arial" w:hAnsi="arial" w:cs="arial"/>
          <w:sz w:val="20"/>
          <w:lang w:val="en-US" w:eastAsia="en-US" w:bidi="ar-SA"/>
        </w:rPr>
        <w:cr/>
      </w:r>
    </w:p>
    <w:p>
      <w:pPr>
        <w:numPr>
          <w:numId w:val="4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Garcia v. Charters</w:t>
      </w:r>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2006 BCSC 875</w:t>
        </w:r>
      </w:hyperlink>
      <w:r>
        <w:rPr>
          <w:rFonts w:ascii="arial" w:eastAsia="arial" w:hAnsi="arial" w:cs="arial"/>
          <w:color w:val="000000"/>
          <w:sz w:val="20"/>
          <w:lang w:val="en-US" w:eastAsia="en-US" w:bidi="ar-SA"/>
        </w:rPr>
        <w:t xml:space="preserve"> ($45,000)</w:t>
      </w:r>
    </w:p>
    <w:p>
      <w:pPr>
        <w:numPr>
          <w:numId w:val="4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Prasad v. Wepruk</w:t>
      </w:r>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2004 BCSC 578</w:t>
        </w:r>
      </w:hyperlink>
      <w:r>
        <w:rPr>
          <w:rFonts w:ascii="arial" w:eastAsia="arial" w:hAnsi="arial" w:cs="arial"/>
          <w:color w:val="000000"/>
          <w:sz w:val="20"/>
          <w:lang w:val="en-US" w:eastAsia="en-US" w:bidi="ar-SA"/>
        </w:rPr>
        <w:t xml:space="preserve"> ($35,000)</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Kralik v. Mount Seymour Resort</w:t>
      </w:r>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2007 BCSC 258</w:t>
        </w:r>
      </w:hyperlink>
      <w:r>
        <w:rPr>
          <w:rFonts w:ascii="arial" w:eastAsia="arial" w:hAnsi="arial" w:cs="arial"/>
          <w:color w:val="000000"/>
          <w:sz w:val="20"/>
          <w:lang w:val="en-US" w:eastAsia="en-US" w:bidi="ar-SA"/>
        </w:rPr>
        <w:t xml:space="preserve">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quantum of non-pecuniary damages a plaintiff is entitled to is determined and directly linked to the particular facts of each the case. I have reviewed and considered the authorities provided by counsel for Mrs. Gulati and in my opinion most of them are of little assistance because they involve much more aggravating features than those presently before me. In </w:t>
      </w:r>
      <w:r>
        <w:rPr>
          <w:rFonts w:ascii="arial" w:eastAsia="arial" w:hAnsi="arial" w:cs="arial"/>
          <w:i/>
          <w:color w:val="000000"/>
          <w:sz w:val="20"/>
          <w:lang w:val="en-US" w:eastAsia="en-US" w:bidi="ar-SA"/>
        </w:rPr>
        <w:t>Adamson</w:t>
      </w:r>
      <w:r>
        <w:rPr>
          <w:rFonts w:ascii="arial" w:eastAsia="arial" w:hAnsi="arial" w:cs="arial"/>
          <w:color w:val="000000"/>
          <w:sz w:val="20"/>
          <w:lang w:val="en-US" w:eastAsia="en-US" w:bidi="ar-SA"/>
        </w:rPr>
        <w:t xml:space="preserve"> the plaintiff suffered a mild traumatic brain injury with significant residual memory and attention problems. Those noteworthy features are not present in Mrs. Gulati's case. I also find the circumstances in </w:t>
      </w:r>
      <w:r>
        <w:rPr>
          <w:rFonts w:ascii="arial" w:eastAsia="arial" w:hAnsi="arial" w:cs="arial"/>
          <w:i/>
          <w:color w:val="000000"/>
          <w:sz w:val="20"/>
          <w:lang w:val="en-US" w:eastAsia="en-US" w:bidi="ar-SA"/>
        </w:rPr>
        <w:t>Scoates</w:t>
      </w:r>
      <w:r>
        <w:rPr>
          <w:rFonts w:ascii="arial" w:eastAsia="arial" w:hAnsi="arial" w:cs="arial"/>
          <w:color w:val="000000"/>
          <w:sz w:val="20"/>
          <w:lang w:val="en-US" w:eastAsia="en-US" w:bidi="ar-SA"/>
        </w:rPr>
        <w:t xml:space="preserve"> to be markedly different from those before me. In that case the plaintiff had been involved in a serious motor vehicle accident, followed by three other less serious accidents. In the first accident the plaintiff was struck by a motor vehicle as he rode his motorcycle through an intersection. The plaintiff was thrown forty feet and bounced off of the pavement. Amongst other injuries, he suffered a significant fracture to his pelvis and right wrist. The plaintiff was left with permanent physical disabilities that prevented him from returning to his career as an ambulance paramedic. In </w:t>
      </w:r>
      <w:r>
        <w:rPr>
          <w:rFonts w:ascii="arial" w:eastAsia="arial" w:hAnsi="arial" w:cs="arial"/>
          <w:i/>
          <w:color w:val="000000"/>
          <w:sz w:val="20"/>
          <w:lang w:val="en-US" w:eastAsia="en-US" w:bidi="ar-SA"/>
        </w:rPr>
        <w:t>Sirna</w:t>
      </w:r>
      <w:r>
        <w:rPr>
          <w:rFonts w:ascii="arial" w:eastAsia="arial" w:hAnsi="arial" w:cs="arial"/>
          <w:color w:val="000000"/>
          <w:sz w:val="20"/>
          <w:lang w:val="en-US" w:eastAsia="en-US" w:bidi="ar-SA"/>
        </w:rPr>
        <w:t xml:space="preserve">, the plaintiff was rollerblading across a marked pedestrian crosswalk when she was struck by the defendant's motor vehicle. The plaintiff suffered severe injuries, including chronic pain and fatigue associated with her soft tissue injuries and a mild traumatic brain injury that left her with an impaired sense of smell and permanent cognitive deficits. In my view, the injuries the plaintiff suffered in </w:t>
      </w:r>
      <w:r>
        <w:rPr>
          <w:rFonts w:ascii="arial" w:eastAsia="arial" w:hAnsi="arial" w:cs="arial"/>
          <w:i/>
          <w:color w:val="000000"/>
          <w:sz w:val="20"/>
          <w:lang w:val="en-US" w:eastAsia="en-US" w:bidi="ar-SA"/>
        </w:rPr>
        <w:t>Sirna</w:t>
      </w:r>
      <w:r>
        <w:rPr>
          <w:rFonts w:ascii="arial" w:eastAsia="arial" w:hAnsi="arial" w:cs="arial"/>
          <w:color w:val="000000"/>
          <w:sz w:val="20"/>
          <w:lang w:val="en-US" w:eastAsia="en-US" w:bidi="ar-SA"/>
        </w:rPr>
        <w:t xml:space="preserve"> are more aggravated that those Mrs. Gulati has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A case that is closer to the one before me is </w:t>
      </w:r>
      <w:r>
        <w:rPr>
          <w:rFonts w:ascii="arial" w:eastAsia="arial" w:hAnsi="arial" w:cs="arial"/>
          <w:i/>
          <w:color w:val="000000"/>
          <w:sz w:val="20"/>
          <w:lang w:val="en-US" w:eastAsia="en-US" w:bidi="ar-SA"/>
        </w:rPr>
        <w:t>Han</w:t>
      </w:r>
      <w:r>
        <w:rPr>
          <w:rFonts w:ascii="arial" w:eastAsia="arial" w:hAnsi="arial" w:cs="arial"/>
          <w:color w:val="000000"/>
          <w:sz w:val="20"/>
          <w:lang w:val="en-US" w:eastAsia="en-US" w:bidi="ar-SA"/>
        </w:rPr>
        <w:t>. In that case the plaintiff was walking in a marked crosswalk when she was struck by a motor vehicle. The plaintiff asserted that she suffered a number of injuries on account of the accident, including a fractured femur, a fractured wrist, soft tissue injuries to her neck, back and shoulders, a concussion, and depression. The court accepted most of the plaintiff's claims, finding she had suffered the injuries to her leg and wrist and did suffer from chronic pain in her neck, back and shoulders. While the court rejected the plaintiff's claim that she suffered a mild traumatic brain injury, it did find the plaintiff had suffered from moderate to severe depression and that this condition likely "to some extent" affected her cognitive functions. For her non-pecuniary damages, the court awarded the plaintiff $140,000.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cases cited by counsel for Mr. Chan are, in my opinion, distinguishable on account they reflect awards for circumstances that are less egregious than those in Mrs. Gulati's case. For example, in </w:t>
      </w:r>
      <w:r>
        <w:rPr>
          <w:rFonts w:ascii="arial" w:eastAsia="arial" w:hAnsi="arial" w:cs="arial"/>
          <w:i/>
          <w:color w:val="000000"/>
          <w:sz w:val="20"/>
          <w:lang w:val="en-US" w:eastAsia="en-US" w:bidi="ar-SA"/>
        </w:rPr>
        <w:t>Garcia</w:t>
      </w:r>
      <w:r>
        <w:rPr>
          <w:rFonts w:ascii="arial" w:eastAsia="arial" w:hAnsi="arial" w:cs="arial"/>
          <w:color w:val="000000"/>
          <w:sz w:val="20"/>
          <w:lang w:val="en-US" w:eastAsia="en-US" w:bidi="ar-SA"/>
        </w:rPr>
        <w:t xml:space="preserve"> the plaintiff was awarded $45,000 for her non-pecuniary damages. While the principal injury to the plaintiff was similar to Mrs. Gulati's, in that Ms. Garcia suffered a broken humerus, that was essentially the extent of her injuries. Although Ms. Garcia did suffer some emotional upset on account of the scar that resulted from the surgery to repair her arm, she did not suffer any depression or post-traumatic stress as Mrs. Gulati has in the present case. In </w:t>
      </w:r>
      <w:r>
        <w:rPr>
          <w:rFonts w:ascii="arial" w:eastAsia="arial" w:hAnsi="arial" w:cs="arial"/>
          <w:i/>
          <w:color w:val="000000"/>
          <w:sz w:val="20"/>
          <w:lang w:val="en-US" w:eastAsia="en-US" w:bidi="ar-SA"/>
        </w:rPr>
        <w:t>Prasad</w:t>
      </w:r>
      <w:r>
        <w:rPr>
          <w:rFonts w:ascii="arial" w:eastAsia="arial" w:hAnsi="arial" w:cs="arial"/>
          <w:color w:val="000000"/>
          <w:sz w:val="20"/>
          <w:lang w:val="en-US" w:eastAsia="en-US" w:bidi="ar-SA"/>
        </w:rPr>
        <w:t xml:space="preserve">, the 77 year old plaintiff was attacked by a dog. The resulting injuries included multiple puncture wounds that left him with a permanent disability to his right hand. He was also traumatized by the attack and had developed a fear of dogs. The court found that Mr. Prasad's quality of life had been "significantly diminished" and awarded him $35,000 in non-pecuniary damages. Although the consequences of the events in </w:t>
      </w:r>
      <w:r>
        <w:rPr>
          <w:rFonts w:ascii="arial" w:eastAsia="arial" w:hAnsi="arial" w:cs="arial"/>
          <w:i/>
          <w:color w:val="000000"/>
          <w:sz w:val="20"/>
          <w:lang w:val="en-US" w:eastAsia="en-US" w:bidi="ar-SA"/>
        </w:rPr>
        <w:t>Prasad</w:t>
      </w:r>
      <w:r>
        <w:rPr>
          <w:rFonts w:ascii="arial" w:eastAsia="arial" w:hAnsi="arial" w:cs="arial"/>
          <w:color w:val="000000"/>
          <w:sz w:val="20"/>
          <w:lang w:val="en-US" w:eastAsia="en-US" w:bidi="ar-SA"/>
        </w:rPr>
        <w:t xml:space="preserve"> were significant for the plaintiff, given the factual distinctions between that case and the present one, as well as the fact that Mrs. Gulati has suffered greater and more serious injuries, I find the award in </w:t>
      </w:r>
      <w:r>
        <w:rPr>
          <w:rFonts w:ascii="arial" w:eastAsia="arial" w:hAnsi="arial" w:cs="arial"/>
          <w:i/>
          <w:color w:val="000000"/>
          <w:sz w:val="20"/>
          <w:lang w:val="en-US" w:eastAsia="en-US" w:bidi="ar-SA"/>
        </w:rPr>
        <w:t>Prasad</w:t>
      </w:r>
      <w:r>
        <w:rPr>
          <w:rFonts w:ascii="arial" w:eastAsia="arial" w:hAnsi="arial" w:cs="arial"/>
          <w:color w:val="000000"/>
          <w:sz w:val="20"/>
          <w:lang w:val="en-US" w:eastAsia="en-US" w:bidi="ar-SA"/>
        </w:rPr>
        <w:t xml:space="preserve"> to be of little assistance to me. I come to the same conclusion after having reviewed the facts and circumstances in </w:t>
      </w:r>
      <w:r>
        <w:rPr>
          <w:rFonts w:ascii="arial" w:eastAsia="arial" w:hAnsi="arial" w:cs="arial"/>
          <w:i/>
          <w:color w:val="000000"/>
          <w:sz w:val="20"/>
          <w:lang w:val="en-US" w:eastAsia="en-US" w:bidi="ar-SA"/>
        </w:rPr>
        <w:t>Kralik</w:t>
      </w:r>
      <w:r>
        <w:rPr>
          <w:rFonts w:ascii="arial" w:eastAsia="arial" w:hAnsi="arial" w:cs="arial"/>
          <w:color w:val="000000"/>
          <w:sz w:val="20"/>
          <w:lang w:val="en-US" w:eastAsia="en-US" w:bidi="ar-SA"/>
        </w:rPr>
        <w:t>. While the plaintiff in that case did suffer a serious fracture to his arm which resulted in a significant change to his lifestyle (like Mrs. Gulati), I find the nature and magnitude of Mrs. Gulati's injuries warrant an award of non-pecuniary damages greater than the $75,000 Mr. Kralik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my view a fair award for non-pecuniary damages in Mrs. Gulati's case would be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Before leaving this head of damages, there remains the question of whether the award should be reduced because of Mrs. Gulati's pre-existing arthritis and the post-accident trauma she suffered to left elbow. This prompts two distinct assessments. The first relates to her pre-existing condition and engages an examination of what have been referred to as the "thin skull" and "crumbling skull" doctrines. These doctrines were explained in </w:t>
      </w:r>
      <w:r>
        <w:rPr>
          <w:rFonts w:ascii="arial" w:eastAsia="arial" w:hAnsi="arial" w:cs="arial"/>
          <w:i/>
          <w:color w:val="000000"/>
          <w:sz w:val="20"/>
          <w:lang w:val="en-US" w:eastAsia="en-US" w:bidi="ar-SA"/>
        </w:rPr>
        <w:t>Ahtey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Thin Skull and "Crumbling Skull" Doctrines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The respondents argued that the plaintiff was predisposed to disc herniation and that this is therefore a case where the "crumbling skull" rule applies. The "crumbling skull" doctrine is an awkward label for a fairly simple idea. It is named after the well-known "thin skull" rule, which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so-called "crumbling skull" rule simply recognizes that the pre-existing condition was inherent in the plaintiff's "original position". The defendant need not put the plaintiff in a position better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Cooper-Stephenson, supra, at pp. 779-780 and John Munkman, </w:t>
      </w:r>
      <w:r>
        <w:rPr>
          <w:rFonts w:ascii="arial" w:eastAsia="arial" w:hAnsi="arial" w:cs="arial"/>
          <w:i/>
          <w:color w:val="000000"/>
          <w:sz w:val="20"/>
          <w:lang w:val="en-US" w:eastAsia="en-US" w:bidi="ar-SA"/>
        </w:rPr>
        <w:t>Damages for Personal Injuries and Death</w:t>
      </w:r>
      <w:r>
        <w:rPr>
          <w:rFonts w:ascii="arial" w:eastAsia="arial" w:hAnsi="arial" w:cs="arial"/>
          <w:color w:val="000000"/>
          <w:sz w:val="20"/>
          <w:lang w:val="en-US" w:eastAsia="en-US" w:bidi="ar-SA"/>
        </w:rPr>
        <w:t xml:space="preserve"> (9th ed. 1993), at pp. 39-40.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this can be taken into account in reducing the overall award: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[1988] O.J. No. 6</w:t>
        </w:r>
      </w:hyperlink>
      <w:r>
        <w:rPr>
          <w:rFonts w:ascii="arial" w:eastAsia="arial" w:hAnsi="arial" w:cs="arial"/>
          <w:color w:val="000000"/>
          <w:sz w:val="20"/>
          <w:lang w:val="en-US" w:eastAsia="en-US" w:bidi="ar-SA"/>
        </w:rPr>
        <w:t xml:space="preserve">, supra; </w:t>
      </w:r>
      <w:r>
        <w:rPr>
          <w:rFonts w:ascii="arial" w:eastAsia="arial" w:hAnsi="arial" w:cs="arial"/>
          <w:i/>
          <w:color w:val="000000"/>
          <w:sz w:val="20"/>
          <w:lang w:val="en-US" w:eastAsia="en-US" w:bidi="ar-SA"/>
        </w:rPr>
        <w:t>Malec v. J.C. Hutton Proprietary Ltd.</w:t>
      </w:r>
      <w:r>
        <w:rPr>
          <w:rFonts w:ascii="arial" w:eastAsia="arial" w:hAnsi="arial" w:cs="arial"/>
          <w:color w:val="000000"/>
          <w:sz w:val="20"/>
          <w:lang w:val="en-US" w:eastAsia="en-US" w:bidi="ar-SA"/>
        </w:rPr>
        <w:t xml:space="preserve">, supra; </w:t>
      </w:r>
      <w:r>
        <w:rPr>
          <w:rFonts w:ascii="arial" w:eastAsia="arial" w:hAnsi="arial" w:cs="arial"/>
          <w:i/>
          <w:color w:val="000000"/>
          <w:sz w:val="20"/>
          <w:lang w:val="en-US" w:eastAsia="en-US" w:bidi="ar-SA"/>
        </w:rPr>
        <w:t>Cooper-Stephenson</w:t>
      </w:r>
      <w:r>
        <w:rPr>
          <w:rFonts w:ascii="arial" w:eastAsia="arial" w:hAnsi="arial" w:cs="arial"/>
          <w:color w:val="000000"/>
          <w:sz w:val="20"/>
          <w:lang w:val="en-US" w:eastAsia="en-US" w:bidi="ar-SA"/>
        </w:rPr>
        <w:t>, supra, at pp. 851-852. This is consistent with the general rule that the plaintiff must be returned to the position he would have been in, with all of its attendant risks and shortcomings, and not a better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The "crumbling skull" argument is the respondents' strongest submission, but in my view it does not succeed on the facts as found by the trial judge. There was no finding of any measurable risk that the disc herniation would have occurred without the accident, and there was therefore no basis to reduce the award to take into account any such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second assessment involves the consideration of the elbow fracture Mrs. Gulati suffered in 2011 and whether it is an independent intervening event that has had an impact upon her life. This assessment was also examined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Independent Intervening Events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The respondents also sought to draw an analogy with cases where an unrelated event, such as a disease or non-tortious accident, occurs after the plaintiff is injured. One such case was </w:t>
      </w:r>
      <w:r>
        <w:rPr>
          <w:rFonts w:ascii="arial" w:eastAsia="arial" w:hAnsi="arial" w:cs="arial"/>
          <w:i/>
          <w:color w:val="000000"/>
          <w:sz w:val="20"/>
          <w:lang w:val="en-US" w:eastAsia="en-US" w:bidi="ar-SA"/>
        </w:rPr>
        <w:t>Jobling v. Associated Dairies Ltd.</w:t>
      </w:r>
      <w:r>
        <w:rPr>
          <w:rFonts w:ascii="arial" w:eastAsia="arial" w:hAnsi="arial" w:cs="arial"/>
          <w:color w:val="000000"/>
          <w:sz w:val="20"/>
          <w:lang w:val="en-US" w:eastAsia="en-US" w:bidi="ar-SA"/>
        </w:rPr>
        <w:t xml:space="preserve">, [1981] 2 All E.R. 752 (H.L.), in which the defendant negligently caused the plaintiff to suffer a back injury. Before the trial took place, it was discovered that the plaintiff had a condition, completely unrelated to the accident, which would have proved totally disabling in a few years. Damages were reduced accordingly. In </w:t>
      </w:r>
      <w:r>
        <w:rPr>
          <w:rFonts w:ascii="arial" w:eastAsia="arial" w:hAnsi="arial" w:cs="arial"/>
          <w:i/>
          <w:color w:val="000000"/>
          <w:sz w:val="20"/>
          <w:lang w:val="en-US" w:eastAsia="en-US" w:bidi="ar-SA"/>
        </w:rPr>
        <w:t>Penner v. Mitchell</w:t>
      </w:r>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(1978), 89 D.L.R. (3d) 343</w:t>
        </w:r>
      </w:hyperlink>
      <w:r>
        <w:rPr>
          <w:rFonts w:ascii="arial" w:eastAsia="arial" w:hAnsi="arial" w:cs="arial"/>
          <w:color w:val="000000"/>
          <w:sz w:val="20"/>
          <w:lang w:val="en-US" w:eastAsia="en-US" w:bidi="ar-SA"/>
        </w:rPr>
        <w:t xml:space="preserve"> (Alta. C.A.), damages for loss of income for 13 months were reduced because the plaintiff had a heart condition, unrelated to the accident, which would have caused her to miss three months of work in any event.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To understand these cases, and to see why they are not applicable to the present situation, one need only consider first principles. The essential purpose and most basic principle of tort law is that the plaintiff must be placed in the position he or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"original position"). However, the plaintiff is not to be placed in a position better than his or her original one. It is therefore necessary not only to determine the plaintiff's position after the tort but also to assess what the "original position" would have been. It is the difference between these positions, the "original position" and the "injured position", which is the plaintiff's loss. In the cases referred to above, the intervening event was unrelated to the tort and therefore affected the plaintiff's "original position". The net loss was therefore not as great as it might have otherwise seemed, so damages were reduced to reflect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defence argues that Mrs. Gulati's pre-existing arthritis renders this case one that is governed by the "crumbling skull" doctrine. Moreover, it maintains that the significant trauma she suffered to her left arm a year and a half after the Accident constitutes a wholly unrelated intervening event. According to the defence, these two factors warrant a reduction of any award for non-pecuniary damages by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 argues the "thin skull" doctrine applies because Mrs. Gulati's pre-existing arthritis was asymptomatic at the time of the Accident. Moreover, the plaintiff maintains that the fracture to her left elbow in 2011 should be of no consequence in the determination of her quantum of damages as the injuries associated with the elbow fracture were indivisible from those she suffered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expert opinions of both Dr. Jackson and Dr. Leith satisfy me that there was a real and material risk that at some point in the future Mrs. Gulati's arthritis in her shoulder and her knees would have flared-up irrespective of the 2009 Accident. Moreover, in my view the left elbow fracture that Mrs. Gulati suffered in 2011 is quite distinct and divisible from the injuries she suffered in 2009 and consequently it represents an intervening event that needs to be considered when assessing the damages Mrs. Gulati is entitled to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my opinion, 20% is the appropriate discount that should be applied in the present case. As such, I assess Mrs. Gulati's non-pecuniary damages at $120,000.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Loss of Past Wages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Mrs. Gulati is entitled to be compensated for the employment income she would have earned, but for the Accident and her resulting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At the time of the Accident, Mrs. Gulati had been working full time at JP Morgan for a period of two and a half years. In 2008, her employment income was approximately $43,500. She earned approximately $41,000 in 2009 and but for the Accident she would have likely earned approximately $44,500.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2009, while still working at JP Morgan, Mrs. Gulati applied for employment with the Canada Revenue Agency (the "CRA"). She did not get a position and consequently remained with JP Morgan.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After the Accident, Mrs. Gulati was in no condition to return to work. However, the Central City Shopping Mall branch of JP Morgan ceased operations at the end of June 2010. As such, even if she could have physically gone back to work with them, there was no work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February 2011, Mrs. Gulati obtained employment with the CRA, working as a call-centre agent working alongside her husband. The work was challenging at first for her; however she was able to perform her duties satisfactorily. Her annual employment income was less than what she used to earn at JP Morgan. For the years 2011 to 2013 Mrs. Gulati's earned $22,000, $37,000 and $30,000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Mrs. Gulati submits that she is entitled to approximately $72,500 for her past loss of income. That figure, calculated to the date of trial, presumes she would have obtained work at a similar rate of pay to what she had been earning at JP Morgan within two months of her former employer's closure. It also presumes she was unable to accept any employment offers from her former employer at Future Shop because of its physical demands. It also attributes the two months' loss of income in May and June 2011 following her fall in 2011 to the November 2009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defence maintains that Mrs. Gulati's loss of past income is limited to the 14-month period between the date of the accident (30 November 2009) and her start of work with the CRA (February 2011). In support of this argument, the defence points to the fact that Mrs. Gulati had applied to work with the CRA in 2009 and was obviously prepared prior to the Accident to accept the type of work and pay that she eventually obtained in 2011. Moreover, the defence argues there is no evidence to corroborate the suggestion that Mrs. Gulati was unable to accept an offer of employment with Future Shop because of her physical condition or any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my opinion, it is likely that Mrs. Gulati would have found employment at or around the same rate of pay that she had been earning at JP Morgan within two months of its closure in June 2010. Consequently, she is entitled to be compensated for her loss of income up to and including the date of trial. That amount will incorporate not only the loss of the income she would have earned from JP Morgan up to its closure but also the income differential between what she would have earned after obtaining comparable employment two months later and what she currently earns from the CRA. With regard to the two months that Mrs. Gulati was absent from work in May and June of 2011, I find the resulting loss of income is strictly on account of her fall and elbow fracture that occurred in April of that year, an event that was causally unrelated to the accident in November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Kevin Turnbull is an economist and chartered accountant with Turnbull &amp; Company. He testified at trial and at the request of the plaintiff was qualified to give expert opinion evidence in the areas of "wage loss calculations and present value of future pecuniary losses". Mr. Turnbull also prepared a number of reports that set out his various calculations regarding Mrs. Gulati's estimated loss of earnings, both past and future, as well as the estimated cost of her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Relying upon Mr. Turnbull's calculations and the findings I have made regarding what Mrs. Gulati's estimated past income would have been but for the Accident, I find that Mrs. Gulati's net past loss of wages amounts to $70,000.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Loss of Future Wages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Mrs. Gulati claims that on account of her accident-related injuries, she is no longer as employable as she was prior to the Accident. With that in mind, she maintains she is entitled to be compensated for the employment income she would have earned in the future,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As previously noted in these reasons, in February 2011 Mrs. Gulati secured employment with the CRA as a call centre agent. This work entails answering telephone calls from the public. To do so, Mrs. Gulati sits at a work desk and wears a telephone headset. She is not restricted from standing-up when answering and speaking on the telephone; however she cannot move away from her desk, except when she is on her scheduled breaks.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Counsel for Mrs. Gulati cites the following passages from </w:t>
      </w:r>
      <w:r>
        <w:rPr>
          <w:rFonts w:ascii="arial" w:eastAsia="arial" w:hAnsi="arial" w:cs="arial"/>
          <w:i/>
          <w:color w:val="000000"/>
          <w:sz w:val="20"/>
          <w:lang w:val="en-US" w:eastAsia="en-US" w:bidi="ar-SA"/>
        </w:rPr>
        <w:t>Tarasevich v. Samsam</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2013 BCSC 1914</w:t>
        </w:r>
      </w:hyperlink>
      <w:r>
        <w:rPr>
          <w:rFonts w:ascii="arial" w:eastAsia="arial" w:hAnsi="arial" w:cs="arial"/>
          <w:color w:val="000000"/>
          <w:sz w:val="20"/>
          <w:lang w:val="en-US" w:eastAsia="en-US" w:bidi="ar-SA"/>
        </w:rPr>
        <w:t xml:space="preserve"> as the test that should be applied in the present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The principles that guide the court on an award for reduction of earning capacity have their genesis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Those principles have been applied in these courts for many years. They include:</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been rendered less capable overall from earning income from all types of employment;</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marketable or attractive as an employee to potential employers;</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lost the ability to take advantage of all job opportunities which might otherwise have been open to him, had he not been injured; and</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valuable to himself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A caveat has been added to those general principles and it is this: it is not every foreclosed endeavor that merits an award. The plaintiff must show that her injuries have diminished her ability to participate in a realistic alternative occupation: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So, for example, a slightly built 60-year-old female could not found a claim for reduction of earning capacity on the proposition that her injury will bar her from a career as a defensive lineman in the Canadian Football League.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The court has discretion in the approach it takes when it quantifies a claim for reduction of earning capacity. In some cases, it may be appropriate to simply compare pre-and post-injury income streams. That has come to be known as the calculation method. In other cases where, for example, the pre-injury income stream cannot be taken to be the best evidence of the claimant's future earning potential, it may be appropriate for the court to make an assessment of the loss. Both approaches are equally valid; whether the court employs one or the other will depend upon the circumstances of the claim: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Functional &amp; Work Capacity Evaluations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Catherine Douglas is an occupational therapist with OT Consulting / Treatment Services Ltd. who was retained by the plaintiff to prepare a physical capacity evaluation of Mrs. Gulati. Ms. Douglas was also asked to prepare a cost of future care analysis. The results of Ms. Douglas' work are contained in her written report dated 27 June 2013. Ms. Douglas also testified at trial and at the request of the plaintiff she was qualified to give expert opinion evidence in the areas of "physical strength limitations regarding employability and current and future function for everyday life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After conducting multiples tests on Mrs. Gulati, Ms. Douglas concluded that Mrs. Gulati is only able to perform part-time work of a non-physical nature. In her report under the heading "Feasibility for Employment", Ms. Douglas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summary, it is my opinion that Ms. Gulati is not competitively employable on a part-time or full-time basis in any of the strength categories as outlined in the </w:t>
      </w:r>
      <w:r>
        <w:rPr>
          <w:rFonts w:ascii="arial" w:eastAsia="arial" w:hAnsi="arial" w:cs="arial"/>
          <w:i/>
          <w:color w:val="000000"/>
          <w:sz w:val="20"/>
          <w:lang w:val="en-US" w:eastAsia="en-US" w:bidi="ar-SA"/>
        </w:rPr>
        <w:t>NOC</w:t>
      </w:r>
      <w:r>
        <w:rPr>
          <w:rFonts w:ascii="arial" w:eastAsia="arial" w:hAnsi="arial" w:cs="arial"/>
          <w:color w:val="000000"/>
          <w:sz w:val="20"/>
          <w:lang w:val="en-US" w:eastAsia="en-US" w:bidi="ar-SA"/>
        </w:rPr>
        <w:t xml:space="preserve"> [National Occupational Classification].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She is not employable on a full-time basis in any of the strength categories as outlined in the </w:t>
      </w:r>
      <w:r>
        <w:rPr>
          <w:rFonts w:ascii="arial" w:eastAsia="arial" w:hAnsi="arial" w:cs="arial"/>
          <w:i/>
          <w:color w:val="000000"/>
          <w:sz w:val="20"/>
          <w:lang w:val="en-US" w:eastAsia="en-US" w:bidi="ar-SA"/>
        </w:rPr>
        <w:t>NOC</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 part-time basis, she would meet the demands for some limited strength occupations as outlined by the </w:t>
      </w:r>
      <w:r>
        <w:rPr>
          <w:rFonts w:ascii="arial" w:eastAsia="arial" w:hAnsi="arial" w:cs="arial"/>
          <w:i/>
          <w:color w:val="000000"/>
          <w:sz w:val="20"/>
          <w:lang w:val="en-US" w:eastAsia="en-US" w:bidi="ar-SA"/>
        </w:rPr>
        <w:t>NOC</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she is non-employable in light, medium and heavy strength occupations as outlined in the </w:t>
      </w:r>
      <w:r>
        <w:rPr>
          <w:rFonts w:ascii="arial" w:eastAsia="arial" w:hAnsi="arial" w:cs="arial"/>
          <w:i/>
          <w:color w:val="000000"/>
          <w:sz w:val="20"/>
          <w:lang w:val="en-US" w:eastAsia="en-US" w:bidi="ar-SA"/>
        </w:rPr>
        <w:t>NOC</w:t>
      </w:r>
      <w:r>
        <w:rPr>
          <w:rFonts w:ascii="arial" w:eastAsia="arial" w:hAnsi="arial" w:cs="arial"/>
          <w:color w:val="000000"/>
          <w:sz w:val="20"/>
          <w:lang w:val="en-US" w:eastAsia="en-US" w:bidi="ar-SA"/>
        </w:rPr>
        <w:t>, as she does not meet the basic strength requirements for these occupations.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his loss of earnings report dated 14 August 2013, Mr. Turnbull commented on Ms. Douglas' conclusion about Mrs. Gulati's employability: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distinction is made by Ms. Douglas between "employable" and "competitively employable". An individual is "employable" if they can meet the various requirements (skills, physical demands, etc.) of a particular occupation. They are "competitively employable" if they can also obtain a position by being a more attractive candidate to a potential employer than rival seekers for the same position. Ms. Douglas has opined that Ms. Gulati is not competitively employable for any job and is only employable for certain sedentary part-time positions. However, in reviewing Ms. Gulati's employment file with the Canada Revenue Agency, I have noted that she spent some time periods there of a few months or more working 30 hours per week, or even on a full time basis (37.5 hours per week). It may be that this level of work is not sustainable for her, but it is also possible that Ms. Douglas has underestimated Ms. Gulati's residual employability.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On cross-examination, Ms. Douglas agreed that she compared Mrs. Gulati's test results against a set of abstract standards and criteria set out in the </w:t>
      </w:r>
      <w:r>
        <w:rPr>
          <w:rFonts w:ascii="arial" w:eastAsia="arial" w:hAnsi="arial" w:cs="arial"/>
          <w:i/>
          <w:color w:val="000000"/>
          <w:sz w:val="20"/>
          <w:lang w:val="en-US" w:eastAsia="en-US" w:bidi="ar-SA"/>
        </w:rPr>
        <w:t>NOC</w:t>
      </w:r>
      <w:r>
        <w:rPr>
          <w:rFonts w:ascii="arial" w:eastAsia="arial" w:hAnsi="arial" w:cs="arial"/>
          <w:color w:val="000000"/>
          <w:sz w:val="20"/>
          <w:lang w:val="en-US" w:eastAsia="en-US" w:bidi="ar-SA"/>
        </w:rPr>
        <w:t xml:space="preserve"> and did not use the actual working conditions Mrs. Gulati experienced working at JP Morgan or experiences working with the CRA. Ms. Douglas also acknowledged that she has not reviewed Mrs. Gulati's employment records from the CRA and was not aware that Mrs. Gulati had recently received excellent reviews and had been able to work on a full-time basis and perform overtime when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Mrs. Gulati was also examined by an occupational therapist retained by the defence. On 14 May 2013 Mrs. Gulati was assessed by Michael Smith an occupational therapist with Back In Motion Functional Assessments Inc. Mr. Smith's observations and conclusions are set out in his functional capacity report dated 18 July 2013. Mr. Smith testified at trial, and at the request of the defence he was qualified to give expert opinion evidence in the areas of "assessing a person's functional abilities and limitations related to self-care, leisure activities, home management activities, work activities as well as future care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Like Ms. Douglas, Mr. Smith had Mrs. Gulati perform a battery of functional evaluation tests. The results of these tests, led Mr. Smith to conclude that Mrs. Gulati was underestimating her ability to work. Mr. Smith also formed the opinion that Mrs. Gulati was able to work full-time as long as the type of employment was not physically demanding. In his report he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Overall, I believe Ms. Gulati to be functionally capable of managing Call Centre vocations on a full-time basis. She noted ergonomic modifications to workstations within her CRA job (e.g. sit-stand workstations and adjustments to her chair, wrist pad, etc.) that allow her to manage any associated symptom reactivity with the demands of this work. While not necessary given her presentation, these alterations and recommendations made are preventative and, in my view, a great addition to such workplaces.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Future Vocation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Gulati reported interest in continuing to work in a Call Centre environment, preferably in a full-time capacity and not seasonally-based work as she has been doing with CRA. Again, I do not see any reason or functional limitation that would preclude her from pursuing full-time and non-seasonal work in a Call Centre in the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Gulati also noted interest in pursuing training and work as a Punjabi-English Interpreter. Functionally, Interpreter work generally requires Sedentary strength capacity...and typically required primary sitting functions while in session with a client...Again Ms. Gulati meets the strength requirements of this work and there were no identified limitations related to primary sitting postures that would preclude her ability to perform this work. Overall Ms. Gulati presents objectively with the functional capacity to manage work as an Interpreter.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On 23 May 2013, Mrs. Gulati reported to Mr. Smith that the day after her assessment she was exhausted, irritable and in pain. Moreover, she claimed these symptoms persisted for the subsequent three or four days. In cross-examination, Mr. Smith agreed that if the post-assessment reports from Mrs. Gulati were accurate, then perhaps he had over-estimated her ability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my opinion, Mrs. Gulati has suffered a loss of future earning capacity as a result of the November 2009 accident. Although Ms. Douglas' evidence suggests Mrs. Gulati is functionally limited to working no more than 20 hours per week, I am not satisfied that is the case. The evidence before me indicates Mrs. Gulati wants to work and that her mood and demeanour improves when she is does. The evidence also indicates that she can and has, in the recent past, successfully worked more than 20 hours per week. Although I found Mrs. Gulati to be a generally credible and reliable witness, I accept Mr. Smith's opinion that she has and is underestimating her ability to work. While I find Mrs. Gulati can no longer regularly perform work that requires significant physical exertion, I am not convinced that she cannot perform more sedentary tasks, like her work with the CRA. Moreover, while I accept that Mrs. Gulati will not be able to resume regular full-time employment (i.e., 40 hours per week), in my view she should be able to perform regular part-time work 30 hours per week with the ability to occasionally take on greater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Mrs. Gulati testified at trial that prior to the Accident, she intended to work as long as she could and that it would likely take her past her 60th birthday. She is now not so sure and wonders if she will have to retire at or around 60. I accept that Mrs. Gulati will have to retire earlier than she had anticipated and that it will likely be before she is 65 years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Given Mrs. Gulati's pre-existing degenerative arthritis in her shoulder and knees as well as the serious trauma she suffered to her left elbow after the Accident, I find there is a real and material risk that she would have suffered some future income loss, irrespective of the Accident. As such, the award under this heading should be reduced to reflect this risk. In assessing non-pecuniary damages, which are both past and future losses, I set the reduction at 15%. Given that loss of future earning capacity is strictly based on a future loss, a greater discount should generally be applied: </w:t>
      </w:r>
      <w:r>
        <w:rPr>
          <w:rFonts w:ascii="arial" w:eastAsia="arial" w:hAnsi="arial" w:cs="arial"/>
          <w:i/>
          <w:color w:val="000000"/>
          <w:sz w:val="20"/>
          <w:lang w:val="en-US" w:eastAsia="en-US" w:bidi="ar-SA"/>
        </w:rPr>
        <w:t>Ghani v. Umran</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2008 BCSC 585</w:t>
        </w:r>
      </w:hyperlink>
      <w:r>
        <w:rPr>
          <w:rFonts w:ascii="arial" w:eastAsia="arial" w:hAnsi="arial" w:cs="arial"/>
          <w:color w:val="000000"/>
          <w:sz w:val="20"/>
          <w:lang w:val="en-US" w:eastAsia="en-US" w:bidi="ar-SA"/>
        </w:rPr>
        <w:t xml:space="preserve"> at para. 62. In my view, a 25% reduction is appropriate in Mrs. Gulati's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Using Mr. Turnbulls' evidence of the present day value of future loss, I assess Mrs. Gulati's loss of future wages at $230,000. Factoring a discount of 25% for Mrs. Gulati's pre-existing condition and other contingencies, Mrs. Gulati's net award is $172,500.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Mrs. Gulati seeks an award of damages for the costs associated with her future care. She argues that all of these costs are linked to the evidence presented at trial of the various health care professionals who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Cheema opined that Mrs. Gulati will require "ongoing treatment" to address her post-traumatic stress disorder and the continued pain she suffers in her para-spinal region. I am not convinced that Dr. Cheema's evidence is of much assistance in determining what future care Mrs. Gulati will require for her Accident injuries. To begin with, I find Dr. Cheema's failure to describe or suggest what treatment might assist Mr. Gulati to be unhelpful. Moreover, I favour Dr. Sandhu's evidence over that of Dr. Cheema on the question of Mrs. Gulati's post-traumatic stress disorder and conclude that this condition is no longer a factor in her life that requires treatment. Lastly, as I have previously noted in these reasons, Dr. Cheema's failure to acknowledge and address the fact that Mrs. Gulati suffered a serious post-accident fracture of her left elbow renders his overall opinion of limited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Jackson recommended that Mrs. Gulati "continue with her exercise routine and strengthening and to follow-up with private physiotherapy as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Sandhu suggested that Mrs. Gulati would likely need medical assistance for the remainder of her life in order to treat her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Dr. Gittens' opinion, Mrs. Gulati would benefit from counselling to help her cope with her chronic pain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her report dated 27 June 2013, Ms. Douglas lists a number of services and items that she opines will assist Mrs. Gulati in managing the injuries she suffered as a result of the Accident. These include sessions with occupational therapist, physiotherapist, and kineseologist. Ms. Douglas also recommends Mrs. Gulati retain a gardener and housekeeper to assist her around her home. Lastly, Ms. Douglas suggests Mrs. Gulati obtain specialized kitchenware to assist her when she is preparing meals at home and a specialized chair, foot rest and headset to help her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cross-examination, Ms. Douglas agreed that the future care services and items she recommended for Mrs. Gulati had not been suggested by any of the medical doctors that had treated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Smith's recommendations concerning Mrs. Gulati's future care were more modest than Ms. Douglas'. He saw value in Mrs. Gulati continuing with her physical fitness routine and with some physiotherapy. In his report dated 14 May 2013, Mr. Smith recommended that Mrs. Gulati "continue her exercise regime to continue to maintain her overall work durability and left upper extremity strength /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Madam Justice Garson explained the evidentiary link that is required between the injury and the recommended future care treatment: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Courts do accept testimony from a variety of health care professionals as to necessary and reasonable costs of future care: </w:t>
      </w:r>
      <w:r>
        <w:rPr>
          <w:rFonts w:ascii="arial" w:eastAsia="arial" w:hAnsi="arial" w:cs="arial"/>
          <w:i/>
          <w:color w:val="000000"/>
          <w:sz w:val="20"/>
          <w:lang w:val="en-US" w:eastAsia="en-US" w:bidi="ar-SA"/>
        </w:rPr>
        <w:t>Jacobson v. Nike Canada Ltd.</w:t>
      </w:r>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(1996), 19 B.C.L.R. (3d) 63</w:t>
        </w:r>
      </w:hyperlink>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133 D.L.R. (4th) 377</w:t>
        </w:r>
      </w:hyperlink>
      <w:r>
        <w:rPr>
          <w:rFonts w:ascii="arial" w:eastAsia="arial" w:hAnsi="arial" w:cs="arial"/>
          <w:color w:val="000000"/>
          <w:sz w:val="20"/>
          <w:lang w:val="en-US" w:eastAsia="en-US" w:bidi="ar-SA"/>
        </w:rPr>
        <w:t xml:space="preserve"> (S.C.) at para. 182; in which Levine J. (as she then was)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[182] The test she enunciated does not, in my view, require that the evidence of the specific care that is required by the plaintiff be provided by a medical doctor. In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[1985] B.C.J. No. 2762</w:t>
        </w:r>
      </w:hyperlink>
      <w:r>
        <w:rPr>
          <w:rFonts w:ascii="arial" w:eastAsia="arial" w:hAnsi="arial" w:cs="arial"/>
          <w:color w:val="000000"/>
          <w:sz w:val="20"/>
          <w:lang w:val="en-US" w:eastAsia="en-US" w:bidi="ar-SA"/>
        </w:rPr>
        <w:t>, McLachlin J. accepted the evidence of a rehabilitation expert as to the type of care that should be provided.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at paras. 43-53, 63; </w:t>
      </w:r>
      <w:r>
        <w:rPr>
          <w:rFonts w:ascii="arial" w:eastAsia="arial" w:hAnsi="arial" w:cs="arial"/>
          <w:i/>
          <w:color w:val="000000"/>
          <w:sz w:val="20"/>
          <w:lang w:val="en-US" w:eastAsia="en-US" w:bidi="ar-SA"/>
        </w:rPr>
        <w:t>Rizzolo v. Brett</w:t>
      </w:r>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2010 BCCA 398</w:t>
        </w:r>
      </w:hyperlink>
      <w:r>
        <w:rPr>
          <w:rFonts w:ascii="arial" w:eastAsia="arial" w:hAnsi="arial" w:cs="arial"/>
          <w:color w:val="000000"/>
          <w:sz w:val="20"/>
          <w:lang w:val="en-US" w:eastAsia="en-US" w:bidi="ar-SA"/>
        </w:rPr>
        <w:t xml:space="preserve"> at paras. 72-83.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I do not consider it necessary, in order for a plaintiff to successfully advance a future cost of care claim, that a physician testify to the medical necessity of each and every item of care that is claimed. But there must be some evidentiary link drawn between the physician's assessment of pain, disability, and recommended treatment and the care recommended by a qualified health care professional: </w:t>
      </w:r>
      <w:r>
        <w:rPr>
          <w:rFonts w:ascii="arial" w:eastAsia="arial" w:hAnsi="arial" w:cs="arial"/>
          <w:i/>
          <w:color w:val="000000"/>
          <w:sz w:val="20"/>
          <w:lang w:val="en-US" w:eastAsia="en-US" w:bidi="ar-SA"/>
        </w:rPr>
        <w:t>Aberdeen</w:t>
      </w:r>
      <w:r>
        <w:rPr>
          <w:rFonts w:ascii="arial" w:eastAsia="arial" w:hAnsi="arial" w:cs="arial"/>
          <w:color w:val="000000"/>
          <w:sz w:val="20"/>
          <w:lang w:val="en-US" w:eastAsia="en-US" w:bidi="ar-SA"/>
        </w:rPr>
        <w:t xml:space="preserve"> at paras. 43,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my opinion Mrs. Gulati will require ongoing counselling and treatment for the depression and chronic pain she continues to suffer as a result of the Accident. This, in my opinion, includes the occupational therapy and kinesiology treatment recommended by Ms. Douglas. Mrs. Gulati will also require continued access to a physical fitness routing at a gymnasium as well as occasional physiotherapy sessions to address the residual effects of her soft-tissue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In my opinion, the evidence of Ms. Douglas and Mr. Smith confirms that Mrs. Gulati can perform most of the household tasks that she did prior to the Accident, though she must do so with greater caution now, especially given the issues she has with her balance. Mrs. Gulati testified that she has returned to cooking most of her family's meals during the week and that her husband has now taken on the role of cooking meals on the weekend. I am not persuaded that Mrs. Gulati cannot return to performing her pre-accident tasks around the home, including the weekend gardening during the spring and summer, if she paces herself appropriately. In </w:t>
      </w:r>
      <w:r>
        <w:rPr>
          <w:rFonts w:ascii="arial" w:eastAsia="arial" w:hAnsi="arial" w:cs="arial"/>
          <w:i/>
          <w:color w:val="000000"/>
          <w:sz w:val="20"/>
          <w:lang w:val="en-US" w:eastAsia="en-US" w:bidi="ar-SA"/>
        </w:rPr>
        <w:t>Travis v. Quan</w:t>
      </w:r>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2009 BCSC 63</w:t>
        </w:r>
      </w:hyperlink>
      <w:r>
        <w:rPr>
          <w:rFonts w:ascii="arial" w:eastAsia="arial" w:hAnsi="arial" w:cs="arial"/>
          <w:color w:val="000000"/>
          <w:sz w:val="20"/>
          <w:lang w:val="en-US" w:eastAsia="en-US" w:bidi="ar-SA"/>
        </w:rPr>
        <w:t>, Mr. Justice Johnston rejected a claim similar to that of Mrs. Gulati. In doing so Justice Johnston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[114] Part of the housekeeping portion of these claims arises out of the fact that the plaintiff's husband is not terribly helpful in that regard. While the defendants cannot expect a family member to take on an unreasonable burden created by injuries to another member of the family, it is not reasonable to expect defendants to pay to have someone perform services that can and should reasonably be taken on by members of the family.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[126] The plaintiff is capable of doing her own housework. She cannot do it all at once as she formerly did, nor can she do it as well as a result of her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[128] The claims advanced for housekeeping are not medically justified, at least to the extent of warranting damages for cost of care for housekeeping. In my view, the claims advanced for housekeeping in this case are better dealt with under non-pecuniary damages and an allowance will be made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The observations of Justice Johnston in </w:t>
      </w:r>
      <w:r>
        <w:rPr>
          <w:rFonts w:ascii="arial" w:eastAsia="arial" w:hAnsi="arial" w:cs="arial"/>
          <w:i/>
          <w:color w:val="000000"/>
          <w:sz w:val="20"/>
          <w:lang w:val="en-US" w:eastAsia="en-US" w:bidi="ar-SA"/>
        </w:rPr>
        <w:t>Travis</w:t>
      </w:r>
      <w:r>
        <w:rPr>
          <w:rFonts w:ascii="arial" w:eastAsia="arial" w:hAnsi="arial" w:cs="arial"/>
          <w:color w:val="000000"/>
          <w:sz w:val="20"/>
          <w:lang w:val="en-US" w:eastAsia="en-US" w:bidi="ar-SA"/>
        </w:rPr>
        <w:t xml:space="preserve"> are apposite to the case at bar. In my opinion, to the extent that Mrs. Gulati is entitled to any compensation for the future costs of housekeeping and gardening, those expenses have been addressed under non-pecuniary damages and there will be no additional award made under the costs of future care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Ms. Douglas and Mr. Turnbull provided evidence regarding the present value of Mrs. Gulati's costs of future care. Having considered this evidence I award her $35,000 under this heading.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Loss of Past Housekeeping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Mrs. Gulati claims that after the Accident, her husband and daughter Joyce were obliged to perform many of the household tasks that she used to perform and consequently she and her family should be compensated for those past costs, even if the work was done gratuitously.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While I accept that Mr. Gulati and Joyce Gulati did have to perform more household chores around their home after the Accident, I am not persuaded that this equates to a past compensable loss. In reaching this conclusion I have kept in mind the fact that Mrs. Gulati had a serious accident in 2011 and in my view this unrelated intervening act would have significantly impacted her ability to perform household chores and required her family members to do more around the home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There will be no award under this head of damage.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Mrs. Gulati is entitled to reimbursement from the defendant for the out-of-pocket expenses she reasonably incurred on account of injuries she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parties have agreed that those expenses amount to $7,522.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the result, Mrs. Gulati is entitled to the following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51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$ 120,000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past wages</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$ 70,000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wages</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$ 172,500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$ 35,000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Past Housekeeping</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nil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$ 7,522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$405,022</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Mrs. Gulati is entitled to her ordinary costs, with leave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G.R.J. GAUL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5"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13" w:history="1">
        <w:r>
          <w:rPr>
            <w:rFonts w:ascii="arial" w:eastAsia="arial" w:hAnsi="arial" w:cs="arial"/>
            <w:b/>
            <w:bCs/>
            <w:i/>
            <w:color w:val="0077CC"/>
            <w:kern w:val="32"/>
            <w:sz w:val="28"/>
            <w:szCs w:val="32"/>
            <w:u w:val="single"/>
            <w:shd w:val="clear" w:color="auto" w:fill="FFFFFF"/>
            <w:lang w:val="en-US" w:eastAsia="en-US" w:bidi="ar-SA"/>
          </w:rPr>
          <w:t>Hooper v. Nair, [2009] B.C.J. No. 1292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L.D. Russell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9-20,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30,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M055033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1292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862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179 A.C.W.S. (3d) 838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Brenda Charlene Hooper, Plaintiff, and Ranjani Nair,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6"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9" w:name="Keywords_20"/>
      <w:bookmarkEnd w:id="139"/>
      <w:r>
        <w:rPr>
          <w:rFonts w:ascii="arial" w:eastAsia="arial" w:hAnsi="arial" w:cs="arial"/>
          <w:b/>
          <w:color w:val="000000"/>
          <w:sz w:val="20"/>
          <w:lang w:val="en-US" w:eastAsia="en-US" w:bidi="ar-SA"/>
        </w:rPr>
        <w:t xml:space="preserve">Damages — Physical and psychological injuries — Physical injuries — Body injuries — Back and spine — Arm injuries — Nerve damage — Psychological injuries — Depression — Considerations impacting on award — Pre-existing injury —  — Action by plaintiff for damages suffered in a motor vehicle accident allowed — Defendant claimed plaintiff was contributorily negligent — Defendant's vehicle struck pedestrian plaintiff within crosswalk — No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found — Plaintiff suffered soft tissue injuries to lower back and neck and continuing pain — Neck pain, 90 per cent of lower back pain and development of Thoracic Outlet Syndrome were causally related to accident — Plaintiff awarded $130,501 in total damages, composed of $104,500 in non-pecuniary damages, $9,000 for pre-trial loss of housekeeping capacity, $7,761 for cost of future care, and $9,240 in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Types of damages — General damages — For personal injuries — Cost of future care — Loss of housekeeping ability — Non-pecuniary loss — Action by plaintiff for damages suffered in a motor vehicle accident allowed — Defendant claimed plaintiff was contributorily negligent — Defendant's vehicle struck pedestrian plaintiff within crosswalk — No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found — Plaintiff suffered soft tissue injuries to lower back and neck and continuing pain — Neck pain, 90 per cent of lower back pain and development of Thoracic Outlet Syndrome were causally related to accident — Plaintiff awarded $130,501 in total damages , composed of $104,500 in non-pecuniary damages, $9,000 for pre-trial loss of housekeeping capacity, $7,761 for cost of future care, and $9,240 in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Pedestrians — Action by plaintiff for damages suffered in a motor vehicle accident allowed — Defendant claimed plaintiff was contributorily negligent — Defendant's vehicle struck pedestrian plaintiff within crosswalk — No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found — Plaintiff suffered soft tissue injuries to lower back and neck and continuing pain — Neck pain, 90 per cent of lower back pain and development of Thoracic Outlet Syndrome were causally related to accident — Plaintiff awarded $130,501 in total damages, composed of $104,500 in non-pecuniary damages, $9,000 for pre-trial loss of housekeeping capacity, $7,761 for cost of future care, and $9,240 in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0" w:name="Case Summary_19"/>
            <w:bookmarkEnd w:id="14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Claim by plaintiff pedestrian for damages for injuries sustained when she was hit by the defendant's car while crossing in a crosswalk on Dec. 3, 2003. The defendant did not dispute that the plaintiff was in the crosswalk and crossing on the pedestrian light and that she ought to have seen the plaintiff crossing, but argued the plaintiff was contributorily negligent for failing to avoid the accident by stepping back when it became clear that the defendant was not going to yield her the right of way. The plaintiff suffered soft tissue injuries to her lower back and neck, and at the time of trial, the plaintiff still suffered from pain in her left shoulder and neck and down her left arm with tingling in her fingers.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1" w:name="Holdings of Court_19"/>
            <w:bookmarkEnd w:id="141"/>
            <w:r>
              <w:rPr>
                <w:rFonts w:ascii="arial" w:eastAsia="arial" w:hAnsi="arial" w:cs="arial"/>
                <w:color w:val="000000"/>
                <w:sz w:val="20"/>
                <w:lang w:val="en-US" w:eastAsia="en-US" w:bidi="ar-SA"/>
              </w:rPr>
              <w:t>HELD: Defendant held 100 per cent liable and plaintiff awarded $130,501 in damages.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addition to the soft tissue injuries to her lower back and neck, based on the medical evidence the plaintiff had developed a form of post-traumatic, dynamic thoracic outlet syndrome causing her pain in her left shoulder down her arm into her hand. The depression she suffered post-accident, was on a balance of probabilities related to her pain and her frustration at the failure of her injuries to substantially improve. In the circumstances, the plaintiff was not contributorily negligent. It was notable that the drivers in the two cars behind the defendant saw the plaintiff waiting for the light and then crossing in the crosswalk. The defendant was familiar with the intersection, and the presence of pedestrians there could not have been a singular occurrence. The plaintiff saw the vehicle moving slowly, and that lack of speed led her to believe the defendant was aware of a presence in the crosswalk. There was nothing to suggest the defendant's car would continue through the crosswalk. Her reaction in freezing and being hit was an understandable one. The defendant was 100 per cent liable for the accident. The weight of the credible medical evidence was that the plaintiff was previously reasonably fit, not suffering acute back pain, and was not suffering any depression immediately prior to the accident. Ninety per cent of her lower back pain, all her neck pain and the development of TOS were causally related to the accident. As for non-pecuniary damages, she was awarded $110,000, less five per cent as a contingency to reflect her pre-existing back condition for a total of $104,500. Her pain had become chronic in nature. She would likely have to live, at a minimum, with background pain. Her lifestyle had been adversely affected. There would be no separate award for future loss of housekeeping capacity. For past wage loss, the claim was a claim for lost opportunity to pursue and obtain new business. Her income had steadily increased since 2003. There was simply no evidence that she had lost opportunities, and thus income as a result of her injuries. Nor was there any evidence her capacity to earn income had been impaired by her injuries. She was awarded $9,000 for pre-trial loss of housekeeping capacity. There was insufficient evidence to support a claim for loss of insurability. She was awarded $7,761 for cost of future care, and $9,240 in special damages. The plaintiff was awarded her costs on Scale B and disbursements.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2" w:name="Counsel_20"/>
      <w:bookmarkEnd w:id="14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7"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V.J. LeBlanc, T. Chandler.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K.E. Ducey, M.D. Booth.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3" w:name="Judgment_20"/>
      <w:bookmarkEnd w:id="143"/>
      <w:r>
        <w:pict>
          <v:line id="_x0000_s1128" style="position:absolute;z-index:2517821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4" w:name="L.D. RUSSELL J._0"/>
            <w:bookmarkEnd w:id="144"/>
            <w:r>
              <w:rPr>
                <w:rFonts w:ascii="arial" w:eastAsia="arial" w:hAnsi="arial" w:cs="arial"/>
                <w:b/>
                <w:color w:val="000000"/>
                <w:sz w:val="30"/>
                <w:lang w:val="en-US" w:eastAsia="en-US" w:bidi="ar-SA"/>
              </w:rPr>
              <w:t>L.D. RUSSELL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Mrs. Hooper was a pedestrian in a crosswalk, crossing on a pedestrian signal for which she had waited, when she was hit by Ms. Nair's car. The accident occurred at 5:00 pm on December 3, 2003 at the intersection of 6th Street and 16th Avenue in Burnaby, B.C.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It was a winter afternoon and darkness had fallen. Ms. Hooper was crossing from southwest to east across 6th Avenue to pick up her dog at a dog daycare located on the east side of 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Nair does not dispute that Ms. Hooper was in the crosswalk and crossing on the pedestrian light. She admits that she should have seen the plaintiff crossing but did not and, thus, liability is admitted. However, Ms. Nair says that the plaintiff was contributorily negligent for failing to avoid the accident by stepping back when it became clear that Ms. Nair was not going to yield the plaintiff the right of way to which the plaintiff was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Issues: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issues in this case are:</w:t>
      </w:r>
      <w:r>
        <w:rPr>
          <w:rFonts w:ascii="arial" w:eastAsia="arial" w:hAnsi="arial" w:cs="arial"/>
          <w:sz w:val="20"/>
          <w:lang w:val="en-US" w:eastAsia="en-US" w:bidi="ar-SA"/>
        </w:rPr>
        <w:cr/>
      </w:r>
    </w:p>
    <w:p>
      <w:pPr>
        <w:numPr>
          <w:numId w:val="1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plaintiff contributorily negligent?</w:t>
      </w:r>
    </w:p>
    <w:p>
      <w:pPr>
        <w:numPr>
          <w:numId w:val="1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quantum of non-pecuniary damages suffered by the plaintiff?</w:t>
      </w:r>
    </w:p>
    <w:p>
      <w:pPr>
        <w:numPr>
          <w:numId w:val="1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suffered past wage loss and if so, in what amount?</w:t>
      </w:r>
    </w:p>
    <w:p>
      <w:pPr>
        <w:numPr>
          <w:numId w:val="1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demonstrated a future loss of capacity and if so, what amount should she be awarded?</w:t>
      </w:r>
    </w:p>
    <w:p>
      <w:pPr>
        <w:numPr>
          <w:numId w:val="1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suffered a loss of homemaking capacity both past and future as a result of the injuries arising from the Accident?</w:t>
      </w:r>
    </w:p>
    <w:p>
      <w:pPr>
        <w:numPr>
          <w:numId w:val="1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suffered a loss of insurability as a result of her injuries?</w:t>
      </w:r>
    </w:p>
    <w:p>
      <w:pPr>
        <w:numPr>
          <w:numId w:val="1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 is the plaintiff entitled to for the cost of future care?</w:t>
      </w:r>
    </w:p>
    <w:p>
      <w:pPr>
        <w:numPr>
          <w:numId w:val="1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plaintiff's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intersection of 16th Avenue and 6th Street in Burnaby where the Accident occurred, is a pedestrian-controlled intersection. As well, there is a light controlling the flow of traffic. The plaintiff pushed the pedestrian signal, waited for the traffic signal and the pedestrian light to change in her favour. The light turned green, the countdown pedestrian signal began and she started to cross the street. She was aware of traffic waiting to turn left towards her and the possibility of traffic turning right behind her because at that intersection, and on both sides of the intersection, all traffic on 16th Avenue must turn left or right. There is no through traffic on 16th Avenue at that intersection and this is ensured through traffic barriers.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car was facing east on 16th Avenue and she was intending to turn left onto 6th Street where she would be heading north.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edged out and started to turn left. Witnesses in the two cars behind the defendant noticed the plaintiff standing on the sidewalk and starting to cross on the light in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began to cross and as she did she noticed the defendant begin to make her left turn. The plaintiff was about halfway between the curb from where she started and the middle of the crosswalk when she saw the defendant's car moving toward her. Because the defendant's car was moving slowly, the plaintiff thought the defendant had seen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was about one-half to three-quarters of the way to the centre line of 6th Street when she saw the defendant's car coming towards her. As the vehicle came closer, she had an instant of panic and recalled putting her arms out to try to stop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car did not stop and as the defendant completed her turn, her right front bumper hit the plaintiff on her left side. The plaintiff was thrown up on the hood of the defendant's car and then she slid off the car on the passenger side, landing on her knees and elbows in the crosswalk, facing the opposite direction from which the defendant's car was travelling.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admitted she did not see the plaintiff before the collision except out of her peripheral vision the moment she hit the plaintiff. The defendant did not brake until after she hit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was familiar with the intersection and knew there was a pedestrian light. However, she blamed the plaintiff's dark clothing on a winter afternoon at 5 pm and the lack of a streetlight at the corner where the plaintiff stood for having failed to see the plaintiff waiting to cross until the light changed, and then failing to see the plaintiff walking in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After the impact, the defendant attempted to assist the plaintiff. As a result of the fall off the defendant's hood, the plaintiff had abraded her elbows and taken the knees out of her pants. Emergency services attended but the plaintiff declined to go to hospital. The plaintiff's husband came to pick her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suffered headaches, neck and shoulder pain accompanied by dizziness after the Accident. The day after the Accident, she went to her family doctor, Dr. Riesling, whose clinical records indicated she was having problems in her neck, back, knees, groin and left triceps muscle.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Sometime after the accident, the plaintiff began to feel heaviness in her left arm along with tingling and numbness.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Over the years since the accident, the plaintiff has tried a number of different treatment methods, both conventional and alternative. At the time of trial, she was still suffering pain in her left shoulder and neck and down her left arm with tingling in her fingers and has been unable to return to her previous running routine without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Drs. Travlos and Salvian have opined that the plaintiff suffers from dynamic Thoracic Outlet Syndrome ("TOS") as a result of the injuries from the Accident. The condition will not require surgery but will present difficulties for the plaintiff for the foreseeable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The plaintiff's pre-accident history: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has some pre-accident history of depression and low back problems. She sought medical consultation respecting her low back in 1989, 1995, 1997, 2000 and again in 2003. The most serious back issue seems to have resulted in a diagnosis from Dr. Caines in 2000 of a grade 1 spondylolisthesis of L5 upon S1. In 2000, she went to physiotherapy for her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low back pain was described by her doctor, Dr. Riesling, as chronic. There is no dispute that it was aggravated by her running routine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Depression was a problem for the plaintiff in the period 2001-2002. She was prescribed Paxil but did not use it because of the side effects. Her depression was situation-based and related largely to financial problems and her husband's declining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While consulting Dr. Caines about her lower back problems, the plaintiff reported tingling and numbness in her hands. Again in 2002, the plaintiff reported tingling and numbness in her hands and feet to Dr. Riesling.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medical evidence on the pre-existing numbness and tingling was equivocal. The TOS experts, Drs. Salvian and Travlos, did not accept that the earlier tingling related to a pre-existing TOS but stated it was more likely to have been a transient hormonal issue. Dr. Maloon noted this pre-existing history and related it to his finding that her current symptoms are unlikely to be related to TOS since she had reported to him that the tingling in her hand was continuous which would not be consistent with TOS.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injuries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is relatively common ground that Ms. Hooper suffered soft tissue injuries to her lower back and neck in the Accident. Further, I accept the medical evidence of Drs. Fry, Travlos and Salvian that Ms. Hooper has developed a form of post-traumatic, dynamic TOS which causes her pain in her left shoulder down her arm into her hand. In addition, she has intermittent tingling in the fingers of her left hand. Although her lower back has improved, the symptoms of the injuries to her neck and shoulder and in particular, the TOS, have not resolved in the almost six years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prefer the evidence of Drs. Travlos and Salvian to that of Dr. Maloon, an orthopaedic consultant, with respect to the diagnosis of TOS because both of them have had extensive experience with TOS, Dr. Travlos as a physiatrist dealing with treatment for the abatement of pain in many cases of TOS and Dr. Salvian, as a vascular surgeon working to diagnose and treat in excess of 2,000 patients for TOS.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Salvian opined that Ms. Hooper demonstrated symptoms typical of a post-traumatic TOS on her left side. He relates this injury to the flexion-extension injury she suffered in the Accident. She is not currently a candidate for surgery and her symptoms have plateaued as of the date of his report: December 8, 2008. Dr. Salvian does not believe the plaintiff's symptoms will improve significantly. That she has coped as well as she has is due to the fact that the plaintiff is right hand dominant and thus has been able to avoid exacerbating her symptoms of TOS through overuse of the left arm and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Following the Accident, the plaintiff had problems with sleeping due to her continuing discomfort. Because she was not sleeping, she was fatigued most of the time. I should also point out that the plaintiff maintained a busy work schedule and cared for a child and a household while she was dealing with her physical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is not surprising that she became depressed and anxious as a result of the continuing discomfort from which she was suffering. It is also not surprising that there was some disruption in the marital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defence points to the history of depression suffered by the plaintiff prior to the Accident as evidence of a pre-existing condition. I disagree that this is the case. While I find it is generally accepted that a depression renders the depressed person more vulnerable to a recurrence of a depression, that is different from alleging that a post-accident depression finds its roots in a pre-accident situational depression which was a reactive depression relating to life stressors such as financial and relationship difficulties. The plaintiff may well have been vulnerable to a depressive reaction to the pain caused by her injuries but she was successful in her job, her financial prospects had improved and her relationships appear to have been positive. Therefore, the depression which she suffered post-Accident was, on a balance of probabilities, related to her pain and her frustration at the failure of her injuries to substantially improve. Put shortly, the Accident was the cause of her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matters now stand, the plaintiff has continuing symptoms in her neck, shoulder, arm and hand. She has good days and bad days but she has attempted to resume jogging, not without pain, and she has continued to do well in her occupation as a commissioned insurance salesperson.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impressed me as a person able to push through her pain. This does not mean she did not and does not suffer, but she has been able through force of will to get on with her life and succeed in her occupation notwithstanding the continuing symptoms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There is evidence her pain and symptoms will likely decrease if she follows a regular exercise regime, avails herself of some gentle additional physiotherapy such as the Feldenkrais therapy, and pre-medicates before undertaking activities which could aggravate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Did the plaintiff contribute to her injuries by her own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 accept the plaintiff's submission that in order to prove that a plaintiff pedestrian was contributorily negligent, the defendant driver bears the onus of establishing not only inadequate attention on the part of the pedestrian but also must show that by the time the pedestrian realized the driver was not going to yield the right-of-way to the pedestrian, that it would at that point have been possible for the pedestrian to avoid the driver's car. As well, the driver must show that a reasonable person in the circumstances of the pedestrian would have taken and succeeded in actions which would have avoided impact with the driver's car: </w:t>
      </w:r>
      <w:r>
        <w:rPr>
          <w:rFonts w:ascii="arial" w:eastAsia="arial" w:hAnsi="arial" w:cs="arial"/>
          <w:i/>
          <w:color w:val="000000"/>
          <w:sz w:val="20"/>
          <w:lang w:val="en-US" w:eastAsia="en-US" w:bidi="ar-SA"/>
        </w:rPr>
        <w:t>Olesik v. Mackin</w:t>
      </w:r>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[1987] B.C.J. No. 229</w:t>
        </w:r>
      </w:hyperlink>
      <w:r>
        <w:rPr>
          <w:rFonts w:ascii="arial" w:eastAsia="arial" w:hAnsi="arial" w:cs="arial"/>
          <w:color w:val="000000"/>
          <w:sz w:val="20"/>
          <w:lang w:val="en-US" w:eastAsia="en-US" w:bidi="ar-SA"/>
        </w:rPr>
        <w:t xml:space="preserve"> (23 February 1987), Vancouver B860365 (S.C.); </w:t>
      </w:r>
      <w:r>
        <w:rPr>
          <w:rFonts w:ascii="arial" w:eastAsia="arial" w:hAnsi="arial" w:cs="arial"/>
          <w:i/>
          <w:color w:val="000000"/>
          <w:sz w:val="20"/>
          <w:lang w:val="en-US" w:eastAsia="en-US" w:bidi="ar-SA"/>
        </w:rPr>
        <w:t>Pinto v. Rana</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[1993] B.C.J. No. 1312</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the circumstances of this Accident, I cannot find the plaintiff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is clear that the defendant was focused on making her left hand turn without actually paying any attention to what was present in the intersection by way of pedestrian hazard. It is notable that the drivers in the two cars behind her saw the plaintiff waiting for the light and then crossing in the crosswalk. By her own admission, the defendant saw nothing before she put her car in motion until she hit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was also apparent the defendant looked only directly in front of her car and not to the right where she would have seen the plaintiff walking in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 was familiar with the intersection. Given there was a pedestrian signal as well as a traffic light, the presence of pedestrians there could not have been a singular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 contends the plaintiff walked into her vehicle. However, I do not find this credible. The plaintiff's version of events simply accords more with common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saw the car moving slowly and its lack of speed led her to believe the defendant was aware of a presence in the crosswalk. While she did not "catch the defendant's eye", likely due to darkness at that hour, there was nothing to suggest in the defendant's driving that her car would continue through the crosswalk so that the plaintiff had a sufficient or any opportunity to understand the defendant would not yield the right-of-way such that she could have jumped out of the way of the defendant's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recalls that as soon as she realized the car was not going to stop, in an almost involuntary gesture, she put her arms out to stop the car. It was at that moment the defendant's car hit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find that the plaintiff's reaction was an understandable one: she did not choose to stand in harm's way, she froze and was hit. Had she had the opportunity to jump out of the way, I have no doubt she would have done so. But she was relying on her right to be where she was and was taken by surprise when the defendant did not brake and, thus, hit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fact that the plaintiff was thrown up onto the hood of the defendant's car is not sufficient to indicate the plaintiff walked into the defendant's car. It is entirely consistent with the defendant's front bumper hitting the plaintiff that the plaintiff ended up on the hood and then slid off to land on the passenger side of the defendant's car facing the opposite direction. Had the plaintiff walked into the defendant's car, it is more likely she would have glanced off the car or fallen onto the hood and slid off to land in the same direction as the defendant's car was headed.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for the defendant's argument that the plaintiff was dressed in dark clothes and, thus, invited injury, it is a form of excuse which I do not accept. The defendant should have seen the plaintiff in the crosswalk. The defendant did not meet her duty to keep a proper lookout as she turned left through the crosswalk, an action by a driver which is fraught with danger for pedestrians from inattentive drivers. I find the defendant 100% liable for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Supreme Court of Canada reaffirmed the "but-for" test remains the primary test for causation: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278 D.L.R. (4th) 643</w:t>
        </w:r>
      </w:hyperlink>
      <w:r>
        <w:rPr>
          <w:rFonts w:ascii="arial" w:eastAsia="arial" w:hAnsi="arial" w:cs="arial"/>
          <w:color w:val="000000"/>
          <w:sz w:val="20"/>
          <w:lang w:val="en-US" w:eastAsia="en-US" w:bidi="ar-SA"/>
        </w:rPr>
        <w:t xml:space="preserve">. This requires the plaintiff to demonstrate, on a balance of probabilities, that the injury would not have occurred but-for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A substantial connection must exist between the act(s) of the defendant and the plaintiff's injury: </w:t>
      </w:r>
      <w:r>
        <w:rPr>
          <w:rFonts w:ascii="arial" w:eastAsia="arial" w:hAnsi="arial" w:cs="arial"/>
          <w:i/>
          <w:color w:val="000000"/>
          <w:sz w:val="20"/>
          <w:lang w:val="en-US" w:eastAsia="en-US" w:bidi="ar-SA"/>
        </w:rPr>
        <w:t>Resurfice</w:t>
      </w:r>
      <w:r>
        <w:rPr>
          <w:rFonts w:ascii="arial" w:eastAsia="arial" w:hAnsi="arial" w:cs="arial"/>
          <w:color w:val="000000"/>
          <w:sz w:val="20"/>
          <w:lang w:val="en-US" w:eastAsia="en-US" w:bidi="ar-SA"/>
        </w:rPr>
        <w:t xml:space="preserve"> at paras. 18-28. The causation test is not to be "determined by scientific precision":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para. 30, </w:t>
      </w:r>
      <w:hyperlink r:id="rId301" w:history="1">
        <w:r>
          <w:rPr>
            <w:rFonts w:ascii="arial" w:eastAsia="arial" w:hAnsi="arial" w:cs="arial"/>
            <w:i/>
            <w:color w:val="0077CC"/>
            <w:sz w:val="20"/>
            <w:u w:val="single"/>
            <w:shd w:val="clear" w:color="auto" w:fill="FFFFFF"/>
            <w:lang w:val="en-US" w:eastAsia="en-US" w:bidi="ar-SA"/>
          </w:rPr>
          <w:t>72 D.L.R. (4th) 289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 argues that a number of the plaintiff's problems have a history which precedes the Accident. The defendant submits the plaintiff had a history of back pain, situational depression, knee pain and tingling and numbness in her hands and feet. The implication of the defendant's argument is that the plaintiff's symptoms of lower back pain, neck pain and shoulder and arm pain cannot be wholly attributed to the Accident. However, I am satisfied that the weight of the credible medical evidence is that Ms. Hooper was reasonably fit, not suffering acute back pain, and was not suffering any depression immediately prior to the Accident. Dr. Riesling did agree that the plaintiff's lower back pain was chronic and was aggravated by her jogging. But it was not seriously symptomatic just prior to the accident. I find that 90% of her lower back pain, all of her neck pain and the development of TOS are causally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purpose of non-pecuniary damage awards is to compensate the plaintiff for "pain, suffering, loss of enjoyment of life and loss of amenities": </w:t>
      </w:r>
      <w:r>
        <w:rPr>
          <w:rFonts w:ascii="arial" w:eastAsia="arial" w:hAnsi="arial" w:cs="arial"/>
          <w:i/>
          <w:color w:val="000000"/>
          <w:sz w:val="20"/>
          <w:lang w:val="en-US" w:eastAsia="en-US" w:bidi="ar-SA"/>
        </w:rPr>
        <w:t>Jackson v. Lai</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2007 BCSC 1023</w:t>
        </w:r>
      </w:hyperlink>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[2007] B.C.J. No. 1535</w:t>
        </w:r>
      </w:hyperlink>
      <w:r>
        <w:rPr>
          <w:rFonts w:ascii="arial" w:eastAsia="arial" w:hAnsi="arial" w:cs="arial"/>
          <w:color w:val="000000"/>
          <w:sz w:val="20"/>
          <w:lang w:val="en-US" w:eastAsia="en-US" w:bidi="ar-SA"/>
        </w:rPr>
        <w:t xml:space="preserve"> at para. 134; also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Kuskis v. Tin</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[2008] B.C.J. No. 1248</w:t>
        </w:r>
      </w:hyperlink>
      <w:r>
        <w:rPr>
          <w:rFonts w:ascii="arial" w:eastAsia="arial" w:hAnsi="arial" w:cs="arial"/>
          <w:color w:val="000000"/>
          <w:sz w:val="20"/>
          <w:lang w:val="en-US" w:eastAsia="en-US" w:bidi="ar-SA"/>
        </w:rPr>
        <w:t xml:space="preserve">. While each award must be made with reference to the particular circumstances and facts of the case, other cases may serve as a guide to assist the court in arriving at an award that is just and fair to both parties: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at para. 136.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There are a number of factors that courts must take into account when assessing this type of claim. Justice Kirkpatrick, writing for the majority,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263 D.L.R. (4th) 19</w:t>
        </w:r>
      </w:hyperlink>
      <w:r>
        <w:rPr>
          <w:rFonts w:ascii="arial" w:eastAsia="arial" w:hAnsi="arial" w:cs="arial"/>
          <w:color w:val="000000"/>
          <w:sz w:val="20"/>
          <w:lang w:val="en-US" w:eastAsia="en-US" w:bidi="ar-SA"/>
        </w:rPr>
        <w:t>, outlines the factors to consider,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 xml:space="preserve"> (B.C.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plaintiff relies on a number of cases in arguing that an award of $60,000 - $80,000 is appropriate in the circumstances: </w:t>
      </w:r>
      <w:r>
        <w:rPr>
          <w:rFonts w:ascii="arial" w:eastAsia="arial" w:hAnsi="arial" w:cs="arial"/>
          <w:i/>
          <w:color w:val="000000"/>
          <w:sz w:val="20"/>
          <w:lang w:val="en-US" w:eastAsia="en-US" w:bidi="ar-SA"/>
        </w:rPr>
        <w:t>Durand v. Bolt</w:t>
      </w:r>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2007 BCSC 480</w:t>
        </w:r>
      </w:hyperlink>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71 B.C.L.R. (4th) 261</w:t>
        </w:r>
      </w:hyperlink>
      <w:r>
        <w:rPr>
          <w:rFonts w:ascii="arial" w:eastAsia="arial" w:hAnsi="arial" w:cs="arial"/>
          <w:color w:val="000000"/>
          <w:sz w:val="20"/>
          <w:lang w:val="en-US" w:eastAsia="en-US" w:bidi="ar-SA"/>
        </w:rPr>
        <w:t xml:space="preserve"> ($75,000); </w:t>
      </w:r>
      <w:r>
        <w:rPr>
          <w:rFonts w:ascii="arial" w:eastAsia="arial" w:hAnsi="arial" w:cs="arial"/>
          <w:i/>
          <w:color w:val="000000"/>
          <w:sz w:val="20"/>
          <w:lang w:val="en-US" w:eastAsia="en-US" w:bidi="ar-SA"/>
        </w:rPr>
        <w:t>Deglow v. Uffelman</w:t>
      </w:r>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2001 BCCA 652</w:t>
        </w:r>
      </w:hyperlink>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96 B.C.L.R. (3d) 130</w:t>
        </w:r>
      </w:hyperlink>
      <w:r>
        <w:rPr>
          <w:rFonts w:ascii="arial" w:eastAsia="arial" w:hAnsi="arial" w:cs="arial"/>
          <w:color w:val="000000"/>
          <w:sz w:val="20"/>
          <w:lang w:val="en-US" w:eastAsia="en-US" w:bidi="ar-SA"/>
        </w:rPr>
        <w:t xml:space="preserve">, (damages reduced to $75,000); </w:t>
      </w:r>
      <w:r>
        <w:rPr>
          <w:rFonts w:ascii="arial" w:eastAsia="arial" w:hAnsi="arial" w:cs="arial"/>
          <w:i/>
          <w:color w:val="000000"/>
          <w:sz w:val="20"/>
          <w:lang w:val="en-US" w:eastAsia="en-US" w:bidi="ar-SA"/>
        </w:rPr>
        <w:t>Heartt v. Royal</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2000 BCSC 1122</w:t>
        </w:r>
      </w:hyperlink>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[2000] B.C.J. No. 1691</w:t>
        </w:r>
      </w:hyperlink>
      <w:r>
        <w:rPr>
          <w:rFonts w:ascii="arial" w:eastAsia="arial" w:hAnsi="arial" w:cs="arial"/>
          <w:color w:val="000000"/>
          <w:sz w:val="20"/>
          <w:lang w:val="en-US" w:eastAsia="en-US" w:bidi="ar-SA"/>
        </w:rPr>
        <w:t xml:space="preserve"> ($60,000); </w:t>
      </w:r>
      <w:r>
        <w:rPr>
          <w:rFonts w:ascii="arial" w:eastAsia="arial" w:hAnsi="arial" w:cs="arial"/>
          <w:i/>
          <w:color w:val="000000"/>
          <w:sz w:val="20"/>
          <w:lang w:val="en-US" w:eastAsia="en-US" w:bidi="ar-SA"/>
        </w:rPr>
        <w:t>Dembowski v. Streliev</w:t>
      </w:r>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1998 CanLII 4599</w:t>
        </w:r>
      </w:hyperlink>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[1998] B.C.J. No. 1693</w:t>
        </w:r>
      </w:hyperlink>
      <w:r>
        <w:rPr>
          <w:rFonts w:ascii="arial" w:eastAsia="arial" w:hAnsi="arial" w:cs="arial"/>
          <w:color w:val="000000"/>
          <w:sz w:val="20"/>
          <w:lang w:val="en-US" w:eastAsia="en-US" w:bidi="ar-SA"/>
        </w:rPr>
        <w:t xml:space="preserve"> (S.C.) ($60,000); </w:t>
      </w:r>
      <w:r>
        <w:rPr>
          <w:rFonts w:ascii="arial" w:eastAsia="arial" w:hAnsi="arial" w:cs="arial"/>
          <w:i/>
          <w:color w:val="000000"/>
          <w:sz w:val="20"/>
          <w:lang w:val="en-US" w:eastAsia="en-US" w:bidi="ar-SA"/>
        </w:rPr>
        <w:t>Mowat v. Orza</w:t>
      </w:r>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2003 BCSC 373</w:t>
        </w:r>
      </w:hyperlink>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[2003] B.C.J. No. 577</w:t>
        </w:r>
      </w:hyperlink>
      <w:r>
        <w:rPr>
          <w:rFonts w:ascii="arial" w:eastAsia="arial" w:hAnsi="arial" w:cs="arial"/>
          <w:color w:val="000000"/>
          <w:sz w:val="20"/>
          <w:lang w:val="en-US" w:eastAsia="en-US" w:bidi="ar-SA"/>
        </w:rPr>
        <w:t xml:space="preserve">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plaintiff has also provided me with inflation values based on the CPI to be attributed to the amounts awarded in older cases: </w:t>
      </w:r>
      <w:r>
        <w:rPr>
          <w:rFonts w:ascii="arial" w:eastAsia="arial" w:hAnsi="arial" w:cs="arial"/>
          <w:i/>
          <w:color w:val="000000"/>
          <w:sz w:val="20"/>
          <w:lang w:val="en-US" w:eastAsia="en-US" w:bidi="ar-SA"/>
        </w:rPr>
        <w:t>Deglow</w:t>
      </w:r>
      <w:r>
        <w:rPr>
          <w:rFonts w:ascii="arial" w:eastAsia="arial" w:hAnsi="arial" w:cs="arial"/>
          <w:color w:val="000000"/>
          <w:sz w:val="20"/>
          <w:lang w:val="en-US" w:eastAsia="en-US" w:bidi="ar-SA"/>
        </w:rPr>
        <w:t xml:space="preserve"> ($87,200); </w:t>
      </w:r>
      <w:r>
        <w:rPr>
          <w:rFonts w:ascii="arial" w:eastAsia="arial" w:hAnsi="arial" w:cs="arial"/>
          <w:i/>
          <w:color w:val="000000"/>
          <w:sz w:val="20"/>
          <w:lang w:val="en-US" w:eastAsia="en-US" w:bidi="ar-SA"/>
        </w:rPr>
        <w:t>Heartt</w:t>
      </w:r>
      <w:r>
        <w:rPr>
          <w:rFonts w:ascii="arial" w:eastAsia="arial" w:hAnsi="arial" w:cs="arial"/>
          <w:color w:val="000000"/>
          <w:sz w:val="20"/>
          <w:lang w:val="en-US" w:eastAsia="en-US" w:bidi="ar-SA"/>
        </w:rPr>
        <w:t xml:space="preserve"> ($70,300); </w:t>
      </w:r>
      <w:r>
        <w:rPr>
          <w:rFonts w:ascii="arial" w:eastAsia="arial" w:hAnsi="arial" w:cs="arial"/>
          <w:i/>
          <w:color w:val="000000"/>
          <w:sz w:val="20"/>
          <w:lang w:val="en-US" w:eastAsia="en-US" w:bidi="ar-SA"/>
        </w:rPr>
        <w:t>Dembowski</w:t>
      </w:r>
      <w:r>
        <w:rPr>
          <w:rFonts w:ascii="arial" w:eastAsia="arial" w:hAnsi="arial" w:cs="arial"/>
          <w:color w:val="000000"/>
          <w:sz w:val="20"/>
          <w:lang w:val="en-US" w:eastAsia="en-US" w:bidi="ar-SA"/>
        </w:rPr>
        <w:t xml:space="preserve"> ($74,500); </w:t>
      </w:r>
      <w:r>
        <w:rPr>
          <w:rFonts w:ascii="arial" w:eastAsia="arial" w:hAnsi="arial" w:cs="arial"/>
          <w:i/>
          <w:color w:val="000000"/>
          <w:sz w:val="20"/>
          <w:lang w:val="en-US" w:eastAsia="en-US" w:bidi="ar-SA"/>
        </w:rPr>
        <w:t>Mowat</w:t>
      </w:r>
      <w:r>
        <w:rPr>
          <w:rFonts w:ascii="arial" w:eastAsia="arial" w:hAnsi="arial" w:cs="arial"/>
          <w:color w:val="000000"/>
          <w:sz w:val="20"/>
          <w:lang w:val="en-US" w:eastAsia="en-US" w:bidi="ar-SA"/>
        </w:rPr>
        <w:t xml:space="preserve"> ($54,900).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defendant argues a smaller award of $30,000 - $40,000 is more appropriate in the circumstances and relies on the following cases: </w:t>
      </w:r>
      <w:r>
        <w:rPr>
          <w:rFonts w:ascii="arial" w:eastAsia="arial" w:hAnsi="arial" w:cs="arial"/>
          <w:i/>
          <w:color w:val="000000"/>
          <w:sz w:val="20"/>
          <w:lang w:val="en-US" w:eastAsia="en-US" w:bidi="ar-SA"/>
        </w:rPr>
        <w:t>Naidu v. Mann</w:t>
      </w:r>
      <w:r>
        <w:rPr>
          <w:rFonts w:ascii="arial" w:eastAsia="arial" w:hAnsi="arial" w:cs="arial"/>
          <w:color w:val="000000"/>
          <w:sz w:val="20"/>
          <w:lang w:val="en-US" w:eastAsia="en-US" w:bidi="ar-SA"/>
        </w:rPr>
        <w:t xml:space="preserve">, </w:t>
      </w:r>
      <w:hyperlink r:id="rId549" w:history="1">
        <w:r>
          <w:rPr>
            <w:rFonts w:ascii="arial" w:eastAsia="arial" w:hAnsi="arial" w:cs="arial"/>
            <w:i/>
            <w:color w:val="0077CC"/>
            <w:sz w:val="20"/>
            <w:u w:val="single"/>
            <w:shd w:val="clear" w:color="auto" w:fill="FFFFFF"/>
            <w:lang w:val="en-US" w:eastAsia="en-US" w:bidi="ar-SA"/>
          </w:rPr>
          <w:t>2007 BCSC 1313</w:t>
        </w:r>
      </w:hyperlink>
      <w:r>
        <w:rPr>
          <w:rFonts w:ascii="arial" w:eastAsia="arial" w:hAnsi="arial" w:cs="arial"/>
          <w:color w:val="000000"/>
          <w:sz w:val="20"/>
          <w:lang w:val="en-US" w:eastAsia="en-US" w:bidi="ar-SA"/>
        </w:rPr>
        <w:t xml:space="preserve">, </w:t>
      </w:r>
      <w:hyperlink r:id="rId549" w:history="1">
        <w:r>
          <w:rPr>
            <w:rFonts w:ascii="arial" w:eastAsia="arial" w:hAnsi="arial" w:cs="arial"/>
            <w:i/>
            <w:color w:val="0077CC"/>
            <w:sz w:val="20"/>
            <w:u w:val="single"/>
            <w:shd w:val="clear" w:color="auto" w:fill="FFFFFF"/>
            <w:lang w:val="en-US" w:eastAsia="en-US" w:bidi="ar-SA"/>
          </w:rPr>
          <w:t>[2007] B.C.J. 1916</w:t>
        </w:r>
      </w:hyperlink>
      <w:r>
        <w:rPr>
          <w:rFonts w:ascii="arial" w:eastAsia="arial" w:hAnsi="arial" w:cs="arial"/>
          <w:color w:val="000000"/>
          <w:sz w:val="20"/>
          <w:lang w:val="en-US" w:eastAsia="en-US" w:bidi="ar-SA"/>
        </w:rPr>
        <w:t xml:space="preserve"> ($50,000 but surgery was required); </w:t>
      </w:r>
      <w:r>
        <w:rPr>
          <w:rFonts w:ascii="arial" w:eastAsia="arial" w:hAnsi="arial" w:cs="arial"/>
          <w:i/>
          <w:color w:val="000000"/>
          <w:sz w:val="20"/>
          <w:lang w:val="en-US" w:eastAsia="en-US" w:bidi="ar-SA"/>
        </w:rPr>
        <w:t>Doosti v. Enterprise Rent-a-Car Ltd.</w:t>
      </w:r>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2006 BCSC 247</w:t>
        </w:r>
      </w:hyperlink>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[2006] B.C.J. No. 325</w:t>
        </w:r>
      </w:hyperlink>
      <w:r>
        <w:rPr>
          <w:rFonts w:ascii="arial" w:eastAsia="arial" w:hAnsi="arial" w:cs="arial"/>
          <w:color w:val="000000"/>
          <w:sz w:val="20"/>
          <w:lang w:val="en-US" w:eastAsia="en-US" w:bidi="ar-SA"/>
        </w:rPr>
        <w:t xml:space="preserve"> ($35,000); </w:t>
      </w:r>
      <w:r>
        <w:rPr>
          <w:rFonts w:ascii="arial" w:eastAsia="arial" w:hAnsi="arial" w:cs="arial"/>
          <w:i/>
          <w:color w:val="000000"/>
          <w:sz w:val="20"/>
          <w:lang w:val="en-US" w:eastAsia="en-US" w:bidi="ar-SA"/>
        </w:rPr>
        <w:t>Penland v. Lofting</w:t>
      </w:r>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2008 BCSC 507</w:t>
        </w:r>
      </w:hyperlink>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[2008] B.C.J. No. 713</w:t>
        </w:r>
      </w:hyperlink>
      <w:r>
        <w:rPr>
          <w:rFonts w:ascii="arial" w:eastAsia="arial" w:hAnsi="arial" w:cs="arial"/>
          <w:color w:val="000000"/>
          <w:sz w:val="20"/>
          <w:lang w:val="en-US" w:eastAsia="en-US" w:bidi="ar-SA"/>
        </w:rPr>
        <w:t xml:space="preserve"> ($30,000); </w:t>
      </w:r>
      <w:r>
        <w:rPr>
          <w:rFonts w:ascii="arial" w:eastAsia="arial" w:hAnsi="arial" w:cs="arial"/>
          <w:i/>
          <w:color w:val="000000"/>
          <w:sz w:val="20"/>
          <w:lang w:val="en-US" w:eastAsia="en-US" w:bidi="ar-SA"/>
        </w:rPr>
        <w:t>Millala v. Shaw-Smith</w:t>
      </w:r>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2008 BCSC 1481</w:t>
        </w:r>
      </w:hyperlink>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[2008] B.C.J. No. 2068</w:t>
        </w:r>
      </w:hyperlink>
      <w:r>
        <w:rPr>
          <w:rFonts w:ascii="arial" w:eastAsia="arial" w:hAnsi="arial" w:cs="arial"/>
          <w:color w:val="000000"/>
          <w:sz w:val="20"/>
          <w:lang w:val="en-US" w:eastAsia="en-US" w:bidi="ar-SA"/>
        </w:rPr>
        <w:t xml:space="preserve"> ($35,000); </w:t>
      </w:r>
      <w:r>
        <w:rPr>
          <w:rFonts w:ascii="arial" w:eastAsia="arial" w:hAnsi="arial" w:cs="arial"/>
          <w:i/>
          <w:color w:val="000000"/>
          <w:sz w:val="20"/>
          <w:lang w:val="en-US" w:eastAsia="en-US" w:bidi="ar-SA"/>
        </w:rPr>
        <w:t>Craddock v. Wood et al</w:t>
      </w:r>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2002 BCSC 1528</w:t>
        </w:r>
      </w:hyperlink>
      <w:r>
        <w:rPr>
          <w:rFonts w:ascii="arial" w:eastAsia="arial" w:hAnsi="arial" w:cs="arial"/>
          <w:color w:val="000000"/>
          <w:sz w:val="20"/>
          <w:lang w:val="en-US" w:eastAsia="en-US" w:bidi="ar-SA"/>
        </w:rPr>
        <w:t>, ($22,000).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There are a number of factors that affect the plaintiff's entitlement to non-pecuniary damages. With respect to the duration of the pain, the plaintiff's pain has become chronic in nature. She continues to experience pain particularly in her neck, left shoulder and arm nearly six years since the onset of symptoms. The chronic nature of her pain means that she will have to deal with and manage the pain from her underlying TOS for the foreseeable future. She has tried many different modalities of treatment with limited success. There is some improvement but the pain is still present. Further, the injuries led to the development of sleeping problems which cause the plaintiff to feel tired in the morning. She can hope for some improvement over time with a regular exercise programme. But overall, the prognosis for a full recovery is unclear and it appears that she will continue to be affected by the injuries indefinitely and will likely have to live, at a minimum, with background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plaintiff's lifestyle has been adversely affected in a number of ways. She is determined to resume her jogging programme and to re-enter the Sun Run with her husband. However, her early attempts to run resulted in a flare-up of neck and back pain. Drs. Travlos and Salvian suggest that jogging may not be an activity she can do. Dr. Travlos states she will have to pre-medicate for any activity which causes an exacerbation of her back pain. Certainly golfing, an activity she enjoyed, will not be an activity she can participate in without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Both doctors also point out that the plaintiff is susceptible to further episodes of TOS should she have any increased neck injury or strain. Dr. Salvian says that such increased neck strain could be caused by something as simple as "sleeping in a poor position or driving for long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plaintiff's professional life was impacted by the Accident. She has been able to cope fairly well with the duties of her job by minimizing the use of her left arm. Luckily, she is right hand dominant. But her evidence was clear that she maintained the earnings she had only by pushing through the pain and carrying on as best she could. She gave evidence of struggling to carry on, taking her work home because she could not sit any longer in her office, and feeling tired and overwhelmed. Because of her pain and fatigue, she believes she could not "court" clients as effectively at a time in her career when she was in a start-up mode and needed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Accident also caused emotional difficulties for the plaintiff which were no doubt situational and due to the chronic pain and resulting fatigue. Fortunately, these problems have not continued and she appears to be coping well at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plaintiff's relationship with her husband was in some difficulty due to his business problems and their financial crises prior to the Accident but had improved by October 2005. Mr. Hooper stated that her sleep difficulties meant she would often leave the marital bed and their relationship was negatively affected. However, the plaintiff's evidence about the effect of her injuries on her marital relations with her husband was not as clear. But I accept his evidence that the plaintiff was irritable, fatigued and distant after the Accident and that her frustration with the slow progress of her recovery affected the happiness of the household.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At the time of the Accident in December 2003, the plaintiff's son was six years old. She enjoyed skating with him. She was not able to take part in active sports with him after the Accident and even cuddling him was painful for her for some time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faced the difficulty of juggling many activities in her busy life: she had a job which required time and concentration and some extra activities she needed to do as part of her marketing, she was the chief breadwinner for the family, and she had a young son at home and a house to care for. Even before the Accident she was very busy but with the overlay of pain caused by the Accident, the plaintiff could not keep up her usual standard of housekeeping. She relied on her older son and her husband to help but this was not always successful and caused friction in the family. Vacuuming caused her intense pain as did reaching up to dust or clean above her shoulder. This remains the case today. She cannot vacuum, wash windows, or dust high corners.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While Dr. Travlos suggests she use Noritryptiline to pre-medicate if she wants to do housework which would otherwise cause her pain, this is not always a practical solution and I accept that her inability to do housework has an impact on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 xml:space="preserve">Pre-existing condition: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It is trite law that the general purpose in assessing damages is to restore the plaintiff to their original, or pre-accident, position. Through an award of damages a plaintiff is entitled to be restored to his or her original position, but they are not entitled to be placed in a better position: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32, </w:t>
      </w:r>
      <w:hyperlink r:id="rId95"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xml:space="preserve">. Generally speaking, this requires the court to determine the plaintiff's original position and position subsequent to the negligent act, and award damages to reflect the difference: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Barnes v. Richardson</w:t>
      </w:r>
      <w:r>
        <w:rPr>
          <w:rFonts w:ascii="arial" w:eastAsia="arial" w:hAnsi="arial" w:cs="arial"/>
          <w:color w:val="000000"/>
          <w:sz w:val="20"/>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2008 BCSC 1349</w:t>
        </w:r>
      </w:hyperlink>
      <w:r>
        <w:rPr>
          <w:rFonts w:ascii="arial" w:eastAsia="arial" w:hAnsi="arial" w:cs="arial"/>
          <w:color w:val="000000"/>
          <w:sz w:val="20"/>
          <w:lang w:val="en-US" w:eastAsia="en-US" w:bidi="ar-SA"/>
        </w:rPr>
        <w:t xml:space="preserve"> at para. 84, </w:t>
      </w:r>
      <w:hyperlink r:id="rId553" w:history="1">
        <w:r>
          <w:rPr>
            <w:rFonts w:ascii="arial" w:eastAsia="arial" w:hAnsi="arial" w:cs="arial"/>
            <w:i/>
            <w:color w:val="0077CC"/>
            <w:sz w:val="20"/>
            <w:u w:val="single"/>
            <w:shd w:val="clear" w:color="auto" w:fill="FFFFFF"/>
            <w:lang w:val="en-US" w:eastAsia="en-US" w:bidi="ar-SA"/>
          </w:rPr>
          <w:t>[2008] B.C.J. No. 1904</w:t>
        </w:r>
      </w:hyperlink>
      <w:r>
        <w:rPr>
          <w:rFonts w:ascii="arial" w:eastAsia="arial" w:hAnsi="arial" w:cs="arial"/>
          <w:color w:val="000000"/>
          <w:sz w:val="20"/>
          <w:lang w:val="en-US" w:eastAsia="en-US" w:bidi="ar-SA"/>
        </w:rPr>
        <w:t>. In situations where the plaintiff has a pre-existing condition, the thin skull or crumbling skull rule must inform the court's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a thin skull situation, the plaintiff's pre-existing condition has not manifested, or in other words is not active or symptomatic, prior to the event in question. As the tortfeasor takes his or her victim as they find them, the tortfeasor is liable for all injuries even if the injuries are "unexpectedly severe owing to a pre-existing condition", as a result of their actions: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a crumbling skull situation, as in this case, the plaintiff has a pre-existing condition which is active, or likely to become active. The pre-existing condition "does not have to be manifest or disabling at the time of the tort to be within the ambit of the crumbling skull rule": </w:t>
      </w:r>
      <w:r>
        <w:rPr>
          <w:rFonts w:ascii="arial" w:eastAsia="arial" w:hAnsi="arial" w:cs="arial"/>
          <w:i/>
          <w:color w:val="000000"/>
          <w:sz w:val="20"/>
          <w:lang w:val="en-US" w:eastAsia="en-US" w:bidi="ar-SA"/>
        </w:rPr>
        <w:t>Barnes</w:t>
      </w:r>
      <w:r>
        <w:rPr>
          <w:rFonts w:ascii="arial" w:eastAsia="arial" w:hAnsi="arial" w:cs="arial"/>
          <w:color w:val="000000"/>
          <w:sz w:val="20"/>
          <w:lang w:val="en-US" w:eastAsia="en-US" w:bidi="ar-SA"/>
        </w:rPr>
        <w:t xml:space="preserve"> at para. 89, citing </w:t>
      </w:r>
      <w:r>
        <w:rPr>
          <w:rFonts w:ascii="arial" w:eastAsia="arial" w:hAnsi="arial" w:cs="arial"/>
          <w:i/>
          <w:color w:val="000000"/>
          <w:sz w:val="20"/>
          <w:lang w:val="en-US" w:eastAsia="en-US" w:bidi="ar-SA"/>
        </w:rPr>
        <w:t>A. (T.W.N.) v. Clarke</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22 B.C.L.R. (4th) 1</w:t>
        </w:r>
      </w:hyperlink>
      <w:r>
        <w:rPr>
          <w:rFonts w:ascii="arial" w:eastAsia="arial" w:hAnsi="arial" w:cs="arial"/>
          <w:color w:val="000000"/>
          <w:sz w:val="20"/>
          <w:lang w:val="en-US" w:eastAsia="en-US" w:bidi="ar-SA"/>
        </w:rPr>
        <w:t xml:space="preserve"> at para. 62. In crumbling skull situations, the defendant is only liable for damages caused by the accident and responsible for returning the plaintiff to their original position. As Major J. stated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 the defendant is liable for the additional damage but not the pre-existing damage. The defendant is, therefore, not liable for the effects of the pre-existing condition that the plaintiff would have experienced in any event: </w:t>
      </w:r>
      <w:r>
        <w:rPr>
          <w:rFonts w:ascii="arial" w:eastAsia="arial" w:hAnsi="arial" w:cs="arial"/>
          <w:i/>
          <w:color w:val="000000"/>
          <w:sz w:val="20"/>
          <w:lang w:val="en-US" w:eastAsia="en-US" w:bidi="ar-SA"/>
        </w:rPr>
        <w:t>A. (T.W.N.)</w:t>
      </w:r>
      <w:r>
        <w:rPr>
          <w:rFonts w:ascii="arial" w:eastAsia="arial" w:hAnsi="arial" w:cs="arial"/>
          <w:color w:val="000000"/>
          <w:sz w:val="20"/>
          <w:lang w:val="en-US" w:eastAsia="en-US" w:bidi="ar-SA"/>
        </w:rPr>
        <w:t xml:space="preserve"> at para. 52. If there is a "measurable risk" that the pre-existing condition would have impacted the plaintiff in the future then,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 court can take this into account in awarding damages: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 note that our Court of Appeal has stated that a reduction in damages to reflect the impact of pre-existing conditions applies equally to non-pecuniary and pecuniary damages: </w:t>
      </w:r>
      <w:r>
        <w:rPr>
          <w:rFonts w:ascii="arial" w:eastAsia="arial" w:hAnsi="arial" w:cs="arial"/>
          <w:i/>
          <w:color w:val="000000"/>
          <w:sz w:val="20"/>
          <w:lang w:val="en-US" w:eastAsia="en-US" w:bidi="ar-SA"/>
        </w:rPr>
        <w:t>A. (T.W.N.)</w:t>
      </w:r>
      <w:r>
        <w:rPr>
          <w:rFonts w:ascii="arial" w:eastAsia="arial" w:hAnsi="arial" w:cs="arial"/>
          <w:color w:val="000000"/>
          <w:sz w:val="20"/>
          <w:lang w:val="en-US" w:eastAsia="en-US" w:bidi="ar-SA"/>
        </w:rPr>
        <w:t xml:space="preserve"> at paras. 36-37; </w:t>
      </w:r>
      <w:r>
        <w:rPr>
          <w:rFonts w:ascii="arial" w:eastAsia="arial" w:hAnsi="arial" w:cs="arial"/>
          <w:i/>
          <w:color w:val="000000"/>
          <w:sz w:val="20"/>
          <w:lang w:val="en-US" w:eastAsia="en-US" w:bidi="ar-SA"/>
        </w:rPr>
        <w:t>Barnes</w:t>
      </w:r>
      <w:r>
        <w:rPr>
          <w:rFonts w:ascii="arial" w:eastAsia="arial" w:hAnsi="arial" w:cs="arial"/>
          <w:color w:val="000000"/>
          <w:sz w:val="20"/>
          <w:lang w:val="en-US" w:eastAsia="en-US" w:bidi="ar-SA"/>
        </w:rPr>
        <w:t xml:space="preserve"> at para. 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this case, the defendant does not contest that the plaintiff suffered injuries as a result of the Accident. The defendant does, however, contest the severity of those injuries and the impact that they subsequently had on the plaintiff's physical and emotional health, as well as her employment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had a pre-existing back problem which Dr. Riesling described as chronic and which he agreed would have had an effect on her ability to perform activities such as jogging. Dr. Riesling also noted that the Grade 1 spondylolisthesis could have caused some of the plaintiff's spasms and low back pain on two occasions several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found Dr. Riesling to be a reliable and helpful witness. He did not hesitate to answer difficult questions in a fair and objective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 accept that the plaintiff's pre-existing back problems would likely have interfered with her life and have become symptomatic occasionally whether or not the Accident had occurred. There is a small but measurable risk that the plaintiff would have suffered back pain as a result of her underlying chronic problem: see </w:t>
      </w:r>
      <w:r>
        <w:rPr>
          <w:rFonts w:ascii="arial" w:eastAsia="arial" w:hAnsi="arial" w:cs="arial"/>
          <w:i/>
          <w:color w:val="000000"/>
          <w:sz w:val="20"/>
          <w:lang w:val="en-US" w:eastAsia="en-US" w:bidi="ar-SA"/>
        </w:rPr>
        <w:t>McKelvie v. Ng</w:t>
      </w:r>
      <w:r>
        <w:rPr>
          <w:rFonts w:ascii="arial" w:eastAsia="arial" w:hAnsi="arial" w:cs="arial"/>
          <w:color w:val="000000"/>
          <w:sz w:val="20"/>
          <w:lang w:val="en-US" w:eastAsia="en-US" w:bidi="ar-SA"/>
        </w:rPr>
        <w:t xml:space="preserve">, </w:t>
      </w:r>
      <w:hyperlink r:id="rId434" w:history="1">
        <w:r>
          <w:rPr>
            <w:rFonts w:ascii="arial" w:eastAsia="arial" w:hAnsi="arial" w:cs="arial"/>
            <w:i/>
            <w:color w:val="0077CC"/>
            <w:sz w:val="20"/>
            <w:u w:val="single"/>
            <w:shd w:val="clear" w:color="auto" w:fill="FFFFFF"/>
            <w:lang w:val="en-US" w:eastAsia="en-US" w:bidi="ar-SA"/>
          </w:rPr>
          <w:t>2001 BCCA 384</w:t>
        </w:r>
      </w:hyperlink>
      <w:r>
        <w:rPr>
          <w:rFonts w:ascii="arial" w:eastAsia="arial" w:hAnsi="arial" w:cs="arial"/>
          <w:color w:val="000000"/>
          <w:sz w:val="20"/>
          <w:lang w:val="en-US" w:eastAsia="en-US" w:bidi="ar-SA"/>
        </w:rPr>
        <w:t xml:space="preserve">, </w:t>
      </w:r>
      <w:hyperlink r:id="rId434" w:history="1">
        <w:r>
          <w:rPr>
            <w:rFonts w:ascii="arial" w:eastAsia="arial" w:hAnsi="arial" w:cs="arial"/>
            <w:i/>
            <w:color w:val="0077CC"/>
            <w:sz w:val="20"/>
            <w:u w:val="single"/>
            <w:shd w:val="clear" w:color="auto" w:fill="FFFFFF"/>
            <w:lang w:val="en-US" w:eastAsia="en-US" w:bidi="ar-SA"/>
          </w:rPr>
          <w:t>90 B.C.L.R. (3rd) 62</w:t>
        </w:r>
      </w:hyperlink>
      <w:r>
        <w:rPr>
          <w:rFonts w:ascii="arial" w:eastAsia="arial" w:hAnsi="arial" w:cs="arial"/>
          <w:color w:val="000000"/>
          <w:sz w:val="20"/>
          <w:lang w:val="en-US" w:eastAsia="en-US" w:bidi="ar-SA"/>
        </w:rPr>
        <w:t xml:space="preserve"> at para. 17. Accordingly, non-pecuniary damages should be reduced by 5% to reflect this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assessing all of the relevant evidence, I conclude the injuries continue to adversely affect the plaintiff in a number of ways and will do so for the future. I award $110,000 for non-pecuniary damages. I will deduct 5% as a contingency to reflect the plaintiff's pre-existing back condition for a total of $104,500 for non-pecuniary damages. In awarding this amount, I have considered the factors I have outlined above, including the inability of the plaintiff to perform housekeeping functions as she could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If I were to separate out the award for loss of future housekeeping capacity from the amount of $104,500, it would constitute an award of $15,000. I have discounted the $37,000, the plaintiff's counsel's estimated loss of future housekeeping capacity, since I consider the plaintiff will continue to improve with a concentrated exercise programme, and will be able to regain some housekeeping capacity, and since there is a degree of speculation involved in determining whether the plaintiff will move to a smaller house in future and reduce her housekeeping needs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Therefore, there will be no separate award for future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To deal with the topic of past wage loss, it is necessary to understand the nature of the plaintiff's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has been employed as a commissioned insurance salesperson since 1982. She worked with B &amp; W Insurance for 10 years as a salaried employee before moving to CMW Insurance ("CMW") in January 2003. By that time, she had achieved a management level certification known as a Canadian Accredited Insurance Broker (CAIB) level 4 which allows her to teach commercial insurance for those seeking accreditation at level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has also taken courses at the Justice Institute in commercial mediation while continuing to work full-time.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Shortly after she began her employment with CMW, she was given house accounts which would occupy her for approximately four hours per day. In exchange, she was guaranteed a salary of $50,000 and the assistance of a secretary paid for by CMW. In this way, she would have earnings while she was building her "book of business" for the purpose of generating commissions. She continued to work these house accounts until May 2004 after which she moved to a commission-only pay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CMW gives its employees a base amount of money calculated on a conservative projection of what that employee will earn in commission for the coming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When the plaintiff began with CMW, and before she was given the house accounts, her projected income from commissions for the year 2003 was $50,000 and this became her draw.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indicated that there is usually disagreement over the low figure proposed for a draw by CMW. When reconciliation of the difference between commission receipts and the draw was made in January of the following year, her evidence was that she was always owed money by CMW.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draw is paid less CPP and EI. The reconciliation amount paid in January amounts to a form of deferral of income arising from commissions into the following year after which it was earned. Thus, the T4 issued for any year does not indicate the full amount earned in that year because the portion of commissions which exceeded the draw paid is paid in the following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To find new business, an account manager like the plaintiff, contacts businesses to try to determine the expiry date of their insurance policies. This initial contact could be effected by phone, mail or a combination of the two. Such efforts to generate new business are termed "prospecting". The plaintiff's business is largely with strata corporations and some manufacturers.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To obtain names of businesses and property managers, the plaintiff would search the internet, business newspapers and magazines.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Once the plaintiff established the expiry dates of the policies, she would bring forward a date a month or so ahead of the actual expiry and would again contact the business to see if she could offer a quote.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Once a business or a property manager has decided to obtain insurance from the plaintiff, she prepares the necessary information to get a quote from an insurer by providing it to CMW's marketers. Preparation of the material is not extensive for strata corporations and CMW has an existing strata programme. However, for manufacturing businesses, the information required for a good presentation to the marketer takes substantial time to prepare. After obtaining the price and coverage quote, she provides it to the client business. If accepted, she will receive an initial commission and thereafter, if the policy is renewed, a further but smaller commission for each annual renewal.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Out of 100 letters to potential clients, the plaintiff would receive about 10 favourable responses to a request for an "ex" date after phoning the client. She would request a meeting with the client closer to the "ex" date to obtain more information. Approximately 5 of those 10 would meet with her and out of those five, she could hope to write a policy for three.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Because the plaintiff had a young son and a husband whose business required him to see clients in the evening, she could not work every evening in the office. Instead, she used a software programme called "Maximizer" at home to generate letters and track her contacts.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plaintiff's job was very labour intensive with individualized letters to be written to prospective clients. For a manufacturing client, in particular, the initial contact letter would have to relate to specific needs and criteria so a form letter would not be suitable.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Clearly, the more prospecting she could do, the more likely she would be able to write a policy for a client and generate a commission. As the plaintiff put it, "it is a numbers game".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plaintiff's evidence is that renewals are easier to obtain and take less time to process than the initial commitment from the client. Keeping clients is very desirable as there is a compounding effect of renewal commissions.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business is one in which relationship-building is essential. The plaintiff must be able to answer questions within a reasonable period of time. In the course of her networking, she will answer questions from non-clients as well as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 entertains clients or prospective clients at lunch and attends golf tournaments and participates in the professional organization for strata corporation property managers known as PAMA.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insurance business is very competitive. At CMW there were two account managers who regularly earned more than the plaintiff, Messrs. Shearing and Casey. Mr. Shearing concentrated on the manufacturing sector where commission earnings are higher per policy than strata corporation policies but require more time to prepare and market because of the broader risks involved in each policy. Mr. Shearing also had an arrangement which allowed him to do the marketing to underwriters rather than to hand over the preparation of quotes to CMW's marketers.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Casey began with CMW in 2003, the same year as Ms. Hooper and also the same year that he had back surgery and missed three months of work. He is the most successful account manager at CMW. He earns substantially more than the plaintiff and has done so since his arrival. He also incurs more expense since each account manager is responsible for compensating his/her own assistants. Mr. Casey's costs for two assistants were in the range of $70,000 in 2008 as compared to the plaintiff's $7,000 for one shared assistant.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plaintiff is well-respected by Mr. Casey and by the president of the company, Mr. Kemp. She is seen as knowledgeable, hardworking and successful and recently was acknowledged as the best among the account managers at obtaining and taking action on "ex" dates. She is also known as an account manager who manages to keep her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When the plaintiff arrived at CMW, she had only a small book of business to bring with her. Later that year, she learned of the demise of an insurance broker known as ProTech. ProTech had a large number of strata corporation clients which needed a replacement insurance broker.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plaintiff, along with others in her office, sought to pursue new business from ProTech. Bill Milner, a friend of the plaintiff who also worked with CMW, made some introductions at ProTech for the plaintiff. Ultimately, she was able to land two large accounts, namely the Dorset account and the Gateway account. In recognition of his assistance, she split her commissions arising from former ProTech clients with Mr. Milner in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2006, not as a result of her injuries or of any fault of the plaintiff, she lost the Gateway account when its management decided to centralize all of its policies through a national broker located in Ontario. However, before Gateway left, between Dorset and Gateway, the plaintiff's commission income grew substantially.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commission figures provided for 2003 (her start-up year at CMW) and 2004 do not include the $50,000 annual amount she received for working on the house accounts. These house accounts took three to four hours a day to administer with the help of a house-paid assistant. The plaintiff ceased working on the house accounts in May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2004, the plaintiff earned $84,734.00 in commission from writing 1,167 policies. She also earned $4,166 per month from the house policies for a period of five months. Her income was approximately $101,948 in that year. I have included the salary amount for the reason that the plaintiff required time to administer her house accounts which time was not available for her to do the prospecting required to generate more lucrative commission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should note that I have not relied on the plaintiff's T4 earnings for the reason that some of the plaintiff's earnings are deferred into the next year because of the CMW system of establishing a draw for the current year with a reconciliation in the next year. I have taken the commission figures from Exhibit 1, tab 14 which is a summary of commission earnings for account managers at CMW for each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2005, the plaintiff was solely dependent on commission earnings. She earned $130,776.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2006, the plaintiff lost the Gateway account for reasons I have explained. The loss of this account reduced her earnings and she earned $108,252.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2007, she earned $140,668.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Her 2008 income will exceed her 2007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 argues that she can demonstrate a loss of past earnings attributable to her reduced capacity to work resulting from the injuries caused by the Accident by using a comparison with the commission earnings of other account managers in the years following the Accident. Paul McEwan, a Chartered Accountant, has prepared a report making this comparison.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However, the report is based on a number of assumptions and ignores certain substantial differences among the account managers. The figures in the report do not deal with these differences as candidly admitted by Mr. McEwan.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There are only two other account managers who have consistently higher commissions than the plaintiff, Mr. Casey and Mr. Shearer. In Mr. Casey's case, he has always been more successful than the plaintiff and led her in commission sales even pre-Accident.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Even though he was new to the insurance industry when he joined CMW in 2003, he has always earned substantially more than the plaintiff. His relatively greater success may well result from his ability to focus solely on sales without the distraction of responsibility for a home and family but as noted, he has the equivalent of two full-time assistants who do his paperwork and allow him more time to invest in prospecting for sales. The plaintiff shares one assistant with two other account managers.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Shearer deals only with manufacturers and uses a different and more lucrative approach to write his business. He is not an apt comparator with Ms. Hooper.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note, as well, that post-Accident, the plaintiff earned as well as several other account managers in her office, and more than some.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have read the report carefully but must note that the difficulty I have in considering it stems from the test I must use to determine whether a past income loss has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the circumstances before me, and in dealing with a commission sales person, I accept, as argued by the defendant, that the claim for past wage loss here is a claim for lost opportunity to pursue and obtain new business which would, of course, generate more income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Kahle v. Ritter</w:t>
      </w:r>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2002 BCSC 199</w:t>
        </w:r>
      </w:hyperlink>
      <w:r>
        <w:rPr>
          <w:rFonts w:ascii="arial" w:eastAsia="arial" w:hAnsi="arial" w:cs="arial"/>
          <w:color w:val="000000"/>
          <w:sz w:val="20"/>
          <w:lang w:val="en-US" w:eastAsia="en-US" w:bidi="ar-SA"/>
        </w:rPr>
        <w:t xml:space="preserve">, at para. 109, </w:t>
      </w:r>
      <w:hyperlink r:id="rId554" w:history="1">
        <w:r>
          <w:rPr>
            <w:rFonts w:ascii="arial" w:eastAsia="arial" w:hAnsi="arial" w:cs="arial"/>
            <w:i/>
            <w:color w:val="0077CC"/>
            <w:sz w:val="20"/>
            <w:u w:val="single"/>
            <w:shd w:val="clear" w:color="auto" w:fill="FFFFFF"/>
            <w:lang w:val="en-US" w:eastAsia="en-US" w:bidi="ar-SA"/>
          </w:rPr>
          <w:t>[2002] B.C.J. No. 285</w:t>
        </w:r>
      </w:hyperlink>
      <w:r>
        <w:rPr>
          <w:rFonts w:ascii="arial" w:eastAsia="arial" w:hAnsi="arial" w:cs="arial"/>
          <w:color w:val="000000"/>
          <w:sz w:val="20"/>
          <w:lang w:val="en-US" w:eastAsia="en-US" w:bidi="ar-SA"/>
        </w:rPr>
        <w:t>, the court held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proof of a loss of opportunity claim requires a plaintiff to establish on a balance of probabilities a causal connection between the injuries sustained in the accident and the loss of opportunity. . . Past income loss is not an assessment of a hypothetical or future event which is based on a real and substantial possibility of its occurrence (the test for future or hypothetical event), but rather is proof on a balance of probabilities that the injuries caused the loss of opportunity. In short, the issue is whether Mr. Kahle has established on a balance of probabilities that but for the accident he would have realized this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plaintiff points to the collapse of ProTech in 2003 and the fact that its former clients were searching for new insurance brokers when her reduction in capacity as her injuries affected her meant she could not court these prospective clients as assiduously as she would have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But the fact is that she did gain two substantial clients from ProTech: Dorset and Gateway, and her commission income for the year 2004 was $30,000 higher than it was for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plaintiff's evidence shows that she has steadily continued to increase her income since 2003. Her income in 2008 is once again higher than it was in 2007. She has demonstrated the qualities that she outlined a successful salesperson must have. She is determined, well-organized, tenacious, willing to risk the possibility of rejection, follows a structured format, and has good relationship and communications skills. Her book of business has continued to grow since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do not diminish the plaintiff's efforts to carry on the best way she could. I accept her evidence that she suffered from the pain of her injuries while she continued to work. I have considered this fact in my award of non-pecuniary damages. The plaintiff had good days and bad days as she told Dr. Riesling, but there is simply no evidence that she has lost opportunities and, thus, income as a result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use of any of the several mathematical models provided by the plaintiff which set out the pyramid effect of hypothetical losses in each year since 2003 is unhelpful since there is no nexus between the effect of the injuries and any loss of income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have also considered that the plaintiff spent three days at home following the accident in December 2003 and thereafter lost time in attending various appointments for treatment and diagnosis. She continued to receive her salary for the time lost in 2003 and for the additional time lost, and I have nothing but hypothetical evidence as to the value of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find the plaintiff has not proved, on a balance of probabilities, that but for the accident she would have realized additional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There is no award for past loss of income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In order to be successful under this head of damages, the plaintiff must prove a substantial possibility of future income loss: see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169 D.L.R. (4th) 661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[1990] B.C.J. No. 1158</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64 B.C.L.R. (4th) 152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purpose of this damage award is to compensate the party for the loss of earning capacity as a capital asset, not to compensate for the lost earnings themselves: see </w:t>
      </w:r>
      <w:r>
        <w:rPr>
          <w:rFonts w:ascii="arial" w:eastAsia="arial" w:hAnsi="arial" w:cs="arial"/>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555"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at 59, </w:t>
      </w:r>
      <w:hyperlink r:id="rId555" w:history="1">
        <w:r>
          <w:rPr>
            <w:rFonts w:ascii="arial" w:eastAsia="arial" w:hAnsi="arial" w:cs="arial"/>
            <w:i/>
            <w:color w:val="0077CC"/>
            <w:sz w:val="20"/>
            <w:u w:val="single"/>
            <w:shd w:val="clear" w:color="auto" w:fill="FFFFFF"/>
            <w:lang w:val="en-US" w:eastAsia="en-US" w:bidi="ar-SA"/>
          </w:rPr>
          <w:t>[1991] B.C.J. No. 16</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at para.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In considering this claim, a court must determine the extent of the future loss of income-earning capacity by taking into account all substantial possibilities and assessing the likelihood of their occurrence, based on the evidence: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at para. 67;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There are, of course, inherent difficulties in assessing such damages which were recognized by Justice Dickson (as he then was) in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where he stated at 251: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must now gaze more deeply into the crystal ball. What sort of career would the accident victim have had? What were his prospects and potential prior to the accident? It is not loss of earnings, but, rather, loss of earning capacity for which compensation must be made: A capital asset has been lost: what was its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To assist in this assessment, there are four considerations which are often cited in determining the value of the loss and are set out in the decision of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xml:space="preserve"> at para. 8 (S.C.):</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While a first step in this determination may involve some element of mathematical calculation, "the law is clear that in these cases the task of the court is to assess damages, not to calculate them on some mathematical formula":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[1995] B.C.J. No. 1823</w:t>
        </w:r>
      </w:hyperlink>
      <w:r>
        <w:rPr>
          <w:rFonts w:ascii="arial" w:eastAsia="arial" w:hAnsi="arial" w:cs="arial"/>
          <w:color w:val="000000"/>
          <w:sz w:val="20"/>
          <w:lang w:val="en-US" w:eastAsia="en-US" w:bidi="ar-SA"/>
        </w:rPr>
        <w:t xml:space="preserve"> at para. 43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A court must consider all of the evidence that is reasonable in the circumstances in assessing such an award; reference to projections, calculations and formula may be useful insofar as determining what is "fair and reasonable":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at para. 70. It is important for courts to "look at all relevant factors, especially general incapacity, before fixing an amount": </w:t>
      </w:r>
      <w:r>
        <w:rPr>
          <w:rFonts w:ascii="arial" w:eastAsia="arial" w:hAnsi="arial" w:cs="arial"/>
          <w:i/>
          <w:color w:val="000000"/>
          <w:sz w:val="20"/>
          <w:lang w:val="en-US" w:eastAsia="en-US" w:bidi="ar-SA"/>
        </w:rPr>
        <w:t>Morris v. Rose Estate</w:t>
      </w:r>
      <w:r>
        <w:rPr>
          <w:rFonts w:ascii="arial" w:eastAsia="arial" w:hAnsi="arial" w:cs="arial"/>
          <w:color w:val="000000"/>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(1996), 23 B.C.L.R. (3d) 256</w:t>
        </w:r>
      </w:hyperlink>
      <w:r>
        <w:rPr>
          <w:rFonts w:ascii="arial" w:eastAsia="arial" w:hAnsi="arial" w:cs="arial"/>
          <w:color w:val="000000"/>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75 B.C.A.C. 263</w:t>
        </w:r>
      </w:hyperlink>
      <w:r>
        <w:rPr>
          <w:rFonts w:ascii="arial" w:eastAsia="arial" w:hAnsi="arial" w:cs="arial"/>
          <w:color w:val="000000"/>
          <w:sz w:val="20"/>
          <w:lang w:val="en-US" w:eastAsia="en-US" w:bidi="ar-SA"/>
        </w:rPr>
        <w:t xml:space="preserve"> at para. 24. A court should also be guided, to some extent, by the claimant's actual earnings prior to the accident: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247 D.L.R. (4th) 256</w:t>
        </w:r>
      </w:hyperlink>
      <w:r>
        <w:rPr>
          <w:rFonts w:ascii="arial" w:eastAsia="arial" w:hAnsi="arial" w:cs="arial"/>
          <w:color w:val="000000"/>
          <w:sz w:val="20"/>
          <w:lang w:val="en-US" w:eastAsia="en-US" w:bidi="ar-SA"/>
        </w:rPr>
        <w:t xml:space="preserve">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the circumstances before me, the plaintiff herself has given evidence that as of 2008, she is back on her game and working to capacity. Drs. Travlos and Salvian do not opine that she is unable to continue working as a commissioned insurance salesperson as a result of her injuries. The fact that her non-dominant arm is the one affected by her TOS has aided in her ability to continue to work throughout.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Travlos indicates that at some point the plaintiff may want to reduce her hours of work if her pain is interfering with her ability to carry on. However, he does not predict that this will happen and with respect to other activities where she knows her pain will be triggered, he suggests she may be able to pre-medicate. I would infer from his comment that she will be able to continue to work with the assistance of medication if it is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Certainly, the plaintiff has shown herself willing and able to work hard despite her ongoing problems. She is an advertisement for the incentive presented by a commission-based position with the potential for substantial earnings. Her income has continued to grow since the Accident with the exception of the one year she lost the Gateway account for reasons not associated with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plaintiff's employment is not physical in nature. She must do some driving to see clients, she types on her computer and she uses her telephone. She mentioned difficulty in carrying materials in to make a presentation to a client shortly after the Accident. For purposes of future capacity, I am not aware of any restriction on her ability to perform these duties. As well, there are simple accommodations which would assist her such as an ergonomic desk and the use of a wheeled case to carry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plaintiff has not described any difficulty with the activities of daily living save some problems with vacuuming and dusting in high locations. Certainly, she has not given evidence which would indicate she is somehow hampered in the physical performance of her job. Her rising income does not indicate any degree of ongoing disability which would affect her in relation to her employment. </w:t>
      </w:r>
      <w:r>
        <w:rPr>
          <w:rFonts w:ascii="arial" w:eastAsia="arial" w:hAnsi="arial" w:cs="arial"/>
          <w:i/>
          <w:color w:val="000000"/>
          <w:sz w:val="20"/>
          <w:lang w:val="en-US" w:eastAsia="en-US" w:bidi="ar-SA"/>
        </w:rPr>
        <w:t>Feng v. Vancouver (City)</w:t>
      </w:r>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2009 BCSC 439</w:t>
        </w:r>
      </w:hyperlink>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[2009] B.C.J. No. 643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note that the plaintiff remains held in high esteem by her employer and her fellow employees since the Accident. Clearly, her assessment by her employer has not been negatively affected by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There is no evidence the plaintiff's capacity to earn income has been impaired by her injuries as she is not less capable, less marketable or less valuable in a competitive labour market and has not lost the ability to take advantage of opportunities: </w:t>
      </w:r>
      <w:r>
        <w:rPr>
          <w:rFonts w:ascii="arial" w:eastAsia="arial" w:hAnsi="arial" w:cs="arial"/>
          <w:i/>
          <w:color w:val="000000"/>
          <w:sz w:val="20"/>
          <w:lang w:val="en-US" w:eastAsia="en-US" w:bidi="ar-SA"/>
        </w:rPr>
        <w:t>Doosti v. Enterprise Rent-a-Car Ltd.</w:t>
      </w:r>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2006 BCSC 247</w:t>
        </w:r>
      </w:hyperlink>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[2006] B.C.J. No. 325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 find the plaintiff does not meet the criteria set out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to establish there is a substantial likelihood she will be less capable of fulfilling her role as an insurance agent due to her injuries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have considered the issue of chronic pain in the award of non-pecuniary damages I have made. To award damages for loss of future earning capacity in recognition of the plaintiff's chronic pain would be to award double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There is no award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loss of homemaking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plaintiff testified that in the past, before the Accident, she has on occasion hired housekeeping help. However, immediately prior to the Accident, she and her family did the housework.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plaintiff was able to do many of the household chores following the Accident but vacuuming, dusting, and window washing, which caused her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While I agree the evidence indicates that the plaintiff's chronic lower back problems would likely have caused her difficulty with heavy household work in any event of the Accident, vacuuming, dusting and window washing are not heavy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I do not accept that the plaintiff should have been forced to perform housekeeping tasks which cause her pain. I agree that she might have been able to perform these tasks but not without cost and to require that of the plaintiff would have visited an unfair burden on her and relieved the tortfeasor of the consequence of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am also mindful of Dr. Salvian's evidence that TOS is a condition which does not respond well to the "no pain, no gain" theory and that active motion can often irritate the nerves and cause spasms in the surrounding muscles with resulting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defendant argues that the compensation for such a claim should be commensurate with the loss suffered. That proposition is not disputed.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difficulty here is to distinguish between past loss of capacity to perform housework and special damages which the plaintiff incurred when she hired someone to clean for her in the period after the Accident up to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As pointed out by the defendant, the court must avoid over compensating the plaintiff under this head of damages: </w:t>
      </w:r>
      <w:r>
        <w:rPr>
          <w:rFonts w:ascii="arial" w:eastAsia="arial" w:hAnsi="arial" w:cs="arial"/>
          <w:i/>
          <w:color w:val="000000"/>
          <w:sz w:val="20"/>
          <w:lang w:val="en-US" w:eastAsia="en-US" w:bidi="ar-SA"/>
        </w:rPr>
        <w:t>McTavish v. McGillivray</w:t>
      </w:r>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xml:space="preserve"> para. 9, </w:t>
      </w:r>
      <w:hyperlink r:id="rId422" w:history="1">
        <w:r>
          <w:rPr>
            <w:rFonts w:ascii="arial" w:eastAsia="arial" w:hAnsi="arial" w:cs="arial"/>
            <w:i/>
            <w:color w:val="0077CC"/>
            <w:sz w:val="20"/>
            <w:u w:val="single"/>
            <w:shd w:val="clear" w:color="auto" w:fill="FFFFFF"/>
            <w:lang w:val="en-US" w:eastAsia="en-US" w:bidi="ar-SA"/>
          </w:rPr>
          <w:t>74 B.C.L.R. (3d) 281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I note that Huddart, J.A. comments at para. 67 of </w:t>
      </w:r>
      <w:r>
        <w:rPr>
          <w:rFonts w:ascii="arial" w:eastAsia="arial" w:hAnsi="arial" w:cs="arial"/>
          <w:i/>
          <w:color w:val="000000"/>
          <w:sz w:val="20"/>
          <w:lang w:val="en-US" w:eastAsia="en-US" w:bidi="ar-SA"/>
        </w:rPr>
        <w:t>McGillivray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loss of the ability to perform household tasks requires compensation by an award measured by the value of replacement services where evidence of that value is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In her useful and extensive discussion of damages to be awarded for loss of housekeeping capacity, here pre-trial loss, she goes on to state, at paras. 68-69: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when housekeeping capacity is lost, it is to be remunerated. When family members by their gratuitous labour replace costs that would otherwise be incurred or themselves incur costs, their work can be valued by a replacement cost or opportunity cost approach as the case may be. That value provides a measure of the plaintiff's loss. Like the trial judge I would prefer to characterize such compensation as general damages assessed in pecuniary terms, reserving special damages for those circumstances where the plaintiff actually spent money or incurred a monetary liability, although I do not wish to state a settled view on that question in the absence of full submissions as to the consequences of the distinction, if any.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plaintiff who performed the tasks with difficulty or functioned with the tasks undone and never to be done will be compensated for that loss under the head of pain and suffering and loss of amenity, just as she would if she were to go to work every day, earning her regular wages, but suffer in the course of mitigating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plaintiff's son, Shawn, assisted with the housework the plaintiff could no longer perform when he was able to do so. However, his university and work schedules sometimes interfered with his ability to help and the plaintiff was upset that she could no longer maintain the standard of housekeeping she had been used to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am satisfied that the plaintiff's husband also assisted with the tasks the plaintiff could no longer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Her counsel has presented in argument an estimate of the hours of housework the plaintiff lost pre-trial. That estimate is for 747 hours based on three hours lost per week for each week post-Accident and pre-trial during which the plaintiff did not hire someone to assist with the cleaning.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Cleaning which was done by hired cleaners, will be dealt with under the category of Special Damages, as suggested by the analysis set out in </w:t>
      </w:r>
      <w:r>
        <w:rPr>
          <w:rFonts w:ascii="arial" w:eastAsia="arial" w:hAnsi="arial" w:cs="arial"/>
          <w:i/>
          <w:color w:val="000000"/>
          <w:sz w:val="20"/>
          <w:lang w:val="en-US" w:eastAsia="en-US" w:bidi="ar-SA"/>
        </w:rPr>
        <w:t>McGillivray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Allowing an hourly rate of $15.00 to quantify the loss of 747 hours of housekeeping amounts to $11,205.00.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award the amount for pre-trial loss of housekeeping capacity at $9,000 since I consider that part of the lost hours of housekeeping would overlap with tasks which Shawn would likely have performed pre-Accident as part of his normal contributions to the household.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have attempted to perform a reasonable assessment of the respondent's pre-trial loss of housekeeping capacity. There is evidence to support that family members, namely Shawn and Mr. Hooper, replaced some of the housework the plaintiff did after the Accident. There was also evidence to support a finding that the plaintiff could no longer perform some of that work. I have valued her loss as best I could on the evidence. The resulting award of hours lost in housekeeping the plaintiff could not do reflects the reasonable need of the plaintiff for housekeeping help during the five years and two months preceding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As I have noted above, I have accounted for the loss of future housekeeping capacity in the amount of non-pecuniary damages I have awarded since I consider this loss as a loss of an amenity to be included in the non-pecuniary category of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insurability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plaintiff claims for a loss of insurability based on the refusal of Manulife Financial ("Manulife") to increase her long term disability benefits when an application was made by her employer based on her increased remuneration.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Upon joining CMW, the plaintiff had been accepted on the group policy for long term disability coverage based on her then salary of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However, it is impossible to know whether, absent the injuries from the Accident, Manulife would have increased the plaintiff's coverage in light of her history of chronic lower back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There was no evidence put before the court from Manulife concerning the basis for the refusal to increase her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necessary nexus between the denial of increased coverage and the injuries from the Accident is not present in these circumstances. To award damages for such a loss requires a finding, that but for the injuries suffered in the Accident, the plaintiff would likely have received the benefit of increased long term disability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There is simply insufficient evidence to determine that the plaintiff has suffered a loss of insurability resulting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plaintiff has shown herself to be someone who will carry on working even though she is in pain. One of the ways she has kept herself going is by taking advantage of many different treatment modalities, including massage therapy and physiotherapy. While these are passive modalities to which Dr. Travlos takes some exception, Dr. Salvian points out that TOS can be managed somewhat by keeping the paraspinal muscles relaxed. This is accomplished through such therapies as Feldenkrais physiotherapy, a gentle form of lessons which address posture and breathing and may assist the plaintiff to keep the paraspinal muscles relaxed. Dr. Salvian recommends this form of treatment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plaintiff has recently achieved some relief from sessions with her physiotherapist, Bill Lyons and a massage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Dr. Salvian also recommends the use of a prescription medication, which is a sleep aid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Both Drs. Travlos and Salvian recommend that the plaintiff undertake an exercise regime to strengthen her core and assist with stabilizing her neck. Dr. Salvian has suggested the plaintiff consult a kinesiologist or a trained fitness instructor for three months, two to three times a month so that the plaintiff may work out an exercise programme which will meet her needs, but not aggravate her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Dr. Salvian has also recommended that the plaintiff may require such treatments as Botox injections or acupuncture if her pain worsens. She is not a candidate for surgery so alternative treatments become the only recourse in the event her pain becomes aggravated. However, Dr. Travlos has not made such a recommendation and is of the view she will improve with exercise. Nonetheless, it is my view some provision should be made for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amount she has claimed for future care totals $14, 280 and includes the cost of an annual gym membership to age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The plaintiff is fortunate to have extended health benefits through her employment which will pay some portion of physiotherapy and medication costs every year. I do not have evidence of how much coverage she has and as a result I will arbitrarily deduct a portion of the amount claimed for treatment: see </w:t>
      </w:r>
      <w:r>
        <w:rPr>
          <w:rFonts w:ascii="arial" w:eastAsia="arial" w:hAnsi="arial" w:cs="arial"/>
          <w:i/>
          <w:color w:val="000000"/>
          <w:sz w:val="20"/>
          <w:lang w:val="en-US" w:eastAsia="en-US" w:bidi="ar-SA"/>
        </w:rPr>
        <w:t>Harvey v. Yanko</w:t>
      </w:r>
      <w:r>
        <w:rPr>
          <w:rFonts w:ascii="arial" w:eastAsia="arial" w:hAnsi="arial" w:cs="arial"/>
          <w:color w:val="000000"/>
          <w:sz w:val="20"/>
          <w:lang w:val="en-US" w:eastAsia="en-US" w:bidi="ar-SA"/>
        </w:rPr>
        <w:t xml:space="preserve">, </w:t>
      </w:r>
      <w:hyperlink r:id="rId558" w:history="1">
        <w:r>
          <w:rPr>
            <w:rFonts w:ascii="arial" w:eastAsia="arial" w:hAnsi="arial" w:cs="arial"/>
            <w:i/>
            <w:color w:val="0077CC"/>
            <w:sz w:val="20"/>
            <w:u w:val="single"/>
            <w:shd w:val="clear" w:color="auto" w:fill="FFFFFF"/>
            <w:lang w:val="en-US" w:eastAsia="en-US" w:bidi="ar-SA"/>
          </w:rPr>
          <w:t>2007 BCSC 216</w:t>
        </w:r>
      </w:hyperlink>
      <w:r>
        <w:rPr>
          <w:rFonts w:ascii="arial" w:eastAsia="arial" w:hAnsi="arial" w:cs="arial"/>
          <w:color w:val="000000"/>
          <w:sz w:val="20"/>
          <w:lang w:val="en-US" w:eastAsia="en-US" w:bidi="ar-SA"/>
        </w:rPr>
        <w:t xml:space="preserve"> at para. 92, </w:t>
      </w:r>
      <w:hyperlink r:id="rId558" w:history="1">
        <w:r>
          <w:rPr>
            <w:rFonts w:ascii="arial" w:eastAsia="arial" w:hAnsi="arial" w:cs="arial"/>
            <w:i/>
            <w:color w:val="0077CC"/>
            <w:sz w:val="20"/>
            <w:u w:val="single"/>
            <w:shd w:val="clear" w:color="auto" w:fill="FFFFFF"/>
            <w:lang w:val="en-US" w:eastAsia="en-US" w:bidi="ar-SA"/>
          </w:rPr>
          <w:t>[2007] B.C. J. No. 312</w:t>
        </w:r>
      </w:hyperlink>
      <w:r>
        <w:rPr>
          <w:rFonts w:ascii="arial" w:eastAsia="arial" w:hAnsi="arial" w:cs="arial"/>
          <w:color w:val="000000"/>
          <w:sz w:val="20"/>
          <w:lang w:val="en-US" w:eastAsia="en-US" w:bidi="ar-SA"/>
        </w:rPr>
        <w:t>. I note the claim made for medication is very small.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The plaintiff must demonstrate that there is medical justification for the future cost of care claim, and the claim itself must be reasonable: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1985 CarswellBC 13</w:t>
        </w:r>
      </w:hyperlink>
      <w:r>
        <w:rPr>
          <w:rFonts w:ascii="arial" w:eastAsia="arial" w:hAnsi="arial" w:cs="arial"/>
          <w:color w:val="000000"/>
          <w:sz w:val="20"/>
          <w:lang w:val="en-US" w:eastAsia="en-US" w:bidi="ar-SA"/>
        </w:rPr>
        <w:t xml:space="preserve"> (S.C.) at para. 211, aff'd </w:t>
      </w:r>
      <w:hyperlink r:id="rId346"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An award for future cost of care is based upon a prediction of the medical and non-medical services that will likely be in the plaintiff's best interests. As stated in </w:t>
      </w:r>
      <w:r>
        <w:rPr>
          <w:rFonts w:ascii="arial" w:eastAsia="arial" w:hAnsi="arial" w:cs="arial"/>
          <w:i/>
          <w:color w:val="000000"/>
          <w:sz w:val="20"/>
          <w:lang w:val="en-US" w:eastAsia="en-US" w:bidi="ar-SA"/>
        </w:rPr>
        <w:t>Krangle v. Brisco</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[2002] 1 S.C.R. 205</w:t>
        </w:r>
      </w:hyperlink>
      <w:r>
        <w:rPr>
          <w:rFonts w:ascii="arial" w:eastAsia="arial" w:hAnsi="arial" w:cs="arial"/>
          <w:color w:val="000000"/>
          <w:sz w:val="20"/>
          <w:lang w:val="en-US" w:eastAsia="en-US" w:bidi="ar-SA"/>
        </w:rPr>
        <w:t xml:space="preserve">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one knows the future. Yet the rule that damages must be assessed once and for all at the time of trial (subject to modification on appeal) requires courts to peer into the future and fix the damages for future care as best they 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In assessing such a claim, "an award must be moderate, and fair to both parties":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at 586.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amounts claimed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1778"/>
        <w:gridCol w:w="1046"/>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Medication</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1673"/>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Physiotherapy (20 sessions)</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$1,200.00</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1150"/>
        <w:gridCol w:w="1046"/>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Feldenkrais therapy</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132.00</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3"/>
        <w:gridCol w:w="1568"/>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Massage therapy (25 sessions)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$1,176.00</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1778"/>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Ongoing therapies (Botox,</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acupuncture)</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$2,000.00</w:t>
            </w:r>
          </w:p>
        </w:tc>
        <w:tc>
          <w:tcPr>
            <w:tcW w:w="399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3"/>
        <w:gridCol w:w="1568"/>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Personal Trainer (24 sessions)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$2,400.00</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3"/>
        <w:gridCol w:w="1568"/>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Gym membership ($500 per year</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age 65)</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$7,272.00</w:t>
            </w:r>
          </w:p>
        </w:tc>
        <w:tc>
          <w:tcPr>
            <w:tcW w:w="399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470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$14,280.00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It is my view that the plaintiff has benefited in the past from the modalities she now claims for in the cost of future care. This is the best predictor of the reasonableness of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 will allow the claims for medication at $100; for physiotherapy at $1,200 less a discount of $600 for the extended health benefit payable at 50% for a total of $600; for Feldenkrais therapy at $132; for massage therapy at $1,176 less a discount of $147 for the extended health benefit payable for a total of $1,029; a discount of $1,000 for ongoing therapies for an award of $1,000 to allow for the possibility the plaintiff's pain may improve; $2,400 for a personal trainer; and $2,500 for a gym membership for five years since in that time, with rigorous attention to an exercise regime, the plaintiff may achieve substantial improvement in her condition and may no longer require the gym membership.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total award for cost of future care is $7,761.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have reviewed the plaintiff's claim for special damages as set out in Exhibit 1, tab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This plaintiff continued to function throughout the period when her pain was acute only through her continued efforts to seek pain relief through whatever treatment methods she could find. She was successful with some of the alternate methods of pain relief she tried and was less successful with others. But she coped and carried on with her employment when she could simply have stayed home and thus increased her claim for damages for wage loss. I find her treatment efforts were reasonable in the circumstances and in fact, benefited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 find as well that the plaintiff incurred these costs solely due to her attempts to mitigate the effects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I have allowed the plaintiff's claim for housekeeping costs as reasonable costs incurred to replace the housework she could not do post-Accident on the approach set out in </w:t>
      </w:r>
      <w:r>
        <w:rPr>
          <w:rFonts w:ascii="arial" w:eastAsia="arial" w:hAnsi="arial" w:cs="arial"/>
          <w:i/>
          <w:color w:val="000000"/>
          <w:sz w:val="20"/>
          <w:lang w:val="en-US" w:eastAsia="en-US" w:bidi="ar-SA"/>
        </w:rPr>
        <w:t>McGillivray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total of special damages claimed is for $9,239.96.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 consider the claim made as set out in Exhibit 1, tab 2 to be reasonable in its entirety and award $9,239.96.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following is a summary of the plaintiff's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(including a component for loss of future housekeeping capacity): $104,500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915"/>
        <w:gridCol w:w="1150"/>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housekeeping capacity</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2196"/>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$7,761</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6"/>
        <w:gridCol w:w="2927"/>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$9,239.96</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$130,500.96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 will leave it to the parties to calculate present values where and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plaintiff will have her costs at Scale B and her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If the parties wish to speak to costs, they may contact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L.D. RUSSELL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9" style="position:absolute;z-index:2518333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Lightstream Telecommunications Inc. v. Telecon Inc., [2018] B.C.J. No. 3590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L.D. Russell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27-30, December 1 and 4, 2017; April 5,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7,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S164107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3590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1940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87 B.L.R. (5th) 130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CarswellBC 2987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Lightstream Telecommunications Inc. and Daniel Wray, Plaintiffs, and Telecon Inc.,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(182 paras.)</w:t>
      </w:r>
    </w:p>
    <w:p>
      <w:pPr>
        <w:jc w:val="both"/>
        <w:rPr>
          <w:rFonts w:ascii="arial" w:eastAsia="arial" w:hAnsi="arial" w:cs="arial"/>
          <w:sz w:val="20"/>
          <w:lang w:val="en-US" w:eastAsia="en-US" w:bidi="ar-SA"/>
        </w:rPr>
      </w:pPr>
      <w:bookmarkStart w:id="145" w:name="Counsel_21"/>
      <w:bookmarkEnd w:id="14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0"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D.F. Hepburn.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S.T. Robertson, M.L. Burris.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6" w:name="Judgment_21"/>
      <w:bookmarkEnd w:id="146"/>
      <w:r>
        <w:pict>
          <v:line id="_x0000_s1131" style="position:absolute;z-index:2517319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Introduction to Telecon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Alleged Material Representations by Telecon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The Services Agreement and Proposed Renewal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Unsubstantiated Allegation of Theft against Wray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 Termination of the Services Agreement and Failure to Mitigate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 Lightstream and Wray after the Theft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Contractual Liability</w:t>
      </w:r>
    </w:p>
    <w:p>
      <w:pPr>
        <w:numPr>
          <w:numId w:val="1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Services Agreement</w:t>
      </w:r>
    </w:p>
    <w:p>
      <w:pPr>
        <w:numPr>
          <w:numId w:val="1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Proposed Renewal Agreement</w:t>
      </w:r>
    </w:p>
    <w:p>
      <w:pPr>
        <w:numPr>
          <w:numId w:val="1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Telecon's Alleged Representations</w:t>
      </w:r>
    </w:p>
    <w:p>
      <w:pPr>
        <w:numPr>
          <w:numId w:val="1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Telecon Terminate the Services Agreement by Removing Wray?</w:t>
      </w:r>
    </w:p>
    <w:p>
      <w:pPr>
        <w:numPr>
          <w:numId w:val="1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Telecon Breach the Contract by Removing Wray?</w:t>
      </w:r>
    </w:p>
    <w:p>
      <w:pPr>
        <w:numPr>
          <w:numId w:val="1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Tort Liability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Intentional Interference with Economic Relations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Was Wray an Employee or a Dependent Contractor of Telecon?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Level of Worker Control</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Ownership of Equipment and Tools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Profit/Loss Opportunity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Business Integration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Damages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Contractual Damages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Aggravated Damages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7" w:name="L.D. RUSSELL J._1"/>
            <w:bookmarkEnd w:id="147"/>
            <w:r>
              <w:rPr>
                <w:rFonts w:ascii="arial" w:eastAsia="arial" w:hAnsi="arial" w:cs="arial"/>
                <w:b/>
                <w:color w:val="000000"/>
                <w:sz w:val="30"/>
                <w:lang w:val="en-US" w:eastAsia="en-US" w:bidi="ar-SA"/>
              </w:rPr>
              <w:t>L.D. RUSSELL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allege that the defendant, Telecon Inc. ("Telecon"), wrongfully terminated its services contract (the "Services Agreement") with Lightstream Communications Inc. ("Lightstream") and committed the torts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intentional interference with economic relations when Telecon unjustifiably made and maintained an allegation of theft against Lightstream employee, Daniel Wray ("Wray"). Wray was at all times Lightstream's only employee or dependent contractor. After the theft allegation, the parties ceased doing business pursuant to the Services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further allege that Wray was an employee or dependent contractor of Telecon who was wrongfully dismissed and suffered damages as a result of the theft allegation and Telecon's termination of the Services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characterized the allegation as defamatory in its Amended Notice of Claim, but did not pursue the defamation claim at trial. During the course of trial, on November 30, 2017, Telecon conceded that there was no basis upon which to allege theft against Wray and the defendant withdrew the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conclude that the defendant breached the terms of the Services Agreement, as well as its implied contractual duty of honesty and good faith to Lightstream under the Services Agreement, when it permanently removed Wray from its schedule. I would dismiss all of the plaintiffs' other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defendant, Telecon, provides design, infrastructure, connectivity solutions and project management services in the telecommunications industry. Telecon is in the business of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providing telecommunications installation services for Telus Communications Inc. ("Telus"), Bell Canada and other large companies requiring telecommunications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Wray was at all material times an employee of Lightstream until his with-notice termination for lack of work in March 2016. Lightstream paid Wray the sum of $2,800.00 per month in wages. Wray had worked in the commercial telecommunications industry for most of his career. Early in his career he was trained to be a telecom technician in a business environment, and worked in that capacity for approximately a decade.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Lightstream is a private company wholly owned by James Gillis ("Gillis") who is Wray's brother-in-law. Gillis is an entrepreneur who developed a number of public companies mostly in the mineral exploration business during his career. Gillis supported Wray in building Lightstream into a going concern. Gillis intended to assist Wray in growing Lightstream with the goal of owning a cash flow oriented private company with a good upside for further growth.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Russell Johnson ("Johnson"), is a long-time friend and business associate of Wray. Years earlier, Wray had been hired by Johnson to work at Johnson's company called Touch Nine Communications ("TNC"), a wholesaler of Telus services to business customers. TNC sold telephone lines and sets through Telus. TNC grew rapidly and Johnson sold it to AT&amp;T about two years after TNC's inception.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After the sale of TNC, Johnson assured Wray that if Wray needed help down the road to start another company, Johnson would be willing to fund it and if the company were to work out, he would help expand the business. Johnson testified that he was prepared to provide leadership, training and money in order to assist Wray in expanding Lightstream's operations.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Introduction to Telecon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or about May of 2015, Wray considered going into business to provide telecommunication services, both fibre optic cabling services and installation and repair services ("I&amp;R" services) to Telus. To enter this business, Wray required some equipment, including a truck and a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Wray responded to a Craigslist advertisement posted by Kevin Newbatt ("Newbatt"), in which Newbatt was selling second-hand vehicles that had been used to provide telecommunication services to Telus. The date that Wray purchased the vehicles from Newbatt is not clear, but with funds from Johnson, Wray purchased a 2001 Ford E350 van and a 2006 white Dodge van, for a total sum of $12,000 (the "Vehicles"). I assume that the Vehicles were purchased sometime in the summer of 2015 for use by Lightstream in its desired business endeavors.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Wray was persuaded by Newbatt to pursue the I&amp;R residential service work for Telus instead of or together with the fibre optic cabling work. Newbatt informed Wray that fibre optic projects for Telus were lucrative but time-limited projects and that subcontractors were often left after a project with tools and equipment they could not get rid of. Wray learned that I&amp;R services for Telus residential customers were ongoing and not time-limited work. Newbatt offered Wray the name of a contact at Telecon, a company providing I&amp;R services to Telus. He gave Wray the name of Ken Benson ("Benson").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Alleged Material Representations by Telecon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Wray testified that he phoned Benson, the Director of Wireline and Wireless for Western Canada at Telecon. Wray testified that the discussion lasted about 15 minutes. Wray told Benson about his interest in subcontracting for Telecon to provide Telus telecommunication services. Wray testified that Benson seemed quite excited about Wray's interest because Telecon was growing quickly and required trained technicians.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Wray told Benson that he and his business partners were interested in taking on multiple employees and expanding Lightstream. He told Benson he had partners who were experienced in financing and running large businesses. Wray testified that he told Benson he intended to increase his employee complement to about 20 employees within one to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During the discussion, Wray asked Benson how many contractors Lightstream could bring on board. Wray testified that Benson said Telecon would need upwards of 100 in the first year or two and maybe more depending on how much of Telus's work they were able to take on. Benson directed Wray to speak to Kavi Lochan ("Lochan"), Senior Business Partner IT Operations and Support at Telecon. Wray telephoned Lochan and asked him about the opportunity at Telecon. Lochan told Wray of Telecon's desire to grow quickly to keep up with the work provided to it by Telus.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Benson did not recall the telephone conversation with Wray but acknowledged that Telecon was growing rapidly and needed contractors to perform the Telus residential I&amp;R services at the time. Benson testified that the Telus service work was performed both by employees and contractors. He testified that the service work to contractors was not guaranteed. Indeed, he testified that the work is cyclical. The months of April to November are busy, however work drops off relatively dramatically during the winter months. Benson testified that during the busy period, all employees and contractors are offered hours for Telus. During slower periods, employees would be given first right to work and some contractors would not be offered hours from Telus. They are "turned off" during the slow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June 4, 2015, a meeting was held in the Telecon Langley offices between Wray, Johnson, Lochan and Theodore Dobrer ("Dobrer"), Regional Supervisor for Telecon at the time. Dobrer is currently the Operations Manager who was an adverse witness called by the plaintiffs at trial. Lightstream presented Johnson as the Operations Manager of Lightstream capable of training Wray and other technicians to perform services for Telus. Wray testified that Lochan told him that Telecon could offer as much Telus I&amp;R work as Lightstream could handle with trained technicians.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Lochan testified that he told Wray and Johnson that Telecon was looking for subcontractors to perform telecommunication services in the residential telecommunication industry for Telus and that the role required travelling across various regions of the province to perform different types of I&amp;R services. He testified that he told Wray and Johnson that the amount of work was wholly dependent upon whether Telus provided work to Telecon. He testified that Telus controlled the performance and scheduling standards. Telus had clothing and apparel requirements, requirements for tools, equipment and vehicles - the costs of which were to be borne by the subcontractor, and payable to Telecon.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accept that the standards of performance imposed by Telus were explained to Wray and Johnson at the meeting. Wray and Johnson were also provided with a Subcontractor Selection Questionnaire (the "Questionnaire") explaining the safety and insurance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parties do not dispute that at the meeting, Telecon offered Lightstream a tier 1 fee for services rate, reserved for subcontractors with more than two employees. This rate was presumably provided to Lightstream based upon Lightstream's representations about growing its business to several contractors within the first two years. In fact, Lightstream did attempt to recruit two contractors in 2015 but neither remained long enough at Lightstream to be trained or to receive any work from Telecon. Thus, at all material times, Wray was Lightstream's only employee or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Wray testified that Lightstream had the Vehicles and was ready to commence work. Johnson owned about $10,000.00 worth of tools from his previous installation work that he provided to Lightstream so that Wray and Johnson could start working. Lightstream also purchased a computer for approximately $400.00.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The Services Agreement and Proposed Renewal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parties agreed to the terms of the Services Agreement at the June 4, 2015 meeting, subject to a criminal record check, background check, and assurances of adequate liability insurance, workers' compensation insurance, and all other requirements set out in the Questionnaire provided to Lightstream on that date. Lightstream accepted this offer and commenced work as a subcontractor to Telecon on or about July 9,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Services Agreement was signed on August 10, 2015, was backdated to July 9, 2015, and was to be in effect until October 31, 2015. The Services Agreement provided,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SCOPE OF SERVICE</w:t>
      </w:r>
      <w:r>
        <w:rPr>
          <w:rFonts w:ascii="arial" w:eastAsia="arial" w:hAnsi="arial" w:cs="arial"/>
          <w:color w:val="000000"/>
          <w:sz w:val="20"/>
          <w:lang w:val="en-US" w:eastAsia="en-US" w:bidi="ar-SA"/>
        </w:rPr>
        <w:t xml:space="preserve"> - </w:t>
      </w:r>
      <w:r>
        <w:rPr>
          <w:rFonts w:ascii="arial" w:eastAsia="arial" w:hAnsi="arial" w:cs="arial"/>
          <w:b/>
          <w:color w:val="000000"/>
          <w:sz w:val="20"/>
          <w:lang w:val="en-US" w:eastAsia="en-US" w:bidi="ar-SA"/>
        </w:rPr>
        <w:t>LIGHSTREAM TELECOMMUNICATIONS INC</w:t>
      </w:r>
      <w:r>
        <w:rPr>
          <w:rFonts w:ascii="arial" w:eastAsia="arial" w:hAnsi="arial" w:cs="arial"/>
          <w:color w:val="000000"/>
          <w:sz w:val="20"/>
          <w:lang w:val="en-US" w:eastAsia="en-US" w:bidi="ar-SA"/>
        </w:rPr>
        <w:t>. shall provide qualified services to TELECON'S client to perform technical tasks as requested.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ASSIGNED TECHNICIANS</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LIGHTSTREAM TELECOMMUNICATIONS INC</w:t>
      </w:r>
      <w:r>
        <w:rPr>
          <w:rFonts w:ascii="arial" w:eastAsia="arial" w:hAnsi="arial" w:cs="arial"/>
          <w:color w:val="000000"/>
          <w:sz w:val="20"/>
          <w:lang w:val="en-US" w:eastAsia="en-US" w:bidi="ar-SA"/>
        </w:rPr>
        <w:t xml:space="preserve">. manpower shall be, and shall remain at all times during the Assignment, term employees or independent contractors of </w:t>
      </w:r>
      <w:r>
        <w:rPr>
          <w:rFonts w:ascii="arial" w:eastAsia="arial" w:hAnsi="arial" w:cs="arial"/>
          <w:b/>
          <w:color w:val="000000"/>
          <w:sz w:val="20"/>
          <w:lang w:val="en-US" w:eastAsia="en-US" w:bidi="ar-SA"/>
        </w:rPr>
        <w:t>LIGHTSTREAM TELECOMMUNICATIONS INC. LIGHTSTREAM TELECOMMUNICATIONS INC</w:t>
      </w:r>
      <w:r>
        <w:rPr>
          <w:rFonts w:ascii="arial" w:eastAsia="arial" w:hAnsi="arial" w:cs="arial"/>
          <w:color w:val="000000"/>
          <w:sz w:val="20"/>
          <w:lang w:val="en-US" w:eastAsia="en-US" w:bidi="ar-SA"/>
        </w:rPr>
        <w:t>. shall be solely responsible for the payment of wages, salaries, consulting fees and other amounts due its term employees and independent contractors supplied to the Client in connection with this agreement and shall be responsible for the direct or indirect payment of all source deductions, remittances and other payments required by federal, provincial and municipal authorities in connection with technical personnel provided to the Client under this agreement including, without limitation, any and all income taxes and premiums or contributions payable in respect of the Canada Pension Plan, employment insurance, employer and employee health taxes, workplace safety legislation and similar obligations.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INSURANCE - LIGHTSTREAM TELECOMMUNICATIONS INC</w:t>
      </w:r>
      <w:r>
        <w:rPr>
          <w:rFonts w:ascii="arial" w:eastAsia="arial" w:hAnsi="arial" w:cs="arial"/>
          <w:color w:val="000000"/>
          <w:sz w:val="20"/>
          <w:lang w:val="en-US" w:eastAsia="en-US" w:bidi="ar-SA"/>
        </w:rPr>
        <w:t xml:space="preserve">. shall maintain standard business insurances, including general liability (5 million), professional liability and workers compensation in accordance with applicable workplace safety legislation. Client shall have the right upon request to obtain a copy of </w:t>
      </w:r>
      <w:r>
        <w:rPr>
          <w:rFonts w:ascii="arial" w:eastAsia="arial" w:hAnsi="arial" w:cs="arial"/>
          <w:b/>
          <w:color w:val="000000"/>
          <w:sz w:val="20"/>
          <w:lang w:val="en-US" w:eastAsia="en-US" w:bidi="ar-SA"/>
        </w:rPr>
        <w:t>LIGHTSTREAM TELECOMMUNICATIONS INC</w:t>
      </w:r>
      <w:r>
        <w:rPr>
          <w:rFonts w:ascii="arial" w:eastAsia="arial" w:hAnsi="arial" w:cs="arial"/>
          <w:color w:val="000000"/>
          <w:sz w:val="20"/>
          <w:lang w:val="en-US" w:eastAsia="en-US" w:bidi="ar-SA"/>
        </w:rPr>
        <w:t xml:space="preserve">. insurance certificate(s). </w:t>
      </w:r>
      <w:r>
        <w:rPr>
          <w:rFonts w:ascii="arial" w:eastAsia="arial" w:hAnsi="arial" w:cs="arial"/>
          <w:b/>
          <w:color w:val="000000"/>
          <w:sz w:val="20"/>
          <w:lang w:val="en-US" w:eastAsia="en-US" w:bidi="ar-SA"/>
        </w:rPr>
        <w:t>LIMITATION OF LIABILITY -</w:t>
      </w:r>
      <w:r>
        <w:rPr>
          <w:rFonts w:ascii="arial" w:eastAsia="arial" w:hAnsi="arial" w:cs="arial"/>
          <w:color w:val="000000"/>
          <w:sz w:val="20"/>
          <w:lang w:val="en-US" w:eastAsia="en-US" w:bidi="ar-SA"/>
        </w:rPr>
        <w:t xml:space="preserve"> TELECON shall not be liable for any losses, expenses, lost profits, liabilities, damages, demands or claims suffered or incurred by </w:t>
      </w:r>
      <w:r>
        <w:rPr>
          <w:rFonts w:ascii="arial" w:eastAsia="arial" w:hAnsi="arial" w:cs="arial"/>
          <w:b/>
          <w:color w:val="000000"/>
          <w:sz w:val="20"/>
          <w:lang w:val="en-US" w:eastAsia="en-US" w:bidi="ar-SA"/>
        </w:rPr>
        <w:t>LIGHTSTREAM TELECOMMUNICATIONS INC</w:t>
      </w:r>
      <w:r>
        <w:rPr>
          <w:rFonts w:ascii="arial" w:eastAsia="arial" w:hAnsi="arial" w:cs="arial"/>
          <w:color w:val="000000"/>
          <w:sz w:val="20"/>
          <w:lang w:val="en-US" w:eastAsia="en-US" w:bidi="ar-SA"/>
        </w:rPr>
        <w:t xml:space="preserve">. or any employee or agent of </w:t>
      </w:r>
      <w:r>
        <w:rPr>
          <w:rFonts w:ascii="arial" w:eastAsia="arial" w:hAnsi="arial" w:cs="arial"/>
          <w:b/>
          <w:color w:val="000000"/>
          <w:sz w:val="20"/>
          <w:lang w:val="en-US" w:eastAsia="en-US" w:bidi="ar-SA"/>
        </w:rPr>
        <w:t>LIGHTSTREAM TELECOMMUNICATION INC</w:t>
      </w:r>
      <w:r>
        <w:rPr>
          <w:rFonts w:ascii="arial" w:eastAsia="arial" w:hAnsi="arial" w:cs="arial"/>
          <w:color w:val="000000"/>
          <w:sz w:val="20"/>
          <w:lang w:val="en-US" w:eastAsia="en-US" w:bidi="ar-SA"/>
        </w:rPr>
        <w:t xml:space="preserve">. as a result of the action of any </w:t>
      </w:r>
      <w:r>
        <w:rPr>
          <w:rFonts w:ascii="arial" w:eastAsia="arial" w:hAnsi="arial" w:cs="arial"/>
          <w:b/>
          <w:color w:val="000000"/>
          <w:sz w:val="20"/>
          <w:lang w:val="en-US" w:eastAsia="en-US" w:bidi="ar-SA"/>
        </w:rPr>
        <w:t>LIGHTSTREAM TELECOMMUNI CATIONS INC</w:t>
      </w:r>
      <w:r>
        <w:rPr>
          <w:rFonts w:ascii="arial" w:eastAsia="arial" w:hAnsi="arial" w:cs="arial"/>
          <w:color w:val="000000"/>
          <w:sz w:val="20"/>
          <w:lang w:val="en-US" w:eastAsia="en-US" w:bidi="ar-SA"/>
        </w:rPr>
        <w:t xml:space="preserve">. agent or employee, or independent contractor who is working under the supervision of </w:t>
      </w:r>
      <w:r>
        <w:rPr>
          <w:rFonts w:ascii="arial" w:eastAsia="arial" w:hAnsi="arial" w:cs="arial"/>
          <w:b/>
          <w:color w:val="000000"/>
          <w:sz w:val="20"/>
          <w:lang w:val="en-US" w:eastAsia="en-US" w:bidi="ar-SA"/>
        </w:rPr>
        <w:t>LIGHTSTREAM TELECOMMUNICATIONS INC</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CHANGES OR AMENDMENTS -</w:t>
      </w:r>
      <w:r>
        <w:rPr>
          <w:rFonts w:ascii="arial" w:eastAsia="arial" w:hAnsi="arial" w:cs="arial"/>
          <w:color w:val="000000"/>
          <w:sz w:val="20"/>
          <w:lang w:val="en-US" w:eastAsia="en-US" w:bidi="ar-SA"/>
        </w:rPr>
        <w:t xml:space="preserve"> The terms and conditions of this agreement may not be varied, or amended except by an instrument in writing executed concurrently with, or subsequent to the execution of this Agreement and signed on behalf of Client and TELECON by duly authorized persons.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Equipment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mutually understood and agreed that the contracting company is responsible to supply all required tools in order to commence work immediately. The contracting company may request that Telecon will provide some tools and materials that will be paid to Telecon in 10 equal monthly payments. In case that contract will not be renewed after its expiration, it is agreed that Telecon will request that all the loaned equipment will be returned to Telecon warehouse. The contracting company may request to be compensated for some of the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Missed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understood and agreed that contracting company will complete all assigned work to its technicians. It is understood, that in case of (sic) contracting company will not be able to complete all assigned work it will be responsible to compensate Telecon for all potential financial losses as a result of missed work.</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Performance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understood and agreed that contracting company must perform and achieve results on various metrics that are important to our clients. Telecon reserves the right to claim-back money from the invoice presented by contractor, if metrics are not achieved.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Repeats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understood and agreed that contracting company must perform and achieve results on various metrics that are important to our clients. Telecon reserves the right to withhold money from the invoice presented by the contractor, if metrics are not achieved. It is understood and agreed that metric targets may change in the future based on customer requirements.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Fulfill repeats current minimum is 5.2% and target is 4.5% For Assure repeats current minimum is 9% and target is 8%</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Training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understood and agreed that contracting company will provide full skilled technicians to perform work, and it is a responsibility of contracting company to be liable for all required training. Telecon will provided from time to time in- house training that will be offered free of charge to contracting company.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Warehouse orders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Must comply 100% with Telecon warehouse policy. All equipment that needs to be returned will be returned when it is organized in boxes as per our customer requirements.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no circumstances employee of contracting company is allowed to walk in warehouse area and pick the equipment and tools on his own.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TERMINATION -</w:t>
      </w:r>
      <w:r>
        <w:rPr>
          <w:rFonts w:ascii="arial" w:eastAsia="arial" w:hAnsi="arial" w:cs="arial"/>
          <w:color w:val="000000"/>
          <w:sz w:val="20"/>
          <w:lang w:val="en-US" w:eastAsia="en-US" w:bidi="ar-SA"/>
        </w:rPr>
        <w:t xml:space="preserve"> Either party may terminate this Agreement at any time by giving the other no less than thirty (30) days prior written notice of termination. In such event Client shall pay to </w:t>
      </w:r>
      <w:r>
        <w:rPr>
          <w:rFonts w:ascii="arial" w:eastAsia="arial" w:hAnsi="arial" w:cs="arial"/>
          <w:b/>
          <w:color w:val="000000"/>
          <w:sz w:val="20"/>
          <w:lang w:val="en-US" w:eastAsia="en-US" w:bidi="ar-SA"/>
        </w:rPr>
        <w:t>LIGHTSTREAM TELECOMMUNICATIONS INC</w:t>
      </w:r>
      <w:r>
        <w:rPr>
          <w:rFonts w:ascii="arial" w:eastAsia="arial" w:hAnsi="arial" w:cs="arial"/>
          <w:color w:val="000000"/>
          <w:sz w:val="20"/>
          <w:lang w:val="en-US" w:eastAsia="en-US" w:bidi="ar-SA"/>
        </w:rPr>
        <w:t xml:space="preserve">. the amount due for services. </w:t>
      </w:r>
      <w:r>
        <w:rPr>
          <w:rFonts w:ascii="arial" w:eastAsia="arial" w:hAnsi="arial" w:cs="arial"/>
          <w:b/>
          <w:color w:val="000000"/>
          <w:sz w:val="20"/>
          <w:lang w:val="en-US" w:eastAsia="en-US" w:bidi="ar-SA"/>
        </w:rPr>
        <w:t>CONFLICT</w:t>
      </w:r>
      <w:r>
        <w:rPr>
          <w:rFonts w:ascii="arial" w:eastAsia="arial" w:hAnsi="arial" w:cs="arial"/>
          <w:color w:val="000000"/>
          <w:sz w:val="20"/>
          <w:lang w:val="en-US" w:eastAsia="en-US" w:bidi="ar-SA"/>
        </w:rPr>
        <w:t xml:space="preserve"> - If any provision herein is in conflict with any statute or rule of law, then such provision will be deemed inoperative to the extent that it may conflict therewith and will be deemed to be modified so as to conform to such statute or rule of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WAIVER -</w:t>
      </w:r>
      <w:r>
        <w:rPr>
          <w:rFonts w:ascii="arial" w:eastAsia="arial" w:hAnsi="arial" w:cs="arial"/>
          <w:color w:val="000000"/>
          <w:sz w:val="20"/>
          <w:lang w:val="en-US" w:eastAsia="en-US" w:bidi="ar-SA"/>
        </w:rPr>
        <w:t xml:space="preserve"> No term or condition of this Agreement will be modified or deleted except by a written instrument signed by the parties hereto. Waiver of any breach or any term or condition of this Agreement will not be deemed a waiver of any prior or subsequent breach.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ENTIRE AGREEMENT -</w:t>
      </w:r>
      <w:r>
        <w:rPr>
          <w:rFonts w:ascii="arial" w:eastAsia="arial" w:hAnsi="arial" w:cs="arial"/>
          <w:color w:val="000000"/>
          <w:sz w:val="20"/>
          <w:lang w:val="en-US" w:eastAsia="en-US" w:bidi="ar-SA"/>
        </w:rPr>
        <w:t xml:space="preserve"> Subject to Section 17, this Agreement constitutes the entire agreement between the parties and supersedes all previous agreements, promises, proposals, representations, understandings and negotiations, whether written or oral, between the parties respecting the subject matter hereof.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Term</w:t>
      </w:r>
      <w:r>
        <w:rPr>
          <w:rFonts w:ascii="arial" w:eastAsia="arial" w:hAnsi="arial" w:cs="arial"/>
          <w:color w:val="000000"/>
          <w:sz w:val="20"/>
          <w:lang w:val="en-US" w:eastAsia="en-US" w:bidi="ar-SA"/>
        </w:rPr>
        <w:t xml:space="preserve"> - For the purpose of this agreement the term of this contract is for 3 months starting July 9th/2015 until October 31/2015. Review of satisfactory SLA numbers may result in a contract extension.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After passing the criminal record check and background check both Wray and Johnson were issued what is called an XID number which denotes subcontractor status to Telus as opposed to employee status. Wray was put into the Telecon schedule (the "load") in or about the second week of July. He was trained by Johnson for about four weeks after which he worked alone, reporting to Johnson.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parties acknowledge that Wray commenced working in the Lower Mainland in or about September 2015 after training with Johnson. Wray was then stationed as a roving technician in Prince George. He remained in Prince George until the beginning of December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Telecon clearly intended to enter into a renewal services agreement (the "Proposed Renewal Agreement") after the expiry of the Services Agreement on October 31, 2015. On November 19, 2015, Telecon delivered a contract to Lightstream duly executed by Benson which was essentially on the same terms and conditions as the Services Agreement, but for a four-month term, running from November 18, 2015 to March 18,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Benson testified that the reason for the four-month term as opposed to three- month term was that Telecon was attempting to standardize its agreements to a four-month term. Telecon also delivered its Questionnaire to Lightstream requiring confirmation,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of workers' compensation coverage, liability insurance coverage, the existence of safety manuals and safety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For reasons that were not explained, Lightstream did not execute the Proposed Renewal Agreement. Benson testified that subcontractors often needed reminders to execute the new agreements and Lightstream's failure to execute the agreement immediately was not unusual.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Nevertheless, it is clear that all parties intended to continue the business relationship after October 31, 2015. Lightstream continued to provide I&amp;R services to Telus on behalf of Telecon. Lightstream purchased a third vehicle in December 2015, so that Wray could be trained by Johnson in fibre optic cabling and Lightstream could have a new technician trained and working. Telecon continued to offer the Telus work to Lightstream.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However, problems between the parties began to arise in December 2015. Telecon suspended Wray from working because he failed some performance metrics in November and was taken off the load for a two-week period as a form of disciplinary suspension. Wray was not put into the load at all in December.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Wray testified that he and Johnson knew about the strict performance metrics, which they viewed as very subjective, but did not know that Telecon would suspend a technician if the technician failed to meet these metrics. Article 10 (f) of the Services Agreement provides Telecon with the right to claim money from a contractor's invoice if metrics are not achieved but does not expressly provide the right to suspend a contractor from the load for failing to achieve the performance metrics.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Unsubstantiated Allegation of Theft against Wray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December 20, 2015, Telecon accused Wray of theft from a Telecon warehouse in Richmond, which allegedly took place on December 16, 2015. The defendant maintained its allegation of theft until the fourth day of trial. On November 30, 2017, the defendant withdrew the allegation and acknowledged that Wray did not engage in theft as alleged and that the evidence did not establish theft.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allegation arose when Wray attended a Telecon warehouse in Richmond to collect equipment for upcoming work. Wray had left Prince George at the beginning of December because he was not in the load. Wray was told that he would be travelling to the Sunshine Coast to perform Telus services and that he needed to pick up supplies and tools for that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the day in question, due to illness, the warehouse supervisor left before fulfilling Wray's requests. With no choice but to equip himself for work for the following week, Wray gathered the tools and materials he needed, knowing that those items would be billed to Lightstream. While the Services Agreement specifically states that "under no circumstances" is an employee of a contracting company allowed to pick up equipment and tools from a warehouse on their own, it appears that this clause was more honoured in the breach than in its observance.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Wray left a list of the items he had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theft allegation was cobbled together by various observations of Wray inside the warehouse and appears to have been a complete misunderstanding that in no way merited the reaction it received by Telecon.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Internally, Telecon advised relevant employees by email on December 20, 2015 that Wray was no longer in the load. The email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FYI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do not share the email below with anyone.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for your information only.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Daniel has been taken out of the load effective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December 19, 2015 Mr. Lochan delivered an internal email to the Telecon team advising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Yes. His contract will be terminated tmw morning. Don and Vince will communicate our decision in person at the office tmw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another internal email to HR on that date, Lochan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let me know before you process the final payment for his company as we want to bill him for tools taken and any other outstanding debts to Telecon.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December 20, 2015, Lightstream was advised by Lochan via email to Johnson that Wray was no longer eligible to contract work from Telecon as a result of the theft. The email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Russell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completed our investigation regarding the incident that took place on December 16th, 2015 at the Telecon Warehouse in Richmond 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with regret that I inform you effective immediately Daniel Wray is no longer eligible to contract work for Telecon and is not welcome at the Telecon Richmond office/ warehouse.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Theft of Telecon company property is a very serious offense and company policy requires that anyone caught misusing or stealing company property must be terminated immediately.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Russell, please relinquish any remaining Telecon property in Mr. Wray's possession and return the items to our Telecon warehouse in Richmond.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outstanding wages earned and accrued to today's date will be paid to you on our next scheduled payroll date. Telecon Inc. will apply all necessary financial deductions and withholdings as required to reconcile the remaining balance owed for previous tools purchased from Telecon.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have any questions and/or final comments, please contact me 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response, Johnson attempted to persuade Telecon to reconsider its decision as Wray adamantly disputed the theft allegation. Telecon persisted in its view that Wray was justly removed from the load and would never again work for Telecon.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was obvious from the evidence of Lochan that the investigation was superficial, lacked careful and considered judgment, and could not have resulted in a theft allegation had a proper investigation been undertaken. No clear evidence of theft existed either prior to or at trial and the defendant finally withdrew the allegation on November 30, 2017. There is no doubt in my mind that Wray was treated most unfairly by Telecon.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It also appears to me that once Wray had commenced a lawsuit, Lochan attempted to shore up his cursory look at the alleged theft by encouraging the warehouse employees to prepare better statements. The wording of two statements by different warehouse employees was nearly identical, putting the veracity of these statements into doubt.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Termination of the Services Agreement and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Wray was shocked by the allegation and was convinced that he and Lightstream would not be able to work in the telecommunication industry as a result. He wanted to clear his name and reputation. Wray hired legal counsel. His counsel wrote to Telecon on December 27, 2015, putting the company on notice that Telecon and its individual employees could be liable for any damages, financial or otherwise, that arose from their communication of the theft allegations to any other party. Counsel demanded that Telecon not discuss any matters related to the termination of Wray's services with any employees or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Between December of 2015 and March of 2016, Wray testified that he did not seek any alternate telecommunications service work, either as a subcontractor, contractor or employee. He was invited by a Mr. Mott to apply to his company as an employee but Wray did not pursue the offer. He testified that for the first few weeks at least, he remained shocked by the allegation and the shock paralyzed him. He had no confidence that Telecon would not repeat the allegation of theft.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Lightstream and Wray eventually retained other counsel who wrote to Telecon on March 9, 2016 setting out Wray's version of the December 16, 2015 incident. Counsel sought reinstatement of Mr. Wray as a permitted technician for Telecon.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Telecon's senior in-house legal counsel responded on March 18, 2016 by letter, maintaining the theft allegation but assuring Lightstream that it was not barred from working and that Telecon had not tainted Mr. Wray's reputation because it did not repeat the allegation to any person. The letter went on to state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also wish to assert that, at no time, Telecon tried to blacklist your client and/or Mr. Wray from the British Columbia telecommunications installation market, as you are claiming. Telecon has merely exercised a contractual right by requesting that your client no longer assign Mr. Wray to work for Telecon. We confirm that no information or details regarding this incident were communicated to third parties, including actual or potential customers, by Telecon and/or its employees. Your client and Mr. Wray are completely free to work for any of the many competitors of Telecon in British Columbia or Western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Soon thereafter, on May 5, 2016 the plaintiffs commenced their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At trial, Dobrer alleged that Lightstream, the corporate entity, was listed as "rehireable" in the Telecon offloading documents, a fact unknown to the plaintiffs until this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 Lightstream and Wray after the Theft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Neither Wray nor Johnson was offered Telus work or any other work from Telecon after the theft allegation. The plaintiffs claim that Telecon terminated the Services Agreement and point to the March 18, 2016 letter from Telecon as evidence that Telecon was no longer prepared to provide work to Lightstream.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Telecon's position at trial was that Lightstream still had the option of entering Johnson or another eligible trained technician into the load after December 2015. According to Johnson, he intended to go into the load in January 2016. He testified that he told Lochan, and possibly Dobrer, of his intention to perform service work for Telus in January.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However, not only did Telecon not offer Lightstream any work after the theft allegation, Lightstream did not pursue any such work after the allegation because it appeared to Wray and Johnson that the contract had been terminated. Certainly, Telecon did not reach out to Lightstream or give any assurances until the March 18, 2016 letter from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Wray testified that for the first few months, he did not attempt to find alternate contract work. He believed that Lochan had told others about the allegation and that any reference would result in the theft allegation being disseminated. Wray did not have faith that Telecon would not spread the theft allegation if asked about Wray, notwithstanding Telecon's letter of March 18, 2016 denying any dissemination of the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Wray had good reason to be concerned about the dissemination of an allegation of theft. The residential service work for Telus requires technicians to go into customers' homes and a record of theft would most certainly disqualify a technician. He did not wish to take the risk. Wray assumed that an allegation of theft against him would necessarily ruin his reputation and would exclude him from the Telus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the stand, Dobrer and Lochan attempted to qualify this notion but ultimately agreed that an allegation of theft is extremely serious and would likely prohibit a technician from finding work from Telus. Their letter to Johnson notifying of Wray's removal from the load makes this view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As well, and unknown to Wray until he obtained documents in the course of this lawsuit, Lochan had certainly advised some employees within Telecon of the reason for removing Wray from the load. I find it entirely possible there would be gossip within the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Wray testified that he was also afraid to apply for employment in the telecommunication service industry for the same reason - namely that the theft allegation would be made public and he would be disqualified from doing the work he knew.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 also testified that he did not want to be an "employee" and did not seek employment after December of 2015. He wanted to be an independent contractor in the telecommunication service industry and he was desperate to clear his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plaintiffs claim Wray was at all material times a dependent contractor or employee of Telecon who had been wrongfully dismissed by the allegation of theft. The plaintiffs claim wrongful dismissal damages including damages for loss of wages, loss of income earning capacity, loss of reputation and mental distress. The plaintiffs further seek damages from Telecon on the basis of breach of contract and the tort of intentional interference with economic relations. They seek aggravated damages for the mental distress caused to Wray and punitive damages for the conduct of Telecon.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defendant alleges there was no agreement between Lightstream and Telecon that required Telecon to offer Lightstream the opportunity to perform Telus work. The defendant states that it did not breach a contract with Lightstream when it barred Wray from performing Telus work for it because Lightstream was not prevented from continuing to operate. The defendant's position is that Wray was not a dependent contractor or employee of Telecon. Alternatively, it states that the plaintiff did not take reasonable steps to mitigate its damages. Telecon denies any liability in tort, and denies any liability for punitive or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issues to be decided are:</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Telecon liable for breach of contract to Lightstream?</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Telecon liable in tort to Lightstream or Wray for intentional interference with economic relations, or to Wray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Telecon liable to Wray for wrongful dismissal either as a dependent contractor or as an employee?</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either of the plaintiffs suffer loss and damages as a consequence of the actions of Telecon?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Contractual Liability</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Services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Services Agreement was for a three-month term from July 9, 2015 to October 31,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plaintiffs submit that the Services Agreement did not reflect the true contract between the parties. The plaintiffs say that the real contract between Lightstream and Telecon commenced in July of 2015 when Lightstream and Telecon started doing business. They allege that the Services Agreement did not alter the terms of the already existing agreement that they say commenced on July 9, 2015 when they commenced work for Telecon. They rely on the fact that the Services Agreement was not executed until August of 2015, at least one month after the parties commenced doing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plaintiffs submit that the legal relationship between the parties both during the term of the Services Agreement and certainly thereafter, must be characterized as an umbrella agreement, incorporating various elements of the commercial relationship to evidence the true arrangement. The plaintiffs argue that the Services Agreement and the Proposed Renewal Agreement must be viewed in light of the factual matrix. The plaintiffs allege that the following contractual terms can be extracted from the evidence:</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relationship expressly contemplated Lightstream hiring and training multiple technicians;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Telecon encouraged and induced Lightstream into expanding its capacity to perform the Telus I&amp;R work, which included the purchase of two bucket trucks, one van and the training and recruitment of technicians;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Telecon would pay Lightstream in accordance with its top tier rate schedule; and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Lightstream would continue to obtain the Telus work insofar as such work was made available to Telecon, provided that Lightstream was able to supply qualified manpower.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plaintiff relies upon </w:t>
      </w:r>
      <w:r>
        <w:rPr>
          <w:rFonts w:ascii="arial" w:eastAsia="arial" w:hAnsi="arial" w:cs="arial"/>
          <w:i/>
          <w:color w:val="000000"/>
          <w:sz w:val="20"/>
          <w:lang w:val="en-US" w:eastAsia="en-US" w:bidi="ar-SA"/>
        </w:rPr>
        <w:t>0930032 B.C. Ltd. v. 3 Oaks Dairy Farms Ltd.</w:t>
      </w:r>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2015 BCCA 332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 Oaks</w:t>
      </w:r>
      <w:r>
        <w:rPr>
          <w:rFonts w:ascii="arial" w:eastAsia="arial" w:hAnsi="arial" w:cs="arial"/>
          <w:color w:val="000000"/>
          <w:sz w:val="20"/>
          <w:lang w:val="en-US" w:eastAsia="en-US" w:bidi="ar-SA"/>
        </w:rPr>
        <w:t>], at paras. 38 to 42 for their argument that an umbrella agreement was in effect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 submits that the Services Agreement is dated effective July 9, 2015 and that it is not unusual for parties to give retroactive effect to commercial agreements. The defendant submits that no agreement prior to the commencement of the Services Agreement can stand due to the entire agreement clause of the Services Agreement, Article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Services Agreement was contemplated by the parties in the June 4, 2015 meeting. Johnson was an experienced business owner and it is not reasonable to believe that he and Wray did not understand that they were bound by the Services Agreement. The Services Agreement governed the relationship between the parties for its term. In addition, in light of Article 17 it is difficult to accept the argument advanced by the plaintiffs that the Services Agreement was not in effect during its term. In my view, Article 17 was binding upon the parties to the Services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 conclude that the Services Agreement was clear and unequivocal in representing the parties' intentions and is not inconsistent with the context of the negotiations. I find no additional oral representations or umbrella agreement that bind Telecon or Lightstream. As stated by the Court of Appeal in </w:t>
      </w:r>
      <w:r>
        <w:rPr>
          <w:rFonts w:ascii="arial" w:eastAsia="arial" w:hAnsi="arial" w:cs="arial"/>
          <w:i/>
          <w:color w:val="000000"/>
          <w:sz w:val="20"/>
          <w:lang w:val="en-US" w:eastAsia="en-US" w:bidi="ar-SA"/>
        </w:rPr>
        <w:t>3 Oaks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There can be no doubt that in order to find a collateral or umbrella agreement, the court must be satisfied that the evidence, objectively considered, shows that the parties intended to bind themselves to the contractual obligations, that there was consideration for their promises, and that the terms of the agreement are not vague but capable both of performance and enforcement.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3 Oaks</w:t>
      </w:r>
      <w:r>
        <w:rPr>
          <w:rFonts w:ascii="arial" w:eastAsia="arial" w:hAnsi="arial" w:cs="arial"/>
          <w:color w:val="000000"/>
          <w:sz w:val="20"/>
          <w:lang w:val="en-US" w:eastAsia="en-US" w:bidi="ar-SA"/>
        </w:rPr>
        <w:t>, the terms of an original partnership agreement continued in force or subsisted notwithstanding a rollover to a corporate form. In that case the parties continued to govern themselves as if the partnership agreement continued in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facts in </w:t>
      </w:r>
      <w:r>
        <w:rPr>
          <w:rFonts w:ascii="arial" w:eastAsia="arial" w:hAnsi="arial" w:cs="arial"/>
          <w:i/>
          <w:color w:val="000000"/>
          <w:sz w:val="20"/>
          <w:lang w:val="en-US" w:eastAsia="en-US" w:bidi="ar-SA"/>
        </w:rPr>
        <w:t>3 Oaks</w:t>
      </w:r>
      <w:r>
        <w:rPr>
          <w:rFonts w:ascii="arial" w:eastAsia="arial" w:hAnsi="arial" w:cs="arial"/>
          <w:color w:val="000000"/>
          <w:sz w:val="20"/>
          <w:lang w:val="en-US" w:eastAsia="en-US" w:bidi="ar-SA"/>
        </w:rPr>
        <w:t xml:space="preserve"> were materially different to the facts at hand where the parties continued to conduct business as if the Services Agreement remained in effect without any explicit or implicit additional terms. In my view, nothing turns on the fact that the Services Agreement was formally executed in August after work commenced. This fact has no legal implications. The parties agreed to the terms and backdated the Services Agreement to reflect its true commencement date.</w:t>
      </w:r>
      <w:r>
        <w:rPr>
          <w:rFonts w:ascii="arial" w:eastAsia="arial" w:hAnsi="arial" w:cs="arial"/>
          <w:sz w:val="20"/>
          <w:lang w:val="en-US" w:eastAsia="en-US" w:bidi="ar-SA"/>
        </w:rPr>
        <w:cr/>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Proposed Renewal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defendant submits that either the Proposed Renewal Agreement was the governing contract between the parties from November 1, 2015 to December 2015, or that there was no agreement. If there were no agreement, Telecon had no obligation to provide service work to Telecon. Rather, the provision of work was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and could be terminated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Proposed Renewal Agreement was virtually on the same terms as the Services Agreement except that the term of the agreement would have been for four months instead of three months. It was not executed.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parties continued to do business pursuant to all the terms of the Services Agreement or the virtually identical Proposed Renewal Agreement. The termination provisions of the Services Agreement remained intact.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find that as of November 1, 2015, the parties, by their conduct, agreed to the Proposed Renewal Agreement for an additional four-month term, on the same terms and conditions as set out in the Services Agreement. This conclusion is consistent with the evidence of the parties that they intended to continue their business relationship after October 31, 2015 and in fact did so. By its conduct and its evidence at trial, Lightstream fully intended to continue performing service work for Telus as a subcontractor to Telecon. I will refer to the parties' ongoing agreement as the Services Agreement for the balance of these reasons.</w:t>
      </w:r>
      <w:r>
        <w:rPr>
          <w:rFonts w:ascii="arial" w:eastAsia="arial" w:hAnsi="arial" w:cs="arial"/>
          <w:sz w:val="20"/>
          <w:lang w:val="en-US" w:eastAsia="en-US" w:bidi="ar-SA"/>
        </w:rPr>
        <w:cr/>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Telecon's Alleged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do not accept that Telecon induced Lightstream to purchase the Vehicles, equipment or to incur training expenses based on any representations it made, contractual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purchase of the Vehicles was contemplated prior to Lightstream's introduction to Telecon as evidenced by Wray responding to Newbatt's Craigslist ad. Indeed, it was not until Wray met Newbatt to purchase the Vehicles that Wray learned of Telecon. The purchase of the Vehicles was a decision made by Lightstream and Wray independent of Telecon.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Wray, Johnson and Gillis' evidence confirms that the purpose of starting the Lightstream business was to attempt to grow the business into a successful private entity. The goal they shared was to hire and train technicians for the Telus work in addition to and other than Wray or Johnson who would do the management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Purchase of the third truck after the commencement of the Services Agreement in December 2015 was contemplated by Lightstream independently of Telecon as part of its growth and ability to perform future proposed work. It was purchased by Lightstream to be able to contract more work from Telecon. The Vehicles were purchased in order to be able to accept possible future telecommunication service work, if Lightstream were able to recruit more eligible technicians. Telecon did not make material representations and did not induce Lightstream or Wray to buy Vehicles or other equipment. Rather, these were a necessary part of being able to accept work from Telecon.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With respect to tools, I find that Telecon required certain basic tools be provided by Johnson, in order to apply to be able to provide any telecommunication services required. In any event, Article 10(b) of the Services Agreement contemplated that Lightstream would supply its own tools and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conclude that the equipment and tools purchased or owned by Lightstream were purchased in anticipation of doing business or in order to take on the Telus work. Their cost is not a recoverable expense under the Services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Certainly Lightstream contemplated hiring more technicians. This was their goal and was a representation it made to Telecon during the negotiations regarding service work in June of 2015. However, Lightstream was not able to successfully hire or train any technicians except for Wray during the entire term of the Services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Lightstream's goal of growing the business was not based on Telecon's representations of work. Rather, Lightstream's representations convinced Telecon to provide Lightstream with a tier 1 rate that was reserved for companies with more than two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Given the nature of Telecon's business, it does not make sense that Telecon would guarantee work to any person or entity. Telecon's business was wholly dependent upon the pleasure of Telus. Entering into short-term subcontracts was part of its business model so that if a subcontract were terminated Telecon's potential liability would be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conclude that the parties knew or ought to have known that the Telus work was not contractually guaranteed by Telecon because Telecon did not control the flow of work from Telus. Rather, the Telus work was cyclical in nature so that subcontractors could lose work or be turned off during slow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addition, once a subcontractor was put into the load, they were subject to Telus's performance and work completion standards. If a job in the load was not completed by a subcontractor, Telecon could be forced to bear the cost of completing the incomplete job. If a subcontractor performed below set performance standards, that failure could ultimately affect the amount of Telus work dispatched to Telecon.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There is no dispute that because the subcontractors worked inside customers' homes, and because Telecon's business opportunities depended substantially on successful installations, that the performance standards of Telus were rigid and depended on the evaluations of the installation work from the Telus customers. Those evaluations may very well have been subjective as described by Wray and Johnson. Their very unpredictability supports a conclusion that there could be no guarantee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Johnson, in particular, was familiar with these rigid standards of performance as he had previously performed telecommunication services for Telus in commercial settings. While he may not have been aware of Telecon's ability to suspend a contractor based upon performance metric failures, Article 10(f) confirms that Telecon could impose monetary penalties for these failures.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Telecon depended upon its subcontractor agreements to be able to terminate contracts on notice of 30 days in case it needed to do this to satisfy Telus.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plaintiffs argue that Telecon was contractually required to supply work to Lightstream as long as work was available and Lightstream supplied qualified technicians. The plaintiffs' position in this regard cannot succeed. It is obvious that Telecon's success was dependent in part upon Telecon's ability to satisfactorily complete services put into the load. Telecon entered into short duration subcontracts that allowed it to terminate the subcontracts on short notice of 30 days. The term and termination provisions were essential to Telecon's business realities and ability to maintain control to respond to Telus's performance standards. Its viability depended upon being able to turn off subcontractors or terminate subcontractors on short notice if, in its view, that subcontractor impeded its relationship with Telus.</w:t>
      </w:r>
      <w:r>
        <w:rPr>
          <w:rFonts w:ascii="arial" w:eastAsia="arial" w:hAnsi="arial" w:cs="arial"/>
          <w:sz w:val="20"/>
          <w:lang w:val="en-US" w:eastAsia="en-US" w:bidi="ar-SA"/>
        </w:rPr>
        <w:cr/>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Did Telecon Terminate the Services Agreement by Removing Wray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Given that Telecon was still open to have Lightstream perform contracting work, just with representatives others than Wray, I conclude that Telecon intended to honour its contract with Lightstream. At no point, did Telecon represent an intention to not be bound by the Services Agreement or that it was seeking to terminate the Services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There is no evidence Telecon was aware that Wray was the only employee/contractor of Lightstream such that removing Wray from the load meant effectively removing Lightstream from the load. Wray's representations to Benson in the lead up to the June 4, 2015 meeting and Lightstream's representations at the June 4, 2015 meeting, in fact, gave the opposite impression: Lightstream was rapidly growing and would soon have several contractors working for it to meet Telecon's demand. I accept that Telecon took this representation at face value, and reasonably believed that Lightstream was not still going to be effectively a one-man operation into December 2015. Proof of this is that Telecon offered Lightstream its tier 1 fee for services rate, reserved for subcontractors with more than two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While such an intentional removal of Lightstream from the load with no notice would have violated Article 11 of the Services Agreement, which states that a party much give at least 30 days' notice before terminating the agreement, I find Telecon did not intend to remove Lightstream from the load, only Wray. Accordingly, Telecon did not terminate the Services Agreement as it was still open to Lightstream to provide other contractors to Telecon.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While Telecon did require the return of Wray's equipment, and did issue a "final" invoice for his repairs, I do not see this as clearly evincing an intention to terminate the Services Agreement. Rather, this is more plausibly explained by reference to the fact that Telecon stored its own tools and equipment at its warehouse for contractors to pick up and needed them back for storage purposes. As for the "final" invoice, in my view, this simply reflected that it was Wray's final invoice, not necessarily Lightstream's final invoice.</w:t>
      </w:r>
      <w:r>
        <w:rPr>
          <w:rFonts w:ascii="arial" w:eastAsia="arial" w:hAnsi="arial" w:cs="arial"/>
          <w:sz w:val="20"/>
          <w:lang w:val="en-US" w:eastAsia="en-US" w:bidi="ar-SA"/>
        </w:rPr>
        <w:cr/>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Did Telecon Breach the Contract by Removing Wray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It is submitted by the plaintiffs that Telecon owed Lightstream and Wray a duty of honesty and good faith in the performance of the contract with Lightstream and that Telecon breached this implied duty when it alleged theft against Wray and in the plaintiff's submission, terminated the Services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In support of this proposition, the plaintiffs rely upon </w:t>
      </w:r>
      <w:r>
        <w:rPr>
          <w:rFonts w:ascii="arial" w:eastAsia="arial" w:hAnsi="arial" w:cs="arial"/>
          <w:i/>
          <w:color w:val="000000"/>
          <w:sz w:val="20"/>
          <w:lang w:val="en-US" w:eastAsia="en-US" w:bidi="ar-SA"/>
        </w:rPr>
        <w:t>Bhasin v. Hrynew</w:t>
      </w:r>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2014 SCC 71</w:t>
        </w:r>
      </w:hyperlink>
      <w:r>
        <w:rPr>
          <w:rFonts w:ascii="arial" w:eastAsia="arial" w:hAnsi="arial" w:cs="arial"/>
          <w:color w:val="000000"/>
          <w:sz w:val="20"/>
          <w:lang w:val="en-US" w:eastAsia="en-US" w:bidi="ar-SA"/>
        </w:rPr>
        <w:t>, where the Supreme Court of Canada summarized the general duty of honesty in contractual performance as a requirement not to lie or mislead the other party about one's contractual performance. The court described the duty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[65] The organizing principle of good faith, exemplifies the notion that, in carrying out his or her own performance of the contract, a contracting party should have appropriate regard to the legitimate contractual interests of the contracting partner. While "appropriate regard" for the other party's interests will vary depending on the context of the contractual relationship, it does not require acting to serve those interests in all cases. It merely requires that a party not seek to undermine those interests in bad faith. This general principle has strong conceptual differences from the much higher obligations of a fiduciary. Unlike fiduciary duties, good faith performance does not engage duties of loyalty to the other contracting party or a duty to put the interests of the other contracting party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defendant argues that while the allegation of theft against Wray was not substantiated, the allegation was made honestly and reasonably at the time and not capriciously or arbitrarily. The removal of Wray from the load was necessary due to Telecon's honestly held belief of theft and its obligation to remove technicians who did not meet Telus's stringent requirements. It points out that Telecon must err on the side of caution because installers are in customers' homes and Telus's main concern was customer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defendant submits that the plaintiffs' position that Telecon breached its duty of honesty and good faith towards Wray must fail as no such duty was owed to Wray as there was no nexus or contract between Telecon and Wray. The defendant argues that Wray was not a dependent contractor or employee of Telecon.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conclude that Telecon owed Lightstream a contractual duty of honesty and good faith, but did not owe Wray any such duty given the lack of a contract between the parties, an issue that is further discussed below in regard to whether Wray was a dependent contractor or employee of Telecon.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Before turning to the duty of good faith analysis, I find that Telecon had no express contractual right to directly suspend or otherwise remove a Lightstream contractor as they did with Wray. The only provision dealing with Telecon's ability to take action regarding a contractor's performance or conduct is Article 11(f). While article 11(j) does state that Lightstream "[m]ust comply 100% with Telecon warehouse policy" which includes the proviso that "[u]nder no circumstances employee of contracting company is allowed to walk in warehouse area and pick up the equipment and tools on his own", there is no corresponding penalty established for this breach. Accordingly, any such penalty must fall within the ambit of article 11(f). Article 11(f) only gives Telecon the right to claim back money from Lightstream's invoice if one of its contractors failed to perform and achieve results based on various metrics. It does not give them any ability to suspend or otherwise remove a contractor from the load.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Article 11(g) also limits Telecon's remedies for Lightstream failing to meet metrics to a withholding of money from an invoice.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Other articles of the Services Agreement support the conclusion that Telecon did not intend to have any direct control or contractual relations with Lightstream's contractors. Article 2, for example, makes Lightstream solely responsible for its manpower in a variety of ways. While these responsibilities do not include discipline, it may be assumed that the intention of the parties was to have Lightstream deal with this matter in its own employment contracts with individual employees. Article 11(e) makes Lightstream responsible to complete all assigned work to its technicians, and to compensate Telecon for any assignments its contractors are not able to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my view, the extent of the action that Telecon could have taken pursuant to the Services Agreement for Wray's alleged theft was claiming money back from an invoice. I find that Telecon breached the contract by removing Wray from the load and keeping him off the load without any contractual right to do so. This is the first breach of the Services Agreement. This breach period begins when Wray was first removed from the load, this being December 20, 2015, and runs for the full term of the Services Agreement, this being until March 18,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any event, I also conclude that Telecon's substandard investigation of Wray, in his position of a Lightstream contractor, was a breach of Telecon's implied contractual duty of good faith towards Lightstream. This is the second breach of the Services Agreement. While Telecon may have believed in good faith that a theft occurred, they did not properly investigate the veracity of the complaint in good faith. Telecon either knew or ought to have known the detrimental effects the removal of Wray was going to have on Lightstream.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 am guided in this analysis by the reasoning in </w:t>
      </w:r>
      <w:r>
        <w:rPr>
          <w:rFonts w:ascii="arial" w:eastAsia="arial" w:hAnsi="arial" w:cs="arial"/>
          <w:i/>
          <w:color w:val="000000"/>
          <w:sz w:val="20"/>
          <w:lang w:val="en-US" w:eastAsia="en-US" w:bidi="ar-SA"/>
        </w:rPr>
        <w:t>Mohamed v. Information Systems Architects Inc.</w:t>
      </w:r>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2018 ONCA 428</w:t>
        </w:r>
      </w:hyperlink>
      <w:r>
        <w:rPr>
          <w:rFonts w:ascii="arial" w:eastAsia="arial" w:hAnsi="arial" w:cs="arial"/>
          <w:color w:val="000000"/>
          <w:sz w:val="20"/>
          <w:lang w:val="en-US" w:eastAsia="en-US" w:bidi="ar-SA"/>
        </w:rPr>
        <w:t>. In that case, a contractor disclosed his criminal record before he signed an Independent Consulting Agreement (the "ICA") with a company. A month into the contract, one of the company's clients found out about the contractor's criminal record and requested that the company remove the consultant. The company did so without trying to secure the customer's agreement to continue the project, and subsequently did not consider the contractor for any other roles before terminating the ICA. The Court of Appeal agreed with the trial judge that this lack of effort in finding any solution other than outright dismissal was a breach of the company's duty of good faith. I would likewise find that Telecon taking no steps to find a solution other than Wray's permanent removal, let alone consider such a solution, was a breach of their duty of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accept that the allegation of theft was sufficient to remove a subcontractor from the load for fear that the allegation would reflect poorly upon Telecon to Telus, pending a thorough and careful investigation by Telecon. I accept that Telecon's business is premised on the honesty and integrity of its subcontractors because Telecon's business viability is reliant upon Telus providing it work. Telus's performance requirements are stringent and the possibility of a theft by a subcontractor could be prejudicial if no action were taken. However, the lack of any such subsequent thorough and careful investigation to justify Telecon's continued position that it would not work with Wray ran directly against their duty of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Telecon did not allow Lightstream to meaningfully present its case as to why Telecon should reconsider its position. Telecon did not appear to justify its position at all to Lightstream other than to say that theft was a serious matter. I find that Telecon's lack of any accountability for its investigation to be rooted in a lack of good faith. Telecon relied upon unreliable evidence, and was unreasonable in their justification for permanently removing Wray from the load.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Should the matter have been properly investigated and reasonably dealt with, Telecon would have realized that the witness statements of the warehouse workers were seriously misinformed and could not have been relied on as an accurate account of the complete situation. I accept that to the workers it may have seemed like Wray was stealing the tools. But they did not know several key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First, that the person in charge of giving out the tools was sick that day. Wray had driven all the way down from Prince George to pick up the tools, and was scheduled to work on the Sunshine Coast the next day. He needed the tools, and could not have been expected to return to pick them up later given his required installations the next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Second, it appeared to be common practice for an outside contractor to pick up tools in such a way notwithstanding the language of the Services Agreement. As Telecon did not consistently enforce this rule, I find that Wray could reasonably have believed Telecon would understand his need to supply himself as he did in such a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Third, the tools were going to be invoiced to Lightstream. I find that Wray left a filled order. This indicates that the tools would be paid for, negating any inference of theft. It is highly improbable that Wray would leave a list behind of the tools he had removed if he were intending to steal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Fourth, Wray did not know that the cameras in the warehouse were not operational. While a worker may have chalked up Wray's brazenness in not covering up his "theft" due to foreknowledge of this fact - if they even thought about this factor - the much more plausible explanation is that Wray did not attempt to cover his "theft" or hide his actions in any way from the cameras because it was not a theft.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holes in Telecon's theory were manifest and blatant, based entirely as they were on this warehouse worker evidence. Yet, Telecon persisted in their accusation of theft all the way until the fourth day of trial when they properly conceded that Wray was not attempting to steal Telecon property on December 16, 2015. Based on the above considerations, there is no reason why such a concession could not have been made by Lochan in and around the time of theft, or by any other individual in the know, given the lack of any meaningful investigation and in the face of clear and plausible declarations of innocence by Lightstream.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Telecon's casual indifference and lack of any diligence in following up and getting to the bottom of the theft claim, one that turned out to be completely lacking in merit, breached their implicit duty of good faith towards Lightstream. Given that a proper investigation would have been a quick endeavour and would have involved giving Wray a hearing, I find, in passing, that Telecon should be afforded a brief grace period during which they were not acting in bad faith by having Wray removed pending investigation. However, as I have found that Telecon was in breach of contract by removing Wray from the load in the first place, there is no need to set a breach period any different from one that begins on the date Wray was removed from the load.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As for Telecon's dealing with Lightstream after Wray was removed, I find that they only made their position clearly known to Lightstream that they were open to a continued working relationship by way of the March 16, 2016 letter - a letter sent two days before the Services Agreement was set to expire on March 18, 2016.</w:t>
      </w:r>
      <w:r>
        <w:rPr>
          <w:rFonts w:ascii="arial" w:eastAsia="arial" w:hAnsi="arial" w:cs="arial"/>
          <w:sz w:val="20"/>
          <w:lang w:val="en-US" w:eastAsia="en-US" w:bidi="ar-SA"/>
        </w:rPr>
        <w:cr/>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 find that Telecon's governance of Wray, </w:t>
      </w:r>
      <w:r>
        <w:rPr>
          <w:rFonts w:ascii="arial" w:eastAsia="arial" w:hAnsi="arial" w:cs="arial"/>
          <w:i/>
          <w:color w:val="000000"/>
          <w:sz w:val="20"/>
          <w:lang w:val="en-US" w:eastAsia="en-US" w:bidi="ar-SA"/>
        </w:rPr>
        <w:t>qua</w:t>
      </w:r>
      <w:r>
        <w:rPr>
          <w:rFonts w:ascii="arial" w:eastAsia="arial" w:hAnsi="arial" w:cs="arial"/>
          <w:color w:val="000000"/>
          <w:sz w:val="20"/>
          <w:lang w:val="en-US" w:eastAsia="en-US" w:bidi="ar-SA"/>
        </w:rPr>
        <w:t xml:space="preserve"> Lightstream contractor, breached the Services Agreement. First, Telecon did not have an express contractual right to remove Wray from the load. Second, this removal violated Telecon's implied contractual duty of good faith. Both of these breaches ran until the end of the Services Agreement. Accordingly, it is appropriate to award damages from the date Wray was removed from the load, until the end of the Services Agreement, this being from December 20, 2015 to March 18, 2016.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Tort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 </w:t>
      </w:r>
      <w:r>
        <w:rPr>
          <w:rFonts w:ascii="arial" w:eastAsia="arial" w:hAnsi="arial" w:cs="arial"/>
          <w:color w:val="000000"/>
          <w:sz w:val="20"/>
          <w:u w:val="single"/>
          <w:lang w:val="en-US" w:eastAsia="en-US" w:bidi="ar-SA"/>
        </w:rPr>
        <w:t>Intentional Interference with Economic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tort of intentional interference with economic relations, otherwise known as the "unlawful means" tort, or the tort of unlawful interference with economic relations, creates a type of "parasitic liability" in a three party situation. It allows a plaintiff to sue a defendant for economic loss resulting from the defendant's unlawful act against a third party. In </w:t>
      </w:r>
      <w:r>
        <w:rPr>
          <w:rFonts w:ascii="arial" w:eastAsia="arial" w:hAnsi="arial" w:cs="arial"/>
          <w:i/>
          <w:color w:val="000000"/>
          <w:sz w:val="20"/>
          <w:lang w:val="en-US" w:eastAsia="en-US" w:bidi="ar-SA"/>
        </w:rPr>
        <w:t>A.I. Enterprises Ltd. v. Bram Enterprises Ltd.</w:t>
      </w:r>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2014 SCC 12</w:t>
        </w:r>
      </w:hyperlink>
      <w:r>
        <w:rPr>
          <w:rFonts w:ascii="arial" w:eastAsia="arial" w:hAnsi="arial" w:cs="arial"/>
          <w:color w:val="000000"/>
          <w:sz w:val="20"/>
          <w:lang w:val="en-US" w:eastAsia="en-US" w:bidi="ar-SA"/>
        </w:rPr>
        <w:t>, the Supreme Court of Canada reasoned that the tort is to be given a narrow scope, summarizing its position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The scope of the unlawful means tort should be understood in the context of the broad outlines of tort law's approach to regulating economic and competitive activity. Several aspects of that approach support adopting a narrow scope for the unlawful means tort: the common law accords less protection to purely economic interests; it is reluctant to develop rules to enforce fair competition; it is concerned not to undermine certainty in commercial affairs; and the history of the common law shows that tort liability, if unduly expanded, may undermine fundamental rights.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Potential liability for the unlawful means tort often arises when there are contingent economic interests at stake, such as legitimate business expectations. Such interests, however, are at the margins of the traditional concerns of tort law. The first point, therefore, is that tort law has traditionally accorded less protection to purely economic interests than to physical integrity and property rights.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Second, the common law has traditionally been reluctant to develop rules about fair competition: </w:t>
      </w:r>
      <w:r>
        <w:rPr>
          <w:rFonts w:ascii="arial" w:eastAsia="arial" w:hAnsi="arial" w:cs="arial"/>
          <w:i/>
          <w:color w:val="000000"/>
          <w:sz w:val="20"/>
          <w:lang w:val="en-US" w:eastAsia="en-US" w:bidi="ar-SA"/>
        </w:rPr>
        <w:t>OBG</w:t>
      </w:r>
      <w:r>
        <w:rPr>
          <w:rFonts w:ascii="arial" w:eastAsia="arial" w:hAnsi="arial" w:cs="arial"/>
          <w:color w:val="000000"/>
          <w:sz w:val="20"/>
          <w:lang w:val="en-US" w:eastAsia="en-US" w:bidi="ar-SA"/>
        </w:rPr>
        <w:t xml:space="preserve">, at para. 56,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Lord Hoffmann. The common law in general, and tort law in particular, have been astute to assure "some elbow-room [many would say much elbow-room] for the aggressive pursuit of self-interest": C. Sappideen and P. Vines, eds., </w:t>
      </w:r>
      <w:r>
        <w:rPr>
          <w:rFonts w:ascii="arial" w:eastAsia="arial" w:hAnsi="arial" w:cs="arial"/>
          <w:i/>
          <w:color w:val="000000"/>
          <w:sz w:val="20"/>
          <w:lang w:val="en-US" w:eastAsia="en-US" w:bidi="ar-SA"/>
        </w:rPr>
        <w:t>Fleming's The Law of Torts</w:t>
      </w:r>
      <w:r>
        <w:rPr>
          <w:rFonts w:ascii="arial" w:eastAsia="arial" w:hAnsi="arial" w:cs="arial"/>
          <w:color w:val="000000"/>
          <w:sz w:val="20"/>
          <w:lang w:val="en-US" w:eastAsia="en-US" w:bidi="ar-SA"/>
        </w:rPr>
        <w:t xml:space="preserve"> (10th ed. 2011), at para. 30.120. As Bowen L.J. put it in </w:t>
      </w:r>
      <w:r>
        <w:rPr>
          <w:rFonts w:ascii="arial" w:eastAsia="arial" w:hAnsi="arial" w:cs="arial"/>
          <w:i/>
          <w:color w:val="000000"/>
          <w:sz w:val="20"/>
          <w:lang w:val="en-US" w:eastAsia="en-US" w:bidi="ar-SA"/>
        </w:rPr>
        <w:t>Mogul Steamship Company v. McGregor, Gow, &amp; Co</w:t>
      </w:r>
      <w:r>
        <w:rPr>
          <w:rFonts w:ascii="arial" w:eastAsia="arial" w:hAnsi="arial" w:cs="arial"/>
          <w:color w:val="000000"/>
          <w:sz w:val="20"/>
          <w:lang w:val="en-US" w:eastAsia="en-US" w:bidi="ar-SA"/>
        </w:rPr>
        <w:t xml:space="preserve">. (1889), 23 Q.B.D. 598 (C.A.), at p. 614, aff'd [1892] A.C. 25 (H.L.), there can be no liability for a person who has "done nothing more against the plaintiffs than pursue to the bitter end a war of competition waged in the interest of their own trade". The same sentiment comes through in Lord Davey's speech in </w:t>
      </w:r>
      <w:r>
        <w:rPr>
          <w:rFonts w:ascii="arial" w:eastAsia="arial" w:hAnsi="arial" w:cs="arial"/>
          <w:i/>
          <w:color w:val="000000"/>
          <w:sz w:val="20"/>
          <w:lang w:val="en-US" w:eastAsia="en-US" w:bidi="ar-SA"/>
        </w:rPr>
        <w:t>Allen v. Flood</w:t>
      </w:r>
      <w:r>
        <w:rPr>
          <w:rFonts w:ascii="arial" w:eastAsia="arial" w:hAnsi="arial" w:cs="arial"/>
          <w:color w:val="000000"/>
          <w:sz w:val="20"/>
          <w:lang w:val="en-US" w:eastAsia="en-US" w:bidi="ar-SA"/>
        </w:rPr>
        <w:t xml:space="preserve">, [1898] A.C. 1, at p. 173: "The right which a man has to pursue his trade or calling is qualified by the equal right of others to do the same and compete with him, though to his damage." More recently, Lord Nicholls acknowledged the common law's respect for competition in </w:t>
      </w:r>
      <w:r>
        <w:rPr>
          <w:rFonts w:ascii="arial" w:eastAsia="arial" w:hAnsi="arial" w:cs="arial"/>
          <w:i/>
          <w:color w:val="000000"/>
          <w:sz w:val="20"/>
          <w:lang w:val="en-US" w:eastAsia="en-US" w:bidi="ar-SA"/>
        </w:rPr>
        <w:t>OBG</w:t>
      </w:r>
      <w:r>
        <w:rPr>
          <w:rFonts w:ascii="arial" w:eastAsia="arial" w:hAnsi="arial" w:cs="arial"/>
          <w:color w:val="000000"/>
          <w:sz w:val="20"/>
          <w:lang w:val="en-US" w:eastAsia="en-US" w:bidi="ar-SA"/>
        </w:rPr>
        <w:t xml:space="preserve"> where he wrote: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Competition between businesses regularly involves each business taking steps to promote itself at the expense of the other. ... Far from prohibiting such conduct, the common law seeks to encourage and protect it. The common law recognises the economic advantages of competition. [para. 142]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A third point also favours a limited role for this tort. The common law in the Anglo-Canadian tradition has generally promoted legal certainty for commercial affairs. That certainty is easily put in jeopardy by adopting vague legal standards based on "commercial morality" or by imposing liability for malicious conduct alone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A.I. Enterprises</w:t>
      </w:r>
      <w:r>
        <w:rPr>
          <w:rFonts w:ascii="arial" w:eastAsia="arial" w:hAnsi="arial" w:cs="arial"/>
          <w:color w:val="000000"/>
          <w:sz w:val="20"/>
          <w:lang w:val="en-US" w:eastAsia="en-US" w:bidi="ar-SA"/>
        </w:rPr>
        <w:t xml:space="preserve"> categorized the tort of intentional inference with economic relations as having at its core two ingredients: 1) conduct giving rise to a civil cause of action by the third party, i.e. unlawfulness; and 2) this conduct representing an intentional targeting of the defendant's business interests: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[76] I conclude that in order for conduct to constitute "unlawful means" for this tort, the conduct must give rise to a civil cause of action by the third party or would do so if the third party had suffered loss as a result of that conduct.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[95] The Court of Appeal of England in </w:t>
      </w:r>
      <w:r>
        <w:rPr>
          <w:rFonts w:ascii="arial" w:eastAsia="arial" w:hAnsi="arial" w:cs="arial"/>
          <w:i/>
          <w:color w:val="000000"/>
          <w:sz w:val="20"/>
          <w:lang w:val="en-US" w:eastAsia="en-US" w:bidi="ar-SA"/>
        </w:rPr>
        <w:t>Douglas v. Hello! Ltd.</w:t>
      </w:r>
      <w:r>
        <w:rPr>
          <w:rFonts w:ascii="arial" w:eastAsia="arial" w:hAnsi="arial" w:cs="arial"/>
          <w:color w:val="000000"/>
          <w:sz w:val="20"/>
          <w:lang w:val="en-US" w:eastAsia="en-US" w:bidi="ar-SA"/>
        </w:rPr>
        <w:t xml:space="preserve">, [2005] EWCA Civ 595, [2005] 4 All. E.R. 128, one of the appeals heard with </w:t>
      </w:r>
      <w:r>
        <w:rPr>
          <w:rFonts w:ascii="arial" w:eastAsia="arial" w:hAnsi="arial" w:cs="arial"/>
          <w:i/>
          <w:color w:val="000000"/>
          <w:sz w:val="20"/>
          <w:lang w:val="en-US" w:eastAsia="en-US" w:bidi="ar-SA"/>
        </w:rPr>
        <w:t>OBG</w:t>
      </w:r>
      <w:r>
        <w:rPr>
          <w:rFonts w:ascii="arial" w:eastAsia="arial" w:hAnsi="arial" w:cs="arial"/>
          <w:color w:val="000000"/>
          <w:sz w:val="20"/>
          <w:lang w:val="en-US" w:eastAsia="en-US" w:bidi="ar-SA"/>
        </w:rPr>
        <w:t xml:space="preserve">, identified five types of intention which might be relevant in this context: (a) an intention to cause economic harm to the claimant as an end in itself; (b) an intention to cause economic harm to the claimant because it is a necessary means of achieving an end that serves some ulterior motive; (c) knowledge that the course of conduct undertaken will have the inevitable consequence of causing the claimant economic harm; (d) knowledge that the course of conduct will probably cause the claimant economic harm; (e) knowledge that the course of conduct undertaken may cause the claimant economic harm coupled with reckless indifference as to whether it does or not: para. 159. In my opinion, the first two of these species of intention represent the core intention required for the unlawful means tort. They describe cases in which the tortfeasor is "aiming at" or "targeting" the plaintiff: see Carty, "The Economic Torts in the 21st Century", at p. 654. This is the approach favoured by the majority of commentators as well as by the cases: see, e.g., Carty, </w:t>
      </w:r>
      <w:r>
        <w:rPr>
          <w:rFonts w:ascii="arial" w:eastAsia="arial" w:hAnsi="arial" w:cs="arial"/>
          <w:i/>
          <w:color w:val="000000"/>
          <w:sz w:val="20"/>
          <w:lang w:val="en-US" w:eastAsia="en-US" w:bidi="ar-SA"/>
        </w:rPr>
        <w:t>An Analysis of the Economic Torts</w:t>
      </w:r>
      <w:r>
        <w:rPr>
          <w:rFonts w:ascii="arial" w:eastAsia="arial" w:hAnsi="arial" w:cs="arial"/>
          <w:color w:val="000000"/>
          <w:sz w:val="20"/>
          <w:lang w:val="en-US" w:eastAsia="en-US" w:bidi="ar-SA"/>
        </w:rPr>
        <w:t xml:space="preserve">, at pp. 80-82; Podolny, at p. 70; Kain and Alexander, at pp. 181-82; </w:t>
      </w:r>
      <w:r>
        <w:rPr>
          <w:rFonts w:ascii="arial" w:eastAsia="arial" w:hAnsi="arial" w:cs="arial"/>
          <w:i/>
          <w:color w:val="000000"/>
          <w:sz w:val="20"/>
          <w:lang w:val="en-US" w:eastAsia="en-US" w:bidi="ar-SA"/>
        </w:rPr>
        <w:t>Correia</w:t>
      </w:r>
      <w:r>
        <w:rPr>
          <w:rFonts w:ascii="arial" w:eastAsia="arial" w:hAnsi="arial" w:cs="arial"/>
          <w:color w:val="000000"/>
          <w:sz w:val="20"/>
          <w:lang w:val="en-US" w:eastAsia="en-US" w:bidi="ar-SA"/>
        </w:rPr>
        <w:t>, at para. 101. It is the intentional targeting of the plaintiff by the defendant that justifies stretching the defendant's liability so as to afford the plaintiff a cause of action. It is not sufficient that the harm to the plaintiff be an incidental consequence of the defendant's conduct, even where the defendant realizes that it is extremely likely that harm to the plaintiff may result. Such incidental economic harm is an accepted part of market competition.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 agree with the defendant that foreseeability of harm is not the same as intentional interference with economic relations. In order to entertain the plaintiffs' argument, I must be able to find that Telecon acted </w:t>
      </w:r>
      <w:r>
        <w:rPr>
          <w:rFonts w:ascii="arial" w:eastAsia="arial" w:hAnsi="arial" w:cs="arial"/>
          <w:color w:val="000000"/>
          <w:sz w:val="20"/>
          <w:u w:val="single"/>
          <w:lang w:val="en-US" w:eastAsia="en-US" w:bidi="ar-SA"/>
        </w:rPr>
        <w:t>unlawfully</w:t>
      </w:r>
      <w:r>
        <w:rPr>
          <w:rFonts w:ascii="arial" w:eastAsia="arial" w:hAnsi="arial" w:cs="arial"/>
          <w:color w:val="000000"/>
          <w:sz w:val="20"/>
          <w:lang w:val="en-US" w:eastAsia="en-US" w:bidi="ar-SA"/>
        </w:rPr>
        <w:t xml:space="preserve"> towards Wray in accusing him of theft and removing him from the load, not merely carelessly, and that they did so </w:t>
      </w:r>
      <w:r>
        <w:rPr>
          <w:rFonts w:ascii="arial" w:eastAsia="arial" w:hAnsi="arial" w:cs="arial"/>
          <w:color w:val="000000"/>
          <w:sz w:val="20"/>
          <w:u w:val="single"/>
          <w:lang w:val="en-US" w:eastAsia="en-US" w:bidi="ar-SA"/>
        </w:rPr>
        <w:t>intentionally</w:t>
      </w:r>
      <w:r>
        <w:rPr>
          <w:rFonts w:ascii="arial" w:eastAsia="arial" w:hAnsi="arial" w:cs="arial"/>
          <w:color w:val="000000"/>
          <w:sz w:val="20"/>
          <w:lang w:val="en-US" w:eastAsia="en-US" w:bidi="ar-SA"/>
        </w:rPr>
        <w:t xml:space="preserve"> to harm Lightstream's economic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find that Telecon's conduct did not give rise to any third party civil cause of action. The only such third party in this case is Wray. The unlawfulness portion of the claim is not made out. Secondly, although I have found that Telecon acted in bad faith towards Lightstream in terms of its conduct surrounding Wray's removal, there was no evidence that Telecon intended to harm Lightstream's economic interests by removing Wray from the load. As I find that neither of these elements has been made out, I find that the claim of unlawful interference with economic relations raised by the plaintiffs must fail.</w:t>
      </w:r>
      <w:r>
        <w:rPr>
          <w:rFonts w:ascii="arial" w:eastAsia="arial" w:hAnsi="arial" w:cs="arial"/>
          <w:sz w:val="20"/>
          <w:lang w:val="en-US" w:eastAsia="en-US" w:bidi="ar-SA"/>
        </w:rPr>
        <w:cr/>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plaintiffs also claim that the defendant is liable to Wray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bears the legal burden of establishing a cause of action, and thus the existence of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In order to meet this burden, the plaintiff must provide a sufficient factual basis to establish that the harm was a reasonably foreseeable consequence of the defendant's conduct in the context of a proximate relationship. In the absence of such evidence, the claim may not succeed: </w:t>
      </w:r>
      <w:r>
        <w:rPr>
          <w:rFonts w:ascii="arial" w:eastAsia="arial" w:hAnsi="arial" w:cs="arial"/>
          <w:i/>
          <w:color w:val="000000"/>
          <w:sz w:val="20"/>
          <w:lang w:val="en-US" w:eastAsia="en-US" w:bidi="ar-SA"/>
        </w:rPr>
        <w:t>Rankin (Rankin's Garage &amp; Sales) v. J.J.</w:t>
      </w:r>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2018 SCC 19</w:t>
        </w:r>
      </w:hyperlink>
      <w:r>
        <w:rPr>
          <w:rFonts w:ascii="arial" w:eastAsia="arial" w:hAnsi="arial" w:cs="arial"/>
          <w:color w:val="000000"/>
          <w:sz w:val="20"/>
          <w:lang w:val="en-US" w:eastAsia="en-US" w:bidi="ar-SA"/>
        </w:rPr>
        <w:t xml:space="preserve"> at para. 19, citing </w:t>
      </w:r>
      <w:r>
        <w:rPr>
          <w:rFonts w:ascii="arial" w:eastAsia="arial" w:hAnsi="arial" w:cs="arial"/>
          <w:i/>
          <w:color w:val="000000"/>
          <w:sz w:val="20"/>
          <w:lang w:val="en-US" w:eastAsia="en-US" w:bidi="ar-SA"/>
        </w:rPr>
        <w:t>Childs v. Desormeaux</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2006 SCC 18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 would dismiss this part of the claim on the grounds that the plaintiffs have not established that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existed as between the defendant and Wray, i.e. that the harm to Wray was a reasonably foreseeable consequence of the defendant's conduct in the context of a proximate relationship. In that regard, the plaintiffs have not made out even the first of its four requirements to establish a successful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at para. 3: (1) that the defendant owed him a duty of care; (2) that the defendant's behaviour breached the standard of care; (3) that the plaintiff sustained damage; and (4) that the damage was caused, in fact and in law, by the defendant's breach.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Was Wray an Employee or a Dependent Contractor of Telecon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plaintiffs allege that the relationship between Telecon and Wray establishes either an employment or dependent contractor relationship. If Wray were an employee or dependent contractor of Telecon, he would have an independent, actionable claim of wrongful dismissal against the defendant as a result of the false allegation of theft.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In support of their position, the plaintiffs rely upon </w:t>
      </w:r>
      <w:r>
        <w:rPr>
          <w:rFonts w:ascii="arial" w:eastAsia="arial" w:hAnsi="arial" w:cs="arial"/>
          <w:i/>
          <w:color w:val="000000"/>
          <w:sz w:val="20"/>
          <w:lang w:val="en-US" w:eastAsia="en-US" w:bidi="ar-SA"/>
        </w:rPr>
        <w:t>McKee v. Reid's Heritage Homes Ltd.</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2009 ONCA 916</w:t>
        </w:r>
      </w:hyperlink>
      <w:r>
        <w:rPr>
          <w:rFonts w:ascii="arial" w:eastAsia="arial" w:hAnsi="arial" w:cs="arial"/>
          <w:color w:val="000000"/>
          <w:sz w:val="20"/>
          <w:lang w:val="en-US" w:eastAsia="en-US" w:bidi="ar-SA"/>
        </w:rPr>
        <w:t xml:space="preserve"> at paras 24-30 and paras. 38-39 and </w:t>
      </w:r>
      <w:r>
        <w:rPr>
          <w:rFonts w:ascii="arial" w:eastAsia="arial" w:hAnsi="arial" w:cs="arial"/>
          <w:i/>
          <w:color w:val="000000"/>
          <w:sz w:val="20"/>
          <w:lang w:val="en-US" w:eastAsia="en-US" w:bidi="ar-SA"/>
        </w:rPr>
        <w:t>Truong v. British Columbia</w:t>
      </w:r>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1999 BCCA 513</w:t>
        </w:r>
      </w:hyperlink>
      <w:r>
        <w:rPr>
          <w:rFonts w:ascii="arial" w:eastAsia="arial" w:hAnsi="arial" w:cs="arial"/>
          <w:color w:val="000000"/>
          <w:sz w:val="20"/>
          <w:lang w:val="en-US" w:eastAsia="en-US" w:bidi="ar-SA"/>
        </w:rPr>
        <w:t>, paras. 24 to 36. These decisions reinforce the principle that the whole of the relationship between the parties must be carefully examined in order to determine the true character of the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Between </w:t>
      </w:r>
      <w:r>
        <w:rPr>
          <w:rFonts w:ascii="arial" w:eastAsia="arial" w:hAnsi="arial" w:cs="arial"/>
          <w:i/>
          <w:color w:val="000000"/>
          <w:sz w:val="20"/>
          <w:lang w:val="en-US" w:eastAsia="en-US" w:bidi="ar-SA"/>
        </w:rPr>
        <w:t>McKee, Truong</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671122 Ontario Ltd. v. Sagaz Industries Canada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Inc.</w:t>
      </w:r>
      <w:r>
        <w:rPr>
          <w:rFonts w:ascii="arial" w:eastAsia="arial" w:hAnsi="arial" w:cs="arial"/>
          <w:color w:val="000000"/>
          <w:sz w:val="20"/>
          <w:lang w:val="en-US" w:eastAsia="en-US" w:bidi="ar-SA"/>
        </w:rPr>
        <w:t xml:space="preserve">, </w:t>
      </w:r>
      <w:hyperlink r:id="rId575" w:history="1">
        <w:r>
          <w:rPr>
            <w:rFonts w:ascii="arial" w:eastAsia="arial" w:hAnsi="arial" w:cs="arial"/>
            <w:i/>
            <w:color w:val="0077CC"/>
            <w:sz w:val="20"/>
            <w:u w:val="single"/>
            <w:shd w:val="clear" w:color="auto" w:fill="FFFFFF"/>
            <w:lang w:val="en-US" w:eastAsia="en-US" w:bidi="ar-SA"/>
          </w:rPr>
          <w:t>2001 SCC 59</w:t>
        </w:r>
      </w:hyperlink>
      <w:r>
        <w:rPr>
          <w:rFonts w:ascii="arial" w:eastAsia="arial" w:hAnsi="arial" w:cs="arial"/>
          <w:color w:val="000000"/>
          <w:sz w:val="20"/>
          <w:lang w:val="en-US" w:eastAsia="en-US" w:bidi="ar-SA"/>
        </w:rPr>
        <w:t xml:space="preserve"> at para. 56, and </w:t>
      </w:r>
      <w:r>
        <w:rPr>
          <w:rFonts w:ascii="arial" w:eastAsia="arial" w:hAnsi="arial" w:cs="arial"/>
          <w:i/>
          <w:color w:val="000000"/>
          <w:sz w:val="20"/>
          <w:lang w:val="en-US" w:eastAsia="en-US" w:bidi="ar-SA"/>
        </w:rPr>
        <w:t>Glimhagen v. GWR Resources Inc.</w:t>
      </w:r>
      <w:r>
        <w:rPr>
          <w:rFonts w:ascii="arial" w:eastAsia="arial" w:hAnsi="arial" w:cs="arial"/>
          <w:color w:val="000000"/>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2017 BCSC 761</w:t>
        </w:r>
      </w:hyperlink>
      <w:r>
        <w:rPr>
          <w:rFonts w:ascii="arial" w:eastAsia="arial" w:hAnsi="arial" w:cs="arial"/>
          <w:color w:val="000000"/>
          <w:sz w:val="20"/>
          <w:lang w:val="en-US" w:eastAsia="en-US" w:bidi="ar-SA"/>
        </w:rPr>
        <w:t xml:space="preserve"> at para. 45, the following factors are considered in determining whether a worker is a dependent contractor (or, </w:t>
      </w:r>
      <w:r>
        <w:rPr>
          <w:rFonts w:ascii="arial" w:eastAsia="arial" w:hAnsi="arial" w:cs="arial"/>
          <w:i/>
          <w:color w:val="000000"/>
          <w:sz w:val="20"/>
          <w:lang w:val="en-US" w:eastAsia="en-US" w:bidi="ar-SA"/>
        </w:rPr>
        <w:t>a fortiori</w:t>
      </w:r>
      <w:r>
        <w:rPr>
          <w:rFonts w:ascii="arial" w:eastAsia="arial" w:hAnsi="arial" w:cs="arial"/>
          <w:color w:val="000000"/>
          <w:sz w:val="20"/>
          <w:lang w:val="en-US" w:eastAsia="en-US" w:bidi="ar-SA"/>
        </w:rPr>
        <w:t>, an employee), or whether they are an independent contractor:</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level of control over the worker's activities, including:</w:t>
      </w:r>
    </w:p>
    <w:p>
      <w:pPr>
        <w:numPr>
          <w:numId w:val="3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power to select or not select the worker;</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payment of wages;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control over the method of work; and</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right of suspension or dismissal.</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exclusive nature of the relationship;</w:t>
      </w:r>
    </w:p>
    <w:p>
      <w:pPr>
        <w:numPr>
          <w:numId w:val="4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worker's economic dependence on the defendant;</w:t>
      </w:r>
    </w:p>
    <w:p>
      <w:pPr>
        <w:numPr>
          <w:numId w:val="4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worker could hire their own helpers;</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worker provides his or her own tools and equipment;</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worker's opportunity for profit in the performance of their tasks;</w:t>
      </w:r>
    </w:p>
    <w:p>
      <w:pPr>
        <w:numPr>
          <w:numId w:val="4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of financial risk taken by the worker,</w:t>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worker's responsibility for investment and management;</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worker is a crucial element of the defendant's business;</w:t>
      </w:r>
    </w:p>
    <w:p>
      <w:pPr>
        <w:numPr>
          <w:numId w:val="4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activity of the worker represents the defendant's business;</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permanency and length of the relationship; and</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parties rely on each other or closely co-ordinate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These factors can be characterized as falling into four main or overarching general tests:</w:t>
      </w:r>
      <w:r>
        <w:rPr>
          <w:rFonts w:ascii="arial" w:eastAsia="arial" w:hAnsi="arial" w:cs="arial"/>
          <w:sz w:val="20"/>
          <w:lang w:val="en-US" w:eastAsia="en-US" w:bidi="ar-SA"/>
        </w:rPr>
        <w:cr/>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Level of Worker Control;</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Ownership of Equipment and Tools;</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Profit/Loss Opportunity; and</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Business Integration.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Before turning to each of these tests to determine whether Wray was a dependent contractor (or employee), or alternatively an independent contractor, I will first discuss the case law cited by the plaintiffs in support of their position that Wray was either a Telecon employee or dependent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The plaintiffs rely upon </w:t>
      </w:r>
      <w:r>
        <w:rPr>
          <w:rFonts w:ascii="arial" w:eastAsia="arial" w:hAnsi="arial" w:cs="arial"/>
          <w:i/>
          <w:color w:val="000000"/>
          <w:sz w:val="20"/>
          <w:lang w:val="en-US" w:eastAsia="en-US" w:bidi="ar-SA"/>
        </w:rPr>
        <w:t>Alberta Permit Pro v. Booth</w:t>
      </w:r>
      <w:r>
        <w:rPr>
          <w:rFonts w:ascii="arial" w:eastAsia="arial" w:hAnsi="arial" w:cs="arial"/>
          <w:color w:val="000000"/>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2007 ABQB 562</w:t>
        </w:r>
      </w:hyperlink>
      <w:r>
        <w:rPr>
          <w:rFonts w:ascii="arial" w:eastAsia="arial" w:hAnsi="arial" w:cs="arial"/>
          <w:color w:val="000000"/>
          <w:sz w:val="20"/>
          <w:lang w:val="en-US" w:eastAsia="en-US" w:bidi="ar-SA"/>
        </w:rPr>
        <w:t xml:space="preserve">, aff'd </w:t>
      </w:r>
      <w:hyperlink r:id="rId578" w:history="1">
        <w:r>
          <w:rPr>
            <w:rFonts w:ascii="arial" w:eastAsia="arial" w:hAnsi="arial" w:cs="arial"/>
            <w:i/>
            <w:color w:val="0077CC"/>
            <w:sz w:val="20"/>
            <w:u w:val="single"/>
            <w:shd w:val="clear" w:color="auto" w:fill="FFFFFF"/>
            <w:lang w:val="en-US" w:eastAsia="en-US" w:bidi="ar-SA"/>
          </w:rPr>
          <w:t>2009 ABCA 146</w:t>
        </w:r>
      </w:hyperlink>
      <w:r>
        <w:rPr>
          <w:rFonts w:ascii="arial" w:eastAsia="arial" w:hAnsi="arial" w:cs="arial"/>
          <w:color w:val="000000"/>
          <w:sz w:val="20"/>
          <w:lang w:val="en-US" w:eastAsia="en-US" w:bidi="ar-SA"/>
        </w:rPr>
        <w:t xml:space="preserve"> for the proposition that a worker being employed through a corporate entity does not preclude a finding that such a worker is an employee. However, this case is factually distinguishable and does not establish that Wray was a Telecon employee. </w:t>
      </w:r>
      <w:r>
        <w:rPr>
          <w:rFonts w:ascii="arial" w:eastAsia="arial" w:hAnsi="arial" w:cs="arial"/>
          <w:i/>
          <w:color w:val="000000"/>
          <w:sz w:val="20"/>
          <w:lang w:val="en-US" w:eastAsia="en-US" w:bidi="ar-SA"/>
        </w:rPr>
        <w:t>Alberta Permit Pro</w:t>
      </w:r>
      <w:r>
        <w:rPr>
          <w:rFonts w:ascii="arial" w:eastAsia="arial" w:hAnsi="arial" w:cs="arial"/>
          <w:color w:val="000000"/>
          <w:sz w:val="20"/>
          <w:lang w:val="en-US" w:eastAsia="en-US" w:bidi="ar-SA"/>
        </w:rPr>
        <w:t xml:space="preserve"> arose from the sale of a business, requiring the purchaser to take on the employee to provide services after the sale. The agreement with the employee included a non-competition agreement between the parties. The employee used the employer's tools, equipment and offices. He was an integral component of the business and the specific employee was named as the sole provider of services in their agreement. Wray was not integrated into the defendant's business to such a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Alberta Permit Pro</w:t>
      </w:r>
      <w:r>
        <w:rPr>
          <w:rFonts w:ascii="arial" w:eastAsia="arial" w:hAnsi="arial" w:cs="arial"/>
          <w:color w:val="000000"/>
          <w:sz w:val="20"/>
          <w:lang w:val="en-US" w:eastAsia="en-US" w:bidi="ar-SA"/>
        </w:rPr>
        <w:t xml:space="preserve"> decision cites </w:t>
      </w:r>
      <w:r>
        <w:rPr>
          <w:rFonts w:ascii="arial" w:eastAsia="arial" w:hAnsi="arial" w:cs="arial"/>
          <w:i/>
          <w:color w:val="000000"/>
          <w:sz w:val="20"/>
          <w:lang w:val="en-US" w:eastAsia="en-US" w:bidi="ar-SA"/>
        </w:rPr>
        <w:t>Shaw Communications Inc. v. Canada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(Minister of National Revenue - MNR)</w:t>
      </w:r>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shd w:val="clear" w:color="auto" w:fill="FFFFFF"/>
            <w:lang w:val="en-US" w:eastAsia="en-US" w:bidi="ar-SA"/>
          </w:rPr>
          <w:t>[2002] T.C.J. No. 314</w:t>
        </w:r>
      </w:hyperlink>
      <w:r>
        <w:rPr>
          <w:rFonts w:ascii="arial" w:eastAsia="arial" w:hAnsi="arial" w:cs="arial"/>
          <w:color w:val="000000"/>
          <w:sz w:val="20"/>
          <w:lang w:val="en-US" w:eastAsia="en-US" w:bidi="ar-SA"/>
        </w:rPr>
        <w:t xml:space="preserve"> (T.C.C.), aff'd </w:t>
      </w:r>
      <w:hyperlink r:id="rId580" w:history="1">
        <w:r>
          <w:rPr>
            <w:rFonts w:ascii="arial" w:eastAsia="arial" w:hAnsi="arial" w:cs="arial"/>
            <w:i/>
            <w:color w:val="0077CC"/>
            <w:sz w:val="20"/>
            <w:u w:val="single"/>
            <w:shd w:val="clear" w:color="auto" w:fill="FFFFFF"/>
            <w:lang w:val="en-US" w:eastAsia="en-US" w:bidi="ar-SA"/>
          </w:rPr>
          <w:t>2003 FCA 171</w:t>
        </w:r>
      </w:hyperlink>
      <w:r>
        <w:rPr>
          <w:rFonts w:ascii="arial" w:eastAsia="arial" w:hAnsi="arial" w:cs="arial"/>
          <w:color w:val="000000"/>
          <w:sz w:val="20"/>
          <w:lang w:val="en-US" w:eastAsia="en-US" w:bidi="ar-SA"/>
        </w:rPr>
        <w:t>, leave to appeal ref'd 322 N.R. 398 (note) (S.C.C.) [</w:t>
      </w:r>
      <w:r>
        <w:rPr>
          <w:rFonts w:ascii="arial" w:eastAsia="arial" w:hAnsi="arial" w:cs="arial"/>
          <w:i/>
          <w:color w:val="000000"/>
          <w:sz w:val="20"/>
          <w:lang w:val="en-US" w:eastAsia="en-US" w:bidi="ar-SA"/>
        </w:rPr>
        <w:t>Shaw</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Shaw</w:t>
      </w:r>
      <w:r>
        <w:rPr>
          <w:rFonts w:ascii="arial" w:eastAsia="arial" w:hAnsi="arial" w:cs="arial"/>
          <w:color w:val="000000"/>
          <w:sz w:val="20"/>
          <w:lang w:val="en-US" w:eastAsia="en-US" w:bidi="ar-SA"/>
        </w:rPr>
        <w:t xml:space="preserve"> decision considered whether the installers and sales agents for Shaw's cable, "Shaw@home" and digital cable services were independent contractors or under Shaw employment as either employees or dependent contractors. I find the </w:t>
      </w:r>
      <w:r>
        <w:rPr>
          <w:rFonts w:ascii="arial" w:eastAsia="arial" w:hAnsi="arial" w:cs="arial"/>
          <w:i/>
          <w:color w:val="000000"/>
          <w:sz w:val="20"/>
          <w:lang w:val="en-US" w:eastAsia="en-US" w:bidi="ar-SA"/>
        </w:rPr>
        <w:t>Shaw</w:t>
      </w:r>
      <w:r>
        <w:rPr>
          <w:rFonts w:ascii="arial" w:eastAsia="arial" w:hAnsi="arial" w:cs="arial"/>
          <w:color w:val="000000"/>
          <w:sz w:val="20"/>
          <w:lang w:val="en-US" w:eastAsia="en-US" w:bidi="ar-SA"/>
        </w:rPr>
        <w:t xml:space="preserve"> decision of the most assistance because it deals with individuals who were in a similar situation as Wray was in relation to Telecon.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facts of the </w:t>
      </w:r>
      <w:r>
        <w:rPr>
          <w:rFonts w:ascii="arial" w:eastAsia="arial" w:hAnsi="arial" w:cs="arial"/>
          <w:i/>
          <w:color w:val="000000"/>
          <w:sz w:val="20"/>
          <w:lang w:val="en-US" w:eastAsia="en-US" w:bidi="ar-SA"/>
        </w:rPr>
        <w:t>Shaw</w:t>
      </w:r>
      <w:r>
        <w:rPr>
          <w:rFonts w:ascii="arial" w:eastAsia="arial" w:hAnsi="arial" w:cs="arial"/>
          <w:color w:val="000000"/>
          <w:sz w:val="20"/>
          <w:lang w:val="en-US" w:eastAsia="en-US" w:bidi="ar-SA"/>
        </w:rPr>
        <w:t xml:space="preserve"> case are this. Prior to 1992, Shaw used third party cable contracting companies to provide installation services to customers. This arrangement avoided the need to hire, supervise and provide benefits to employees. It also avoided the need to lease/purchase, maintain, insure and store a fleet of vehicles. Installation lends itself to such an arrangement because of the predictability of the time required for each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By 1992, Shaw concluded that third party cable contracting companies were not providing an adequate level of service, and introduced an owner/operator installation program under which it contracted directly with the installers and eliminated the middleman. The owner/operator (the "O/O") was paid piecework rates for installations based on industry norms which took into account the complexity of the job and the time required. The evidence in the Shaw case established that installers also had a sales function. They received commissions over and above the installation fee for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program was also intended to eliminate the need to supervise the installers. It became Shaw's policy to have each O/O sign a standard form of agreement defining the relationship between Shaw and the O/O. The agreements provided that the O/Os were required to lease their own vehicle, have a valid driver's license and vehicle insurance, and be responsible for their own liability insurance. The O/Os were required to confirm that they were independent businesses and owned sufficient tools of the trade to provide services to Shaw. Shaw provided and retained ownership of the materials required for any installations.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Shaw provided workers' compensation coverage, extended health benefits and welfare benefits to installers, the costs of which were deducted from payment of installers' invoices. There was a two-week termination clause in each of the O/O contracts. No vacation pay, statutory holiday pay, sick leave or any other benefits such as stock options that were provided to employees, were provided to the O/Os.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A new O/O started in cable sales and that person would ordinarily receive three to five days of training by observing sales in the call centre, and by shadowing a service technician and O/O in cable sales. The O/Os also had access to Shaw University, a four-day training program for new employees. At the beginning of each day, the installers would go to Shaw's service centre to pick up work orders, turn in completed orders, and pick up the required supplies and necessary materials for an installation.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cable sales O/Os had no set hours, no day-to-day supervision and no performance reviews. However, the agreement provided that the O/Os agreed that their vehicles would be mechanically sound and fully painted on the exterior and that they would conduct themselves in a courteous and customer-friendly manner. Installers were also required to fill out forms to indicate their vacation times so that the scheduling grid could be adjusted for predictable absences.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Court determined that both the installers and sellers were employed by Shaw, and were not independent contractors despite the terms of their O/O agreements. The agreement provided that O/Os were to provide cable installation in accordance with Shaw's technical specifications using approved Shaw-supplied materials. Thus, Shaw had control of the manner in which the O/O worked and materials which the O/O used. Shaw also had the ability to terminate the agreement with the O/O upon paying "the equivalent remuneration for service in lieu of notice", a common provision in an employment contract to address termination without cause, indicating an intention on Shaw's part to control the O/O relationship as it would with an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I will apply the facts and findings of the </w:t>
      </w:r>
      <w:r>
        <w:rPr>
          <w:rFonts w:ascii="arial" w:eastAsia="arial" w:hAnsi="arial" w:cs="arial"/>
          <w:i/>
          <w:color w:val="000000"/>
          <w:sz w:val="20"/>
          <w:lang w:val="en-US" w:eastAsia="en-US" w:bidi="ar-SA"/>
        </w:rPr>
        <w:t>Shaw</w:t>
      </w:r>
      <w:r>
        <w:rPr>
          <w:rFonts w:ascii="arial" w:eastAsia="arial" w:hAnsi="arial" w:cs="arial"/>
          <w:color w:val="000000"/>
          <w:sz w:val="20"/>
          <w:lang w:val="en-US" w:eastAsia="en-US" w:bidi="ar-SA"/>
        </w:rPr>
        <w:t xml:space="preserve"> case as they fit into each of the four overarching employment versus contractor tests, using it to compare and contrast against the facts of the present case.</w:t>
      </w:r>
      <w:r>
        <w:rPr>
          <w:rFonts w:ascii="arial" w:eastAsia="arial" w:hAnsi="arial" w:cs="arial"/>
          <w:sz w:val="20"/>
          <w:lang w:val="en-US" w:eastAsia="en-US" w:bidi="ar-SA"/>
        </w:rPr>
        <w:cr/>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Level of Worker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would characterize the following factors as going towards establishing the level of control Telecon had over Wray:</w:t>
      </w:r>
      <w:r>
        <w:rPr>
          <w:rFonts w:ascii="arial" w:eastAsia="arial" w:hAnsi="arial" w:cs="arial"/>
          <w:sz w:val="20"/>
          <w:lang w:val="en-US" w:eastAsia="en-US" w:bidi="ar-SA"/>
        </w:rPr>
        <w:cr/>
      </w:r>
    </w:p>
    <w:p>
      <w:pPr>
        <w:numPr>
          <w:numId w:val="5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Telecon's level of control over Wray's activities, including:</w:t>
      </w:r>
    </w:p>
    <w:p>
      <w:pPr>
        <w:numPr>
          <w:numId w:val="5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Telecon's power to select or not select Wray for work;</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payment of Wray's wages;</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control over Wray's method of work; and</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Telecon's right to suspend or dismiss Wray;</w:t>
      </w:r>
    </w:p>
    <w:p>
      <w:pPr>
        <w:numPr>
          <w:numId w:val="6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exclusive nature of the relationship;</w:t>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Wray's economic dependence on Telecon; and</w:t>
      </w:r>
    </w:p>
    <w:p>
      <w:pPr>
        <w:numPr>
          <w:numId w:val="6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Wray could hire his own helpers.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With respect to the control test, the </w:t>
      </w:r>
      <w:r>
        <w:rPr>
          <w:rFonts w:ascii="arial" w:eastAsia="arial" w:hAnsi="arial" w:cs="arial"/>
          <w:i/>
          <w:color w:val="000000"/>
          <w:sz w:val="20"/>
          <w:lang w:val="en-US" w:eastAsia="en-US" w:bidi="ar-SA"/>
        </w:rPr>
        <w:t>Shaw</w:t>
      </w:r>
      <w:r>
        <w:rPr>
          <w:rFonts w:ascii="arial" w:eastAsia="arial" w:hAnsi="arial" w:cs="arial"/>
          <w:color w:val="000000"/>
          <w:sz w:val="20"/>
          <w:lang w:val="en-US" w:eastAsia="en-US" w:bidi="ar-SA"/>
        </w:rPr>
        <w:t xml:space="preserve"> case is only somewhat apposite. Regarding the power to select the worker, the installers in </w:t>
      </w:r>
      <w:r>
        <w:rPr>
          <w:rFonts w:ascii="arial" w:eastAsia="arial" w:hAnsi="arial" w:cs="arial"/>
          <w:i/>
          <w:color w:val="000000"/>
          <w:sz w:val="20"/>
          <w:lang w:val="en-US" w:eastAsia="en-US" w:bidi="ar-SA"/>
        </w:rPr>
        <w:t>Shaw</w:t>
      </w:r>
      <w:r>
        <w:rPr>
          <w:rFonts w:ascii="arial" w:eastAsia="arial" w:hAnsi="arial" w:cs="arial"/>
          <w:color w:val="000000"/>
          <w:sz w:val="20"/>
          <w:lang w:val="en-US" w:eastAsia="en-US" w:bidi="ar-SA"/>
        </w:rPr>
        <w:t xml:space="preserve"> had a schedule in advance and attended at the warehouse prior to each day similar to the requirements of Telecon. In such a way, Telecon selected workers for jobs and could, it would seem, de-select them should they not meet certain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While it was actually Telus not Telecon that controlled the availability of work, I find that as Telecon hired subcontractors, Telecon fundamentally controlled the assignment of work, and could replace Wray in the load with another qualified technician as they saw fit. The fact that Telecon was able to permanently remove Wray from their load in December 2015 goes directly to this point. Telecon's ability to not select Wray for work indicates an employment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Regarding the payment of Wray's wages, as noted by the defendant, Wray was already an employee of Lightstream and earning a salary from Lightstream when he commenced work for Telecon. This remained the arrangement throughout. Telecon did not pay Wray's wages. Nor, for that matter, is there evidence Telecon paid for or provided any extended health benefits, welfare benefits or workers' compensation insurance to Wray, unlike the case is </w:t>
      </w:r>
      <w:r>
        <w:rPr>
          <w:rFonts w:ascii="arial" w:eastAsia="arial" w:hAnsi="arial" w:cs="arial"/>
          <w:i/>
          <w:color w:val="000000"/>
          <w:sz w:val="20"/>
          <w:lang w:val="en-US" w:eastAsia="en-US" w:bidi="ar-SA"/>
        </w:rPr>
        <w:t>Shaw</w:t>
      </w:r>
      <w:r>
        <w:rPr>
          <w:rFonts w:ascii="arial" w:eastAsia="arial" w:hAnsi="arial" w:cs="arial"/>
          <w:color w:val="000000"/>
          <w:sz w:val="20"/>
          <w:lang w:val="en-US" w:eastAsia="en-US" w:bidi="ar-SA"/>
        </w:rPr>
        <w:t>. This strongly indicates Wray was an independent contractor. I find that Wray was not otherwise economically dependent on Telecon given his status at Lightstream, and his rights as an employee therein.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As for control over Wray's method of work, this being distinct from control over Wray's assignment or selection to work, I find that Telecon's actual direct control in this regard was minimal. The bulk of any such control came from Telus. It was Telus's metrics and customer service scripts which Wray argues fettered his method of working. It was Telus's products and services Wray alleges he was required to upsell. Telecon did not directly provide him any commissions for upselling or require him to sell any of their own products. That is, Telecon did not control Wray's methods of working in any way over and above the controls Telus would have had in place in any event. While it is true that Telecon enforced Telus's standards, they did not control the standards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Telecon was by and large hands-off when it came to </w:t>
      </w:r>
      <w:r>
        <w:rPr>
          <w:rFonts w:ascii="arial" w:eastAsia="arial" w:hAnsi="arial" w:cs="arial"/>
          <w:i/>
          <w:color w:val="000000"/>
          <w:sz w:val="20"/>
          <w:lang w:val="en-US" w:eastAsia="en-US" w:bidi="ar-SA"/>
        </w:rPr>
        <w:t>how</w:t>
      </w:r>
      <w:r>
        <w:rPr>
          <w:rFonts w:ascii="arial" w:eastAsia="arial" w:hAnsi="arial" w:cs="arial"/>
          <w:color w:val="000000"/>
          <w:sz w:val="20"/>
          <w:lang w:val="en-US" w:eastAsia="en-US" w:bidi="ar-SA"/>
        </w:rPr>
        <w:t xml:space="preserve"> Wray did his work, deferring to Telus on this point and otherwise leaving Lightstream free to supervise and direct Wray as they saw fit to best get the work done. Wray was not required to report to Telecon management, nor was he controlled by Telecon to any significant degree in terms of when, where and how the work was done. The extent of Telecon's control in this regard appeared limited to requiring Wray to sign off on the load once each job was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Unlike in </w:t>
      </w:r>
      <w:r>
        <w:rPr>
          <w:rFonts w:ascii="arial" w:eastAsia="arial" w:hAnsi="arial" w:cs="arial"/>
          <w:i/>
          <w:color w:val="000000"/>
          <w:sz w:val="20"/>
          <w:lang w:val="en-US" w:eastAsia="en-US" w:bidi="ar-SA"/>
        </w:rPr>
        <w:t>Shaw</w:t>
      </w:r>
      <w:r>
        <w:rPr>
          <w:rFonts w:ascii="arial" w:eastAsia="arial" w:hAnsi="arial" w:cs="arial"/>
          <w:color w:val="000000"/>
          <w:sz w:val="20"/>
          <w:lang w:val="en-US" w:eastAsia="en-US" w:bidi="ar-SA"/>
        </w:rPr>
        <w:t>, Telecon did not provide or pay for Wray's training. Although Telecon did offer training for a fee, Wray was trained by Johnson at Lightstream regarding his manner of work. This factor further indicates Telecon had limited involvement and control over Wray's manner of work. Overall, this manner of work control factor indicates an independent contractor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In terms of Telecon's ability to in effect discipline and suspend subcontractors for failing, Telus required performance metrics, Telecon did suspend Wray for just such a reason in December 2015. However, it is unclear whether they had an actual right to do so, given that the extent of action Telecon could take against a contractor for failing to meet Telus's metrics was a monetary penalty as contemplated in Article 10(f). It is unclear whether Wray's suspension was required by Telus or whether it was imposed by Telecon. That is, it is unclear what contractual control Telecon had to suspend or dismiss Wray, or whether they were in actual control of the decision to suspend him as they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It appears clear that Telecon could not, or at least did not, require that Lightstream suspend or dismiss Wray. Thus, the ultimate power to suspend or dismiss Wray from his employment rested with Lightstream throughout. While I would have otherwise found that this arrangement indicated an independent contractor relationship, the fact that Telecon evinced and effected a power to suspend Wray, a power it did not seemingly have a contractual right to wield, and which may have flowed from and have been controlled by Telus, renders this factor neutral as there are indicia of both an employment and an independent contractor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Moving to the next factor, I do not find that the nature of the relationship between Wray and Telecon was exclusive. Telecon could not require Wray to work for it only, and had no power to limit his mobility as between other companies or contractors. While Wray may have testified that he could only provide I&amp;R services for Telecon, this was not due to Telecon's control of him. I reject the contention that it was untenable for Wray to have performed his services for anyone else. As he was free to work for whomever he liked, and could choose whom to work for independently of Telecon, Wray's relationship with Telecon was that of a classic independent contractor in terms of a lack of exclusive dealings.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With respect to hiring helpers, the installers in </w:t>
      </w:r>
      <w:r>
        <w:rPr>
          <w:rFonts w:ascii="arial" w:eastAsia="arial" w:hAnsi="arial" w:cs="arial"/>
          <w:i/>
          <w:color w:val="000000"/>
          <w:sz w:val="20"/>
          <w:lang w:val="en-US" w:eastAsia="en-US" w:bidi="ar-SA"/>
        </w:rPr>
        <w:t>Shaw</w:t>
      </w:r>
      <w:r>
        <w:rPr>
          <w:rFonts w:ascii="arial" w:eastAsia="arial" w:hAnsi="arial" w:cs="arial"/>
          <w:color w:val="000000"/>
          <w:sz w:val="20"/>
          <w:lang w:val="en-US" w:eastAsia="en-US" w:bidi="ar-SA"/>
        </w:rPr>
        <w:t xml:space="preserve"> could not hire helpers. A helper could not be integrated into the installer's work schedule unless that helper was under the control of Shaw. The court found that for all practical purposes, the O/O could not hire a helper to become part of the Shaw organization unless they, too, signed an agreement. This factor pointed to installers being in an employment relationship as they were not free to delegate their work to others as they saw fit in a manner that one would expect of a true independent contractor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The present case is similar to that in </w:t>
      </w:r>
      <w:r>
        <w:rPr>
          <w:rFonts w:ascii="arial" w:eastAsia="arial" w:hAnsi="arial" w:cs="arial"/>
          <w:i/>
          <w:color w:val="000000"/>
          <w:sz w:val="20"/>
          <w:lang w:val="en-US" w:eastAsia="en-US" w:bidi="ar-SA"/>
        </w:rPr>
        <w:t>Shaw</w:t>
      </w:r>
      <w:r>
        <w:rPr>
          <w:rFonts w:ascii="arial" w:eastAsia="arial" w:hAnsi="arial" w:cs="arial"/>
          <w:color w:val="000000"/>
          <w:sz w:val="20"/>
          <w:lang w:val="en-US" w:eastAsia="en-US" w:bidi="ar-SA"/>
        </w:rPr>
        <w:t>, indicating that this factor stands in favour of finding an employment relationship. Lightstream was able to hire technicians, but each had to be provided an XID number from Telus, via Telecon. In order to obtain this identification, each technician would be required to pass a criminal record check and other background checks completed by Telecon. In other words, any new technicians would need to be approved by Telecon and Telus.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However, I would also add, tempering this analysis somewhat, that Telecon's policies did not preclude the hiring and delegation of work to a helper. Wray was not prevented from hiring helpers, he was simply subject to a large degree of control in going about the hiring process. Given his ability to hire helpers, and the fact that the control over this process came partially from Telus and not Telecon, I would conclude that this factor is neutral in terms of determining whether Telecon controlled Wray as if he were subject to an employment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Overall, out of the seven factors I have considered as being part of the control test, I find that four factors indicate no control, two are neutral and one indicates control. Given the strength of the factors indicating a lack of control sufficient to establish an employment relationship, I find that Wray was an independent contractor pursuant to the control test.</w:t>
      </w:r>
      <w:r>
        <w:rPr>
          <w:rFonts w:ascii="arial" w:eastAsia="arial" w:hAnsi="arial" w:cs="arial"/>
          <w:sz w:val="20"/>
          <w:lang w:val="en-US" w:eastAsia="en-US" w:bidi="ar-SA"/>
        </w:rPr>
        <w:cr/>
      </w:r>
    </w:p>
    <w:p>
      <w:pPr>
        <w:numPr>
          <w:numId w:val="6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Ownership of Equipment and Tools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In the </w:t>
      </w:r>
      <w:r>
        <w:rPr>
          <w:rFonts w:ascii="arial" w:eastAsia="arial" w:hAnsi="arial" w:cs="arial"/>
          <w:i/>
          <w:color w:val="000000"/>
          <w:sz w:val="20"/>
          <w:lang w:val="en-US" w:eastAsia="en-US" w:bidi="ar-SA"/>
        </w:rPr>
        <w:t>Shaw</w:t>
      </w:r>
      <w:r>
        <w:rPr>
          <w:rFonts w:ascii="arial" w:eastAsia="arial" w:hAnsi="arial" w:cs="arial"/>
          <w:color w:val="000000"/>
          <w:sz w:val="20"/>
          <w:lang w:val="en-US" w:eastAsia="en-US" w:bidi="ar-SA"/>
        </w:rPr>
        <w:t xml:space="preserve"> case, as in the present case, installers were required by the agreement to have sufficient tools and a vehicle capable of carrying out the installation work. However, there was evidence that Shaw provided office space with phones, fax machines, computers and other equipment or supplies. Further, the sellers in </w:t>
      </w:r>
      <w:r>
        <w:rPr>
          <w:rFonts w:ascii="arial" w:eastAsia="arial" w:hAnsi="arial" w:cs="arial"/>
          <w:i/>
          <w:color w:val="000000"/>
          <w:sz w:val="20"/>
          <w:lang w:val="en-US" w:eastAsia="en-US" w:bidi="ar-SA"/>
        </w:rPr>
        <w:t>Shaw</w:t>
      </w:r>
      <w:r>
        <w:rPr>
          <w:rFonts w:ascii="arial" w:eastAsia="arial" w:hAnsi="arial" w:cs="arial"/>
          <w:color w:val="000000"/>
          <w:sz w:val="20"/>
          <w:lang w:val="en-US" w:eastAsia="en-US" w:bidi="ar-SA"/>
        </w:rPr>
        <w:t xml:space="preserve"> did not require their own tools. The court found that this factor pointed to an independent contracting relationship for installers and employment for sellers.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In my view, Wray, through Lightstream, had an even greater degree of equipment and tool ownership, and hence even less dependence on Telecon for equipment and tools, than the installers in </w:t>
      </w:r>
      <w:r>
        <w:rPr>
          <w:rFonts w:ascii="arial" w:eastAsia="arial" w:hAnsi="arial" w:cs="arial"/>
          <w:i/>
          <w:color w:val="000000"/>
          <w:sz w:val="20"/>
          <w:lang w:val="en-US" w:eastAsia="en-US" w:bidi="ar-SA"/>
        </w:rPr>
        <w:t>Shaw</w:t>
      </w:r>
      <w:r>
        <w:rPr>
          <w:rFonts w:ascii="arial" w:eastAsia="arial" w:hAnsi="arial" w:cs="arial"/>
          <w:color w:val="000000"/>
          <w:sz w:val="20"/>
          <w:lang w:val="en-US" w:eastAsia="en-US" w:bidi="ar-SA"/>
        </w:rPr>
        <w:t>. Lightstream was required to pay for and own not only tools to perform services but also any tools and equipment required for installation. Telecon only provided tools for purchase, not for general contractor use. Lightstream provided and paid for its own vehicles to carry out contracting work. Lightstream purchased a computer for Wray to use. Wray did not work in a Telecon office, nor did he otherwise use their office equipment to carry out his work. These considerations all indicate an independent contracting relationship in regard to this test.</w:t>
      </w:r>
      <w:r>
        <w:rPr>
          <w:rFonts w:ascii="arial" w:eastAsia="arial" w:hAnsi="arial" w:cs="arial"/>
          <w:sz w:val="20"/>
          <w:lang w:val="en-US" w:eastAsia="en-US" w:bidi="ar-SA"/>
        </w:rPr>
        <w:cr/>
      </w:r>
    </w:p>
    <w:p>
      <w:pPr>
        <w:numPr>
          <w:numId w:val="6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Profit/Loss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Regarding opportunity for profit/risk of loss, the court found in </w:t>
      </w:r>
      <w:r>
        <w:rPr>
          <w:rFonts w:ascii="arial" w:eastAsia="arial" w:hAnsi="arial" w:cs="arial"/>
          <w:i/>
          <w:color w:val="000000"/>
          <w:sz w:val="20"/>
          <w:lang w:val="en-US" w:eastAsia="en-US" w:bidi="ar-SA"/>
        </w:rPr>
        <w:t>Shaw</w:t>
      </w:r>
      <w:r>
        <w:rPr>
          <w:rFonts w:ascii="arial" w:eastAsia="arial" w:hAnsi="arial" w:cs="arial"/>
          <w:color w:val="000000"/>
          <w:sz w:val="20"/>
          <w:lang w:val="en-US" w:eastAsia="en-US" w:bidi="ar-SA"/>
        </w:rPr>
        <w:t>, similar to the case at hand, that a responsible installer who becomes very efficient will be able to perform more installations in any given eight- hour day. Because an installer is paid on a piecework basis, they will earn more revenue the more installations they can do. I find that Wray had an opportunity to profit from his own hard work and efficiency within the Telecon relationship in a manner indicating he was an independent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Further, Telecon did not limit Wray's ability to work for other companies and hence did not limit his ability to profit in this manner. While it may have been the case that it was not logistically possible for Wray to provide services for more than one Telus service provider, Telus was not the only service provider in this field. I accept the evidence that as Lightstream was able to grow and further profit as it grew its industry profile, so too did Wray's ability to grow his profits in a manner unfettered by Telecon. This points to an independent contractor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Wray's opportunity for loss in relation to the lack of protection Telecon provided him in this regard points to an independent contractor relationship. As in </w:t>
      </w:r>
      <w:r>
        <w:rPr>
          <w:rFonts w:ascii="arial" w:eastAsia="arial" w:hAnsi="arial" w:cs="arial"/>
          <w:i/>
          <w:color w:val="000000"/>
          <w:sz w:val="20"/>
          <w:lang w:val="en-US" w:eastAsia="en-US" w:bidi="ar-SA"/>
        </w:rPr>
        <w:t>Shaw</w:t>
      </w:r>
      <w:r>
        <w:rPr>
          <w:rFonts w:ascii="arial" w:eastAsia="arial" w:hAnsi="arial" w:cs="arial"/>
          <w:color w:val="000000"/>
          <w:sz w:val="20"/>
          <w:lang w:val="en-US" w:eastAsia="en-US" w:bidi="ar-SA"/>
        </w:rPr>
        <w:t>, installers were required to incur certain expenses in order to earn their revenue at Telecon. They had to pay the operating expenses of a vehicle which could carry their tools and a ladder. They had to pay for any tools which were lost or stolen. They had to purchase liability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However, the court in </w:t>
      </w:r>
      <w:r>
        <w:rPr>
          <w:rFonts w:ascii="arial" w:eastAsia="arial" w:hAnsi="arial" w:cs="arial"/>
          <w:i/>
          <w:color w:val="000000"/>
          <w:sz w:val="20"/>
          <w:lang w:val="en-US" w:eastAsia="en-US" w:bidi="ar-SA"/>
        </w:rPr>
        <w:t>Shaw</w:t>
      </w:r>
      <w:r>
        <w:rPr>
          <w:rFonts w:ascii="arial" w:eastAsia="arial" w:hAnsi="arial" w:cs="arial"/>
          <w:color w:val="000000"/>
          <w:sz w:val="20"/>
          <w:lang w:val="en-US" w:eastAsia="en-US" w:bidi="ar-SA"/>
        </w:rPr>
        <w:t xml:space="preserve"> found that it was reasonable to infer that the piecework rates established by Shaw for the remuneration of the installers took into account these required expenses such that there was no reasonable prospect of loss. I do not find that such an inference is readily made here given the evidence that Telecon went through slow periods during the winter months in which contractors could be "shut off". Unlike in </w:t>
      </w:r>
      <w:r>
        <w:rPr>
          <w:rFonts w:ascii="arial" w:eastAsia="arial" w:hAnsi="arial" w:cs="arial"/>
          <w:i/>
          <w:color w:val="000000"/>
          <w:sz w:val="20"/>
          <w:lang w:val="en-US" w:eastAsia="en-US" w:bidi="ar-SA"/>
        </w:rPr>
        <w:t>Shaw</w:t>
      </w:r>
      <w:r>
        <w:rPr>
          <w:rFonts w:ascii="arial" w:eastAsia="arial" w:hAnsi="arial" w:cs="arial"/>
          <w:color w:val="000000"/>
          <w:sz w:val="20"/>
          <w:lang w:val="en-US" w:eastAsia="en-US" w:bidi="ar-SA"/>
        </w:rPr>
        <w:t>, the piecework rates held out to Wray did not reasonably ensure the prospect of earning a reasonable income, and not run a loss, after business expenses, deductions and other costs were accounted for. In this way, there was a potential opportunity for Wray to lose money in his dealings with Telecon given the degree to which he was interconnected with Lightstream.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Further, the court in Shaw found that as neither the installers nor the sellers had any fixed overhead or any need to advertise, they had no risk of loss. There is no such evidence that Wray, or Lightstream, were in a similar situation so as to rely on Telecon for its overhead and its advertising to avert loss. I would distinguish </w:t>
      </w:r>
      <w:r>
        <w:rPr>
          <w:rFonts w:ascii="arial" w:eastAsia="arial" w:hAnsi="arial" w:cs="arial"/>
          <w:i/>
          <w:color w:val="000000"/>
          <w:sz w:val="20"/>
          <w:lang w:val="en-US" w:eastAsia="en-US" w:bidi="ar-SA"/>
        </w:rPr>
        <w:t>Shaw</w:t>
      </w:r>
      <w:r>
        <w:rPr>
          <w:rFonts w:ascii="arial" w:eastAsia="arial" w:hAnsi="arial" w:cs="arial"/>
          <w:color w:val="000000"/>
          <w:sz w:val="20"/>
          <w:lang w:val="en-US" w:eastAsia="en-US" w:bidi="ar-SA"/>
        </w:rPr>
        <w:t xml:space="preserve"> insofar as in that case installers and sellers had a much wider, and stronger, umbrella of loss protection than Wray does here especially given Wray's near synonymy with Lightstream. Wray's potential to lose money in relation to Telecon work, or a lack thereof, indicates an independent contractor relationship with Telecon.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Otherwise, Wray had ostensible responsibility to invest and manage himself, and arguably Lightstream, as he saw fit independently of Telecon. This further indicates his independence from Telecon in terms of the profit/loss analysis.</w:t>
      </w:r>
      <w:r>
        <w:rPr>
          <w:rFonts w:ascii="arial" w:eastAsia="arial" w:hAnsi="arial" w:cs="arial"/>
          <w:sz w:val="20"/>
          <w:lang w:val="en-US" w:eastAsia="en-US" w:bidi="ar-SA"/>
        </w:rPr>
        <w:cr/>
      </w:r>
    </w:p>
    <w:p>
      <w:pPr>
        <w:numPr>
          <w:numId w:val="6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Business Integration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would characterize the following factors as going towards establishing the level Wray was integrated into Telecon's business:</w:t>
      </w:r>
      <w:r>
        <w:rPr>
          <w:rFonts w:ascii="arial" w:eastAsia="arial" w:hAnsi="arial" w:cs="arial"/>
          <w:sz w:val="20"/>
          <w:lang w:val="en-US" w:eastAsia="en-US" w:bidi="ar-SA"/>
        </w:rPr>
        <w:cr/>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Wray was a crucial element of Telecon's business;</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activity of the worker represents the defendant's business;</w:t>
      </w:r>
    </w:p>
    <w:p>
      <w:pPr>
        <w:numPr>
          <w:numId w:val="6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permanency and length of the relationship; and</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parties rely on each other or closely co-ordinate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Each of these factors indicates an independent contractor relationship. First, I accept the defendant's evidence that Wray was not a crucial element of Telecon's business as it had other employees and contractors who did the same work as Wray. He was not irreplaceable or integrally integrated into Telecon's business. His removal did not materially affect Telecon's operations. Second, Wray's public activities did not represent Telecon but rather represented Telus. His private activities represented Lightstream. Third, the relationship between Wray and Telecon was neither permanent in nature nor was it particularly long. In total, the relationship lasted just over five months. The contract limited the term of the relationship to a four-month period. Lastly, I do not find that the parties especially relied on each other or closely co-ordinated their conduct. Wray was by and large free to come and go as he pleased and to operate independently of Telecon. All told, Wray was insufficiently integrated into Telecon's business to be considered anything but an independent contractor.</w:t>
      </w:r>
      <w:r>
        <w:rPr>
          <w:rFonts w:ascii="arial" w:eastAsia="arial" w:hAnsi="arial" w:cs="arial"/>
          <w:sz w:val="20"/>
          <w:lang w:val="en-US" w:eastAsia="en-US" w:bidi="ar-SA"/>
        </w:rPr>
        <w:cr/>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 find that Wray was neither a Telecon employee nor a dependent contractor in relation to Telecon. Based on each of the above four tests, Wray is properly characterized as an independent contractor in relation to Telecon. Accordingly, Wray has no standing in regard to his wrongful dismissal claim and this claim is to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One further point bears mentioning. Wray was admittedly an employee of Lightstream, earning a salary which did not fluctuate regardless of the amount of work performed by Lightstream. This is demonstrated by the fact that Lightstream continued to pay Wray until March 2016, after he was no longer eligible for the Telus work through Telecon. Lighthouse provided notice of termination to Wray.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defendant argues that there are no circumstances where an individual can be considered an employee of two different employers at the same time in respect of the same work. The plaintiffs provided no jurisprudence to refute this argument. While this consideration is moot given my finding that Telecon and Wray were not in an employment relationship, I otherwise agree with the defendant that to find that Wray was in an employment relationship with both Lightstream and Telecon would be quite anomalous, if not possibly incorrect as a matter of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Damages</w:t>
      </w:r>
    </w:p>
    <w:p>
      <w:pPr>
        <w:numPr>
          <w:numId w:val="7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Contractual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damages to be awarded run for the period of time that Telecon kept Wray out of the load in breach of the Services Agreement. The period of contractual damages is thus from the day Wray was removed from the load, this being December 20, 2015, until the end of the contract on March 18, 2016 as Telecon never did return Wray to the load. As Lightstream could have sent other contractors to work for Telecon during this period, given my finding that the Services Agreement remained in force during this time, these damages will be limited to an average of the compensation paid to Lightstream for Wray's services for this period of time if he were fully occupied with Telus I&amp;R.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An appropriate method to calculate damages is to take Lightstream's net income figures for Wray's work from September to November 2015, a period of three months, and apply this amount to the December 20, 2015 to March 18, 2016 period, a period of three months less a day. This amount is $10,857.18. As Wray's two- week suspension in December 2015 was not pled as a breach of the Services Agreement, and submissions were not made on this point, no additional damages will be awarded for this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Wray continued to be paid his wage from Lightstream until he was terminated without cause, upon notice in March 2016. Thus, Wray suffered no monetary damages as a result of Telecon's breach of contract. Indeed, Wray was not an officer or director or shareholder of Lightstream. He was at all times an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While Wray was concerned about the allegation of theft, and its effect on his reputation, he cannot claim any loss of opportunity damages as he had no contract with Telecon. There is no reason that Lightstream could not apply for work from competitors of Telecon either before or after the letter from Telecon of March 16, 2016. Lightstream cannot claim loss of business opportunity when Lightstream did not seek any further service work that it was insured, equipped for and ready and able to perform. The lack of taking any such steps towards such opportunities precludes Lightstream from claiming that Telecon, on a balance of probabilities, deprived Lightstream of possible contract work by not indicating that it would keep the theft allegation to itself, either as a matter of general industry relations, or in regard to potential direct questions put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While I accept the principle stated by McLachlin J.A. (as she then was) in </w:t>
      </w:r>
      <w:r>
        <w:rPr>
          <w:rFonts w:ascii="arial" w:eastAsia="arial" w:hAnsi="arial" w:cs="arial"/>
          <w:i/>
          <w:color w:val="000000"/>
          <w:sz w:val="20"/>
          <w:lang w:val="en-US" w:eastAsia="en-US" w:bidi="ar-SA"/>
        </w:rPr>
        <w:t>Houweling Nurseries Ltd. v. Fisons Western Corp.</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[1988] B.C.J. No. 306</w:t>
        </w:r>
      </w:hyperlink>
      <w:r>
        <w:rPr>
          <w:rFonts w:ascii="arial" w:eastAsia="arial" w:hAnsi="arial" w:cs="arial"/>
          <w:color w:val="000000"/>
          <w:sz w:val="20"/>
          <w:lang w:val="en-US" w:eastAsia="en-US" w:bidi="ar-SA"/>
        </w:rPr>
        <w:t xml:space="preserve"> (C.A.) at para. 24, leave to appeal ref'd, </w:t>
      </w:r>
      <w:hyperlink r:id="rId582" w:history="1">
        <w:r>
          <w:rPr>
            <w:rFonts w:ascii="arial" w:eastAsia="arial" w:hAnsi="arial" w:cs="arial"/>
            <w:i/>
            <w:color w:val="0077CC"/>
            <w:sz w:val="20"/>
            <w:u w:val="single"/>
            <w:shd w:val="clear" w:color="auto" w:fill="FFFFFF"/>
            <w:lang w:val="en-US" w:eastAsia="en-US" w:bidi="ar-SA"/>
          </w:rPr>
          <w:t>[1988] S.C.C.A. No. 200</w:t>
        </w:r>
      </w:hyperlink>
      <w:r>
        <w:rPr>
          <w:rFonts w:ascii="arial" w:eastAsia="arial" w:hAnsi="arial" w:cs="arial"/>
          <w:color w:val="000000"/>
          <w:sz w:val="20"/>
          <w:lang w:val="en-US" w:eastAsia="en-US" w:bidi="ar-SA"/>
        </w:rPr>
        <w:t xml:space="preserve"> (S.C.C.) that Lightstream only needs to establish that it was probable that some of these possible contracts would have materialized to make out a loss of opportunity claim, I find they have not made out this probability given their lack of seeking out any such contracts. Their belief as to Telecon's accusation does not explain the lack of any effort to seek further services work during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To use the language in </w:t>
      </w:r>
      <w:r>
        <w:rPr>
          <w:rFonts w:ascii="arial" w:eastAsia="arial" w:hAnsi="arial" w:cs="arial"/>
          <w:i/>
          <w:color w:val="000000"/>
          <w:sz w:val="20"/>
          <w:lang w:val="en-US" w:eastAsia="en-US" w:bidi="ar-SA"/>
        </w:rPr>
        <w:t>Graybriar Industries Ltd. v. Davis &amp; Co.</w:t>
      </w:r>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[1990] B.C.J. No. 1239</w:t>
        </w:r>
      </w:hyperlink>
      <w:r>
        <w:rPr>
          <w:rFonts w:ascii="arial" w:eastAsia="arial" w:hAnsi="arial" w:cs="arial"/>
          <w:color w:val="000000"/>
          <w:sz w:val="20"/>
          <w:lang w:val="en-US" w:eastAsia="en-US" w:bidi="ar-SA"/>
        </w:rPr>
        <w:t xml:space="preserve"> (S.C.) at para. 131, aff'd </w:t>
      </w:r>
      <w:hyperlink r:id="rId584" w:history="1">
        <w:r>
          <w:rPr>
            <w:rFonts w:ascii="arial" w:eastAsia="arial" w:hAnsi="arial" w:cs="arial"/>
            <w:i/>
            <w:color w:val="0077CC"/>
            <w:sz w:val="20"/>
            <w:u w:val="single"/>
            <w:shd w:val="clear" w:color="auto" w:fill="FFFFFF"/>
            <w:lang w:val="en-US" w:eastAsia="en-US" w:bidi="ar-SA"/>
          </w:rPr>
          <w:t>[1992] B.C.J. No. 2211</w:t>
        </w:r>
      </w:hyperlink>
      <w:r>
        <w:rPr>
          <w:rFonts w:ascii="arial" w:eastAsia="arial" w:hAnsi="arial" w:cs="arial"/>
          <w:color w:val="000000"/>
          <w:sz w:val="20"/>
          <w:lang w:val="en-US" w:eastAsia="en-US" w:bidi="ar-SA"/>
        </w:rPr>
        <w:t xml:space="preserve"> (C.A.), this claim is merely "fanciful" and does not establish as a possibility that there was a loss of a chance to benefit from these purported contracts.</w:t>
      </w:r>
      <w:r>
        <w:rPr>
          <w:rFonts w:ascii="arial" w:eastAsia="arial" w:hAnsi="arial" w:cs="arial"/>
          <w:sz w:val="20"/>
          <w:lang w:val="en-US" w:eastAsia="en-US" w:bidi="ar-SA"/>
        </w:rPr>
        <w:cr/>
      </w:r>
    </w:p>
    <w:p>
      <w:pPr>
        <w:numPr>
          <w:numId w:val="7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As Wray has failed to establish that he had an employee or dependent contractor contract with the defendant, or any contract with the defendant, and has not otherwise established any tort liability on Telecon's part, he is precluded from claiming aggravated damages. Aggravated damages are not a separate head of damages, but rather an augmentation of general damages: </w:t>
      </w:r>
      <w:r>
        <w:rPr>
          <w:rFonts w:ascii="arial" w:eastAsia="arial" w:hAnsi="arial" w:cs="arial"/>
          <w:i/>
          <w:color w:val="000000"/>
          <w:sz w:val="20"/>
          <w:lang w:val="en-US" w:eastAsia="en-US" w:bidi="ar-SA"/>
        </w:rPr>
        <w:t>T.W.N.A. v. Canada (Ministry of Indian Affairs)</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at para 102. As Lightstream does not advance a claim of aggravated damages against the defendant, the plaintiffs' aggravated damages claim is dismissed.</w:t>
      </w:r>
      <w:r>
        <w:rPr>
          <w:rFonts w:ascii="arial" w:eastAsia="arial" w:hAnsi="arial" w:cs="arial"/>
          <w:sz w:val="20"/>
          <w:lang w:val="en-US" w:eastAsia="en-US" w:bidi="ar-SA"/>
        </w:rPr>
        <w:cr/>
      </w:r>
    </w:p>
    <w:p>
      <w:pPr>
        <w:numPr>
          <w:numId w:val="7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It bears mentioning that Lochan and Telecon could have resolved this matter by admitting their mistake and reinstating Mr. Wray's eligibility to perform Telus work. Their refusal to do so reflects badly on their corporate reputation. However, their actions do not give rise to an award of punitive damages in favour of either Lightstream or Wray.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To establish a claim for punitive damages, as stated by Binnie J. in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xml:space="preserve"> at paras. 78 and 82, an independent actionable wrong is required, of which a breach of a distinct and separate contractual provision or other duty such as a fiduciary obligation qualifies. As the plaintiffs have failed to establish that the defendant's actions amounted to any tort, or a breach of any fiduciary obligation between the parties, their punitive damages claim is limited to the contractual sphere.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As with aggravated damages, Wray is precluded from claiming punitive damages as he had no contractual relationship with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On the grounds that the defendant committed a breach of the express terms of the Services Agreement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xml:space="preserve"> a breach of the implied contractual duty of honesty and good faith, one of which may serve as the independent actionable wrong, Lightstream has standing to make out a punitive damages claim. However, I find that the defendant's conduct does not merit the exceptional remedy of an award of punitive damages. As stated in </w:t>
      </w:r>
      <w:r>
        <w:rPr>
          <w:rFonts w:ascii="arial" w:eastAsia="arial" w:hAnsi="arial" w:cs="arial"/>
          <w:i/>
          <w:color w:val="000000"/>
          <w:sz w:val="20"/>
          <w:lang w:val="en-US" w:eastAsia="en-US" w:bidi="ar-SA"/>
        </w:rPr>
        <w:t>Honda</w:t>
      </w:r>
      <w:r>
        <w:rPr>
          <w:rFonts w:ascii="arial" w:eastAsia="arial" w:hAnsi="arial" w:cs="arial"/>
          <w:color w:val="000000"/>
          <w:sz w:val="20"/>
          <w:lang w:val="en-US" w:eastAsia="en-US" w:bidi="ar-SA"/>
        </w:rPr>
        <w:t>, the burden of establishing punitive damages is a heavy one: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[68] ... this Court has stated that punitive damages should "receive the most careful consideration and the discretion to award them should be most cautiously exercised" (</w:t>
      </w:r>
      <w:r>
        <w:rPr>
          <w:rFonts w:ascii="arial" w:eastAsia="arial" w:hAnsi="arial" w:cs="arial"/>
          <w:i/>
          <w:color w:val="000000"/>
          <w:sz w:val="20"/>
          <w:lang w:val="en-US" w:eastAsia="en-US" w:bidi="ar-SA"/>
        </w:rPr>
        <w:t>Vorvis</w:t>
      </w:r>
      <w:r>
        <w:rPr>
          <w:rFonts w:ascii="arial" w:eastAsia="arial" w:hAnsi="arial" w:cs="arial"/>
          <w:color w:val="000000"/>
          <w:sz w:val="20"/>
          <w:lang w:val="en-US" w:eastAsia="en-US" w:bidi="ar-SA"/>
        </w:rPr>
        <w:t>, at pp. 1104-5). Courts should only resort to punitive damages in exceptional cases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at para. 69). The independent actionable wrong requirement is but one of many factors that merit careful consideration by the courts in allocating punitive damages. Another important thing to be considered is that conduct meriting punitive damages awards must be "harsh, vindictive, reprehensible and malicious", as well as "extreme in its nature and such that by any reasonable standard it is deserving of full condemnation and punishment" (</w:t>
      </w:r>
      <w:r>
        <w:rPr>
          <w:rFonts w:ascii="arial" w:eastAsia="arial" w:hAnsi="arial" w:cs="arial"/>
          <w:i/>
          <w:color w:val="000000"/>
          <w:sz w:val="20"/>
          <w:lang w:val="en-US" w:eastAsia="en-US" w:bidi="ar-SA"/>
        </w:rPr>
        <w:t>Vorvis</w:t>
      </w:r>
      <w:r>
        <w:rPr>
          <w:rFonts w:ascii="arial" w:eastAsia="arial" w:hAnsi="arial" w:cs="arial"/>
          <w:color w:val="000000"/>
          <w:sz w:val="20"/>
          <w:lang w:val="en-US" w:eastAsia="en-US" w:bidi="ar-SA"/>
        </w:rPr>
        <w:t>, at p. 1108).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The analysis amounts to establishing whether the blameworthiness of the defendant's reprehensible, vindictive, malicious, harsh, high-handed or egregiously objectionable conduct is such that it represents the rare and exceptional case where punitive damages are required to achieve the court's goals of retribution, deterrence or denunciation: </w:t>
      </w:r>
      <w:r>
        <w:rPr>
          <w:rFonts w:ascii="arial" w:eastAsia="arial" w:hAnsi="arial" w:cs="arial"/>
          <w:i/>
          <w:color w:val="000000"/>
          <w:sz w:val="20"/>
          <w:lang w:val="en-US" w:eastAsia="en-US" w:bidi="ar-SA"/>
        </w:rPr>
        <w:t>Bailey v. Service Corporation International (Canada) ULC</w:t>
      </w:r>
      <w:r>
        <w:rPr>
          <w:rFonts w:ascii="arial" w:eastAsia="arial" w:hAnsi="arial" w:cs="arial"/>
          <w:color w:val="000000"/>
          <w:sz w:val="20"/>
          <w:lang w:val="en-US" w:eastAsia="en-US" w:bidi="ar-SA"/>
        </w:rPr>
        <w:t xml:space="preserve">, </w:t>
      </w:r>
      <w:hyperlink r:id="rId586" w:history="1">
        <w:r>
          <w:rPr>
            <w:rFonts w:ascii="arial" w:eastAsia="arial" w:hAnsi="arial" w:cs="arial"/>
            <w:i/>
            <w:color w:val="0077CC"/>
            <w:sz w:val="20"/>
            <w:u w:val="single"/>
            <w:shd w:val="clear" w:color="auto" w:fill="FFFFFF"/>
            <w:lang w:val="en-US" w:eastAsia="en-US" w:bidi="ar-SA"/>
          </w:rPr>
          <w:t>2018 BCSC 235</w:t>
        </w:r>
      </w:hyperlink>
      <w:r>
        <w:rPr>
          <w:rFonts w:ascii="arial" w:eastAsia="arial" w:hAnsi="arial" w:cs="arial"/>
          <w:color w:val="000000"/>
          <w:sz w:val="20"/>
          <w:lang w:val="en-US" w:eastAsia="en-US" w:bidi="ar-SA"/>
        </w:rPr>
        <w:t xml:space="preserve"> at para. 219.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xml:space="preserve"> at para. 113 the level of blameworthiness may be influenced by many factors, some of which include:</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misconduct was planned and deliberate; (2) The intent and motive of the defendant;</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 persisted in the outrageous conduct over a lengthy period of time;</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 concealed or attempted to cover up its misconduct;</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awareness that what he or she was doing was wrong; (6) Whether the defendant profited from its misconduct; and</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interest violated by the misconduct was known to be deeply personal to the plaintiff, e.g., professional reputation.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While this is not an exhaustive list of factors, no additional factors readily come to mind which may have made the defendant's conduct more blameworthy. Out of these factors, it is only the defendant's persistence in their allegation of theft until partway through the trial and the professional reputation aspect of the allegation that may rise to the level of reprehensive conduct. I would characterize the defendant's conduct in not admitting its initial investigation was shoddy and persisting with its allegation against Wray as bordering on conduct meriting a punitive damages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However, although this was a breach of Telecon's contractual duty of good faith towards Lightstream, there was no indication Telecon acted with malice, vindictive intent or that their conduct was egregiously objectionable. The defendant did not share their allegations with others outside their organization so as to tar Lightstream's wider reputation. They did not lie or mislead Lightstream about their allegations, or about the nature of their ongoing relationship with Lightstream. I would not award punitive damages to Lightstream.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Lightstream's claim for breach of contract is established. Lightstream's other claims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Given Lightstream's partial success, I am of the view that Lightstream and the defendant should each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Wray's claims are dismissed with costs at Scale A. Lightstream bore the burden of proving its case and Wray's role as an independent plaintiff did not occupy substantial court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If necessary, the parties may make submissions as to costs by notifying the Registry within 10 days of the date of this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L.D. RUSSELL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2" style="position:absolute;z-index:2517831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Maddex v. Sigouin, [2013] B.C.J. No. 1633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J.W. Williams J. (appearing via teleconference)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19 and 20,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July 4,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M64701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Nanaimo</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1633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1338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230 A.C.W.S. (3d) 920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48 M.V.R. (6th) 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CarswellBC 2271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Mark Edward Maddex, Plaintiff, and Spencer Daniel Sigouin and Coastal Drain Cleaning Service,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3"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8" w:name="Keywords_21"/>
      <w:bookmarkEnd w:id="148"/>
      <w:r>
        <w:rPr>
          <w:rFonts w:ascii="arial" w:eastAsia="arial" w:hAnsi="arial" w:cs="arial"/>
          <w:b/>
          <w:color w:val="000000"/>
          <w:sz w:val="20"/>
          <w:lang w:val="en-US" w:eastAsia="en-US" w:bidi="ar-SA"/>
        </w:rPr>
        <w:t xml:space="preserve">Damages — Physical and psychological injuries — Physical injuries — Body injuries — Soft tissue — Head injuries — Ears — Hearing — Considerations impacting on award — Degree of impairment — Permanent total or partial disability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Maddex for damages from motor vehicle accident allowed in part — Plaintiff RCMP officer struck from behind by defendant while attempting U-turn — Plaintiff failed to activate siren — No statutory protection for otherwise illegal conduct — Defendant failed to comply with statutory obligation to follow at safe distance and operate vehicle with due care for other persons using highway — Plaintiff failed to undertake U-turn safely related to other vehicles — Parties equally liable — Accident caused minor soft tissue injuries and tinnitus — Plaintiff awarded $21,186 as half share of non-pecuniary and special damages — Motor Vehicle Act, ss. 122 and 177.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Special damages — Non-pecuniary loss — Pain and suffering — Action by Maddex for damages from motor vehicle accident allowed in part — Plaintiff RCMP officer struck from behind by defendant while attempting U-turn — Plaintiff failed to activate siren — No statutory protection for otherwise illegal conduct — Defendant failed to comply with statutory obligation to follow at safe distance and operate vehicle with due care for other persons using highway — Plaintiff failed to undertake U-turn safely related to other vehicles — Parties equally liable — Accident caused minor soft tissue injuries and tinnitus — Plaintiff awarded $21,186 as half share of non-pecuniary and special damages — Motor Vehicle Act, ss. 122 and 177.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Standard of care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Equal apportionment — Duty of care — Motor vehicles — Motor vehicles — Liability of driver — Rules of the road — Signals and warnings — Action by Maddex for damages from motor vehicle accident allowed in part — Plaintiff RCMP officer struck from behind by defendant while attempting U-turn — Plaintiff failed to activate siren — No statutory protection for otherwise illegal conduct — Defendant failed to comply with statutory obligation to follow at safe distance and operate vehicle with due care for other persons using highway — Plaintiff failed to undertake U-turn safely related to other vehicles — Parties equally liable — Accident caused minor soft tissue injuries and tinnitus — Plaintiff awarded $21,186 as half share of non-pecuniary and special damages — Motor Vehicle Act, ss. 122 and 177.</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9" w:name="Case Summary_20"/>
            <w:bookmarkEnd w:id="14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Maddex for damages from a motor vehicle accident. The plaintiff was an RCMP officer. He was struck from behind by the defendant while attempting a U-turn to pursue a speeding vehicle in the opposing lane of the highway. The plaintiff activated the vehicle's flashing lights, but did not activate the siren. The defendant was driving a heavy commercial vehicle pulling a trailer with inoperable brakes. The plaintiff argued that his conduct was governed by the statutory exemption provided to emergency vehicles engaging in otherwise illegal conduct and that, in any event, the defendant was entirely liable for the accident. The defendant argued that the plaintiff was entirely liable for the accident or, alternatively, was contributorily negligent.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0" w:name="Holdings of Court_20"/>
            <w:bookmarkEnd w:id="150"/>
            <w:r>
              <w:rPr>
                <w:rFonts w:ascii="arial" w:eastAsia="arial" w:hAnsi="arial" w:cs="arial"/>
                <w:color w:val="000000"/>
                <w:sz w:val="20"/>
                <w:lang w:val="en-US" w:eastAsia="en-US" w:bidi="ar-SA"/>
              </w:rPr>
              <w:t>HELD: The action was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 fall within the scope of the statutory protection afforded to emergency vehicles engaged in conduct such as making a U-turn on a highway, the plaintiff was obligated to activate both the vehicle's emergency lights and siren. However, the defendant was negligent by failing to comply with the statutory obligation to follow at a safe distance and operate his vehicle with due care and attention to other persons using the highway. He was following the plaintiff too closely and with too much inattention to react safely to the plaintiff stopping to make the U-turn. The plaintiff was also negligent. He failed to undertake the U-turn in safe manner related to other vehicles. His focus was on oncoming traffic and he therefore failed to appreciate the fact that the turn could not be executed safely due to the defendant's vehicle following closely behind him. The parties were equally liable for the accident. The plaintiff suffered minor soft tissue injuries and tinnitus. He was awarded a half share of $42,000 in non-pecuniary damages and $392 in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1" w:name="Legislation Cited_14"/>
      <w:bookmarkEnd w:id="15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4"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Emergency Driving Regulation, </w:t>
      </w:r>
      <w:hyperlink r:id="rId594" w:history="1">
        <w:r>
          <w:rPr>
            <w:rFonts w:ascii="arial" w:eastAsia="arial" w:hAnsi="arial" w:cs="arial"/>
            <w:i/>
            <w:color w:val="0077CC"/>
            <w:sz w:val="20"/>
            <w:u w:val="single"/>
            <w:shd w:val="clear" w:color="auto" w:fill="FFFFFF"/>
            <w:lang w:val="en-US" w:eastAsia="en-US" w:bidi="ar-SA"/>
          </w:rPr>
          <w:t>B.C. Reg. 133/98, s. 2</w:t>
        </w:r>
      </w:hyperlink>
      <w:r>
        <w:rPr>
          <w:rFonts w:ascii="arial" w:eastAsia="arial" w:hAnsi="arial" w:cs="arial"/>
          <w:color w:val="000000"/>
          <w:sz w:val="20"/>
          <w:lang w:val="en-US" w:eastAsia="en-US" w:bidi="ar-SA"/>
        </w:rPr>
        <w:t>, s. 3(1), s. 4(1), s.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595" w:history="1">
        <w:r>
          <w:rPr>
            <w:rFonts w:ascii="arial" w:eastAsia="arial" w:hAnsi="arial" w:cs="arial"/>
            <w:i/>
            <w:color w:val="0077CC"/>
            <w:sz w:val="20"/>
            <w:u w:val="single"/>
            <w:shd w:val="clear" w:color="auto" w:fill="FFFFFF"/>
            <w:lang w:val="en-US" w:eastAsia="en-US" w:bidi="ar-SA"/>
          </w:rPr>
          <w:t>RSBC 1996, CHAPTER 318, s. 122</w:t>
        </w:r>
      </w:hyperlink>
      <w:r>
        <w:rPr>
          <w:rFonts w:ascii="arial" w:eastAsia="arial" w:hAnsi="arial" w:cs="arial"/>
          <w:color w:val="000000"/>
          <w:sz w:val="20"/>
          <w:lang w:val="en-US" w:eastAsia="en-US" w:bidi="ar-SA"/>
        </w:rPr>
        <w:t>, s. 144, s. 162, s. 177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2" w:name="Counsel_22"/>
      <w:bookmarkEnd w:id="15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5"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D.R. Brooks and D.M. Kozlick.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P.M. MacNeil.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3" w:name="Judgment_22"/>
      <w:bookmarkEnd w:id="153"/>
      <w:r>
        <w:pict>
          <v:line id="_x0000_s1136" style="position:absolute;z-index:2518343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4" w:name="J.W. WILLIAMS J."/>
            <w:bookmarkEnd w:id="154"/>
            <w:r>
              <w:rPr>
                <w:rFonts w:ascii="arial" w:eastAsia="arial" w:hAnsi="arial" w:cs="arial"/>
                <w:b/>
                <w:color w:val="000000"/>
                <w:sz w:val="30"/>
                <w:lang w:val="en-US" w:eastAsia="en-US" w:bidi="ar-SA"/>
              </w:rPr>
              <w:t>J.W. WILLIAMS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Mark Edward Maddex, brings this action seeking to recover damages sustained as a consequence of a motor vehicle accident in which he was struck by an automobile owned by the defendant Coastal Drain Cleaning Service and driven by the defendant Spencer Daniel Sigouin.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is a member of the RCMP. At the relevant time, he was stationed at the Oceanside detachment located in Parksville,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the morning of March 20, 2010, he was on duty and operating a marked RCMP vehicle. The vehicle was equipped with emergency lights and a siren. The plaintiff says that the vehicle's mirrors were adjusted to suit him and that he checked that all of the equipment was properly operational when he commenced his shift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and another RCMP member had been dispatched to attend a call at a location north of Qualicum. After concluding their involvement, Mr. Maddex and the other officer headed back to their detachment in Parksville. Each was driving his own police car. The other officer, Constable Kerr, was travelling some distance ahead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They were travelling southbound on Highway 19A known as the Old Island Highway. The road is generally a two-lane configuration, but there is a portion near Baylis Road where the highway widens so that there are two lanes northbound and two lanes southbound. At the intersection with Baylis Road and in that immediate area, there is a fifth lane that is a left-turn bay for southbound traffic intending to turn left. For northbound traffic, there is a similar left-turn bay. The two are on the same alignment.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the plaintiff entered into the four-lane portion of the roadway, he was travelling in the number 2 lane, that is numbering from the edge of the road. Put another way, he was travelling in the passing lane for southbound traffic. He testified that he was established in that lane and travelling at a speed of approximately 80 kilometres per hour. He had his radar set turned on such that he was able to monitor the speed of oncoming traffic. His testimony was that he believed there was no traffic following behind him that was, in his words, uncomfortably close, which he defined as within 10 or 15 car lengths. That was significant to him, as it would be relevant in the event he was required to make an emergency U-turn.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Maddex noted on his speed monitoring device that an oncoming northbound pickup truck was passing another vehicle and was travelling at a speed indicated as 126 kilometres per hour. The posted speed limit in this area is 80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Maddex decided to stop the speeding pickup truck. He activated the emergency lights on his police vehicle. He testified that he was hopeful that the oncoming vehicle would see the lights and would pull over in response and thus there would be no need for pursuit. He also applied the brakes of the police vehicle, slowing and preparing to make a U-turn so that he would be travelling northbound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He said that the speeding truck passed by him, as did another northbound vehicle, the one which had been overtaken by the speeding truck. He also observed a third northbound vehicle and paused to be satisfied that that vehicle would yield to him. His testimony was that more than five seconds had elapsed between the activation of the emergency lights and this point. When he saw that the third oncoming vehicle was going to yield, he continued to slow and commenced a U-turn with the intention of turning to pursue the speeding pickup truck. On my understanding of the evidence, he was still travelling in the number 2 lane. He initiated his left-turn into the U-turn from that lane. His testimony is that he braked in a controlled manner and over an extended period of time; that is, there was no sudden braking on 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Mr. Sigouin is a plumber. On this date, he was travelling on the same highway returning from a service call. He was driving a full-sized commercial van which was towing a trailer. He, too, was southbound and travelling in the number 2 lane, that is, the passing lane. The van did not have windows all around, only the front windshield, the side windows in the front doors, and a small back window. While the trailer was equipped with brakes, those were not connected and operational at the time. Mr. Sigouin knew that to be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Sigouin was travelling behind the police car driven by the plaintiff. The exact distance between the vehicles cannot be precisely discerned from all of the evidence. Significantly, at some point, Mr. Sigouin noticed that the police vehicle in front of him had activated its emergency lights and was braking. He said that he was only approximately three car lengths behind when he recognized what was occurring with the slowing police car and, in the result, he was too close to be able to stop his vehicle without coming into collision with the rear of the police vehicle. His testimony is that he was travelling at approximately 80 kilometres per hour when he was about three lengths behind the police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order to avoid colliding with the police car, Mr. Sigouin swung his vehicle into the left-turn lane in an attempt to go around the left side of the police car. Travelling in that lane, he proceeded into the intersection, and once he had crossed the Baylis Road allowance, he would have, in fact, been in the northbound left-turn lane. My understanding is that, as he was making that maneuver, he was continuing to brake.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Mr. Sigouin pulled into that left-turn lane, the plaintiff initiated his left turn to effect his U-turn. The van struck the driver's side doors of the police cruiser in the northbound left-turn lane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Fortunately, the collision occurred at a fairly low velocity. However, Mr. Maddex did incur some injuries, the details of which will be discussed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are two issues to be determined:</w:t>
      </w:r>
      <w:r>
        <w:rPr>
          <w:rFonts w:ascii="arial" w:eastAsia="arial" w:hAnsi="arial" w:cs="arial"/>
          <w:sz w:val="20"/>
          <w:lang w:val="en-US" w:eastAsia="en-US" w:bidi="ar-SA"/>
        </w:rPr>
        <w:cr/>
      </w:r>
    </w:p>
    <w:p>
      <w:pPr>
        <w:numPr>
          <w:numId w:val="1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the matter of liability. The plaintiff says that the collision was entirely the responsibility of the defendants. The defendants say that the plaintiff was wholly at fault. Alternatively, the defendants say that if there was some fault on the part of Mr. Sigouin, it is no more than 25 percent and liability should be allocated accordingly.</w:t>
      </w:r>
    </w:p>
    <w:p>
      <w:pPr>
        <w:numPr>
          <w:numId w:val="1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damages, general (that is, non-pecuniary) must be assessed. Other than non-pecuniary damages, his only other claim is for special damages. The parties have agreed upon the quantum of those.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will note at the very outset that I found both the plaintiff and Mr. Sigouin to be essentially credible witnesses. I detected no deliberate attempt to take positions known to be wrong or incorrect or to be untruthful. Each of them presented as reasonable and sincere. As we know, witnesses sometimes have conflicting views of matters and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Because the plaintiff was engaged in police duties and was operating an emergency vehicle with his emergency lights on at the time of the collision, he contends that certain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Emergency Driving Regulation</w:t>
      </w:r>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B.C. Reg. 133/98</w:t>
        </w:r>
      </w:hyperlink>
      <w:r>
        <w:rPr>
          <w:rFonts w:ascii="arial" w:eastAsia="arial" w:hAnsi="arial" w:cs="arial"/>
          <w:color w:val="000000"/>
          <w:sz w:val="20"/>
          <w:lang w:val="en-US" w:eastAsia="en-US" w:bidi="ar-SA"/>
        </w:rPr>
        <w:t>, provide specific privileges to emergency vehicles and that they have application to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Part 3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requires that all drivers follow traffic rules in general, and generally sets out the obligations and restrictions that apply to persons operating motor vehicles on roadways. Included within Part 3 is s. 122, which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Exemption for emergency vehicles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(1) Despite anything in this Part, but subject to subsections (2) and (4), a driver of an emergency vehicle may do the following:</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exceed the speed limit;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 past a red traffic control signal or stop sign without stopping;</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disregard rules and traffic control devices governing direction of movement or turning in specified directions;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stop or stand.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an emergency vehicle must not exercise the privileges granted by subsection (1) except in accordance with the regulations.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an emergency vehicle exercising a privilege granted by subsection (1) must drive with due regard for safety, having regard to all the circumstances of the case, including the following:</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condition and use of the highway;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traffic that is on, or might reasonably be expected to be on, the highway;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use being made of the emergency vehicle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Emergency Vehicle Driving Regulation</w:t>
      </w:r>
      <w:r>
        <w:rPr>
          <w:rFonts w:ascii="arial" w:eastAsia="arial" w:hAnsi="arial" w:cs="arial"/>
          <w:color w:val="000000"/>
          <w:sz w:val="20"/>
          <w:lang w:val="en-US" w:eastAsia="en-US" w:bidi="ar-SA"/>
        </w:rPr>
        <w:t xml:space="preserve"> is also relevant to the matter at hand. I am going to make reference here to only certain specific components. In the definition section, there are three definitions of relevance: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emergency light</w:t>
      </w:r>
      <w:r>
        <w:rPr>
          <w:rFonts w:ascii="arial" w:eastAsia="arial" w:hAnsi="arial" w:cs="arial"/>
          <w:color w:val="000000"/>
          <w:sz w:val="20"/>
          <w:lang w:val="en-US" w:eastAsia="en-US" w:bidi="ar-SA"/>
        </w:rPr>
        <w:t>" means a flashing red or blue light;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emergency siren</w:t>
      </w:r>
      <w:r>
        <w:rPr>
          <w:rFonts w:ascii="arial" w:eastAsia="arial" w:hAnsi="arial" w:cs="arial"/>
          <w:color w:val="000000"/>
          <w:sz w:val="20"/>
          <w:lang w:val="en-US" w:eastAsia="en-US" w:bidi="ar-SA"/>
        </w:rPr>
        <w:t>" means an audible siren, signal bell or exhaust whistle;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pursuit</w:t>
      </w:r>
      <w:r>
        <w:rPr>
          <w:rFonts w:ascii="arial" w:eastAsia="arial" w:hAnsi="arial" w:cs="arial"/>
          <w:color w:val="000000"/>
          <w:sz w:val="20"/>
          <w:lang w:val="en-US" w:eastAsia="en-US" w:bidi="ar-SA"/>
        </w:rPr>
        <w:t xml:space="preserve">" means the driving of an emergency vehicle by a peace officer while exercising the privileges granted by section 122(1)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for the purpose of apprehending another person who refuses to stop as directed by a peace officer and attempts to evade apprehension.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 This regulation establishes the circumstances and conditions that apply to the exercise of the privileges granted by section 122 (1)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Pursuit by police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To engage in or continue a pursuit, a peace officer must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have an emergency light and siren activated,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have reasonable grounds to believe that</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or a passenger in the vehicle being or [about] to be pursued has committed, is committing or is about to commit an offence, and</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seriousness of the offence and the need for immediate apprehension outweigh the risk to the safety of members of the public that may be created by the pursuit.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Emergency response by peace officer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A peace officer operating an emergency vehicle for purposes other than pursuit may exercise the privileges granted by section 122(1)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if</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peace officer has reasonable grounds to believe that the risk of harm to members of the public from the exercise of those privileges is less than the risk of harm to members of the public should those privileges not be exercised,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peace officer operates the following emergency equipment, as applicable:</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exercise of privileges described in section 122(1)(a) to (c)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an emergency light and siren;</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exercise of privileges described in section 122(1)(d) of the ...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an emergency light or an emergency light and siren.</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Having determined that there are reasonable grounds referred to in subsection (1)(a), the peace officer referred to in subsection (1) may, in the following circumstances, exercise any of the privileges granted by section 122(1)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without operating an emergency light and siren or by operating an emergency light alone:</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peace officer is responding to an incident and has reasonable grounds to believe that an offence has been, is being or is about to be committed and that the risk of harm to members of the public entailed in operating an emergency siren or an emergency light and siren, as the case may be, outweighs the risk of harm to members of the public entailed in not operating them;</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peace officer is engaged in the lawful execution of his or her duty other than as described in paragraph (a) or section 3 and has reasonable grounds to believe that it is safe to operate the emergency vehicle without operating an emergency siren or an emergency light and siren, as the case may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That is the extent of the statutory quotation.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With that backdrop, let me return to the facts of the matter at bar. As described, the plaintiff was southbound in lane number 2 operating a marked police vehicle. Mr. Sigouin was following in the same lane at approximately 80 kilometres per hour or slightly in excess of that. The plaintiff detected the northbound speeder and decided that he was going to stop the driver and take enforcement action. The first step that he took was to turn on all of the emergency lights of his vehicle, including an overhead light bar, a light bar situated inside the vehicle on the rear shelf or deck and visible through the rear passenger window, as well as strobe lights located at the corners of the vehicle and in the vehicle's side-view mirrors. It is unclear on the evidence at what precise point the emergency lights were activated. I conclude that it was probably several seconds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event occurred near midday when road conditions were good and there were no lighting or visibility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no time did the plaintiff activate his police vehicle's siren.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To be clear, his intention was to make a U-turn at the intersection and then to follow and apprehend the speeder.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would observe that the rear-turn signals of the police car were of quite limited utility in these particular circumstances. While they were flashing to indicate an emergency vehicle that was engaged in some emergency or hazardous activity, there was no meaningful signal being displayed of any intent to turn to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With respect to situational awareness, it is evident that the plaintiff was focused on the oncoming speeder and other traffic approaching from the south. However, I am satisfied that he was not properly aware of the fact that the defendant was following behind him as closely as he was. He should have been cognizant of that both by observations in his mirrors and by making a shoulder check before starting his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If the plaintiff had been aware of the defendant's presence and proximity, I am sure he would not have initiated the left-turn as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Insofar as the application of s. 122 and the related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are of concern, it is my finding that the plaintiff was engaged in the initial step or stage of a pursuit as defined by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He had determined that the driver of the oncoming pickup truck was in violation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speeding or excessive speeding, and the plaintiff intended to turn around for the purpose of apprehending or stopping that motorist. Accordingly, s. 3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has application to the matter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It is of significance to this matter that the plaintiff had his emergency lights engaged, but was not sounding his siren. As a careful examination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makes apparent, where the operator of the emergency vehicle is performing certain functions, namely, stopping or standing, it is sufficient to display emergency lights and it is not necessary that the siren be sounded. For otherwise illegal maneuvers, to fall within the protection of the legislation, it is necessary that both the lights be engaged and the siren activated.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advances the submission that the activity which he was engaged in at the time of the event was "stopping or standing". That is, to my mind, not tenable.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understanding stopping or standing to be where the emergency vehicle is stopped or parked in some unconventional or extraordinary location in the course of performing some act related to the emergency function, for example, stopping on the travelled portion of the roadway, but being there in a passive or non-moving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 police vehicle may also be protected under the legislation despite not engaging the siren if there was an operational need for stealth or where the officer reasonably believed it is safe to operate without the siren or the lights and siren. The plaintiff did not offer testimony that would have brought this provision into issue. Nor, in my view, do the circumstances support a finding that this exception applies in the matter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short, then,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requires that the emergency vehicle have both the emergency light and siren activated while engaged in any of the dynamic activities that are set out in s. 122(1). The plaintiff had not activated his siren in performing this maneuver.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the result, I conclude that the circumstances at bar do not permit the plaintiff to bring himself within those special privileges or protection afforded by s. 122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That, however, is not the end of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Section 177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sets out the steps a driver must take to yield to an emergency vehicle. It says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immediate approach of an emergency vehicle giving an audible signal by a bell, siren or exhaust whistle, and showing a visible flashing red light, except when otherwise directed by a peace officer, a driver must yield the right of way, and immediately drive to a position parallel to and as close as possible to the nearest edge or curb of the roadway, clear of an intersection, and stop and remain in that position until the emergency vehicle has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While that provision, construed carefully, appears to impose that obligation where the emergency vehicle is approaching from either ahead or behind, the notion that a similar yielding response would be given in a situation where a driver is proceeding along a highway and comes up behind such a vehicle seems obvious.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all driving situations, the standard of care imposed is that of a prudent driver acting in compliance with the applicable motor vehicle legislation. In the present case, the defendant Mr. Sigouin did not meet that standard. Despite the fact that the police car did not have his siren activated, this standard would appear to require that Mr. Sigouin would react safely to other cars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Precisely why Mr. Sigouin did not pull over safely is unclear. The best explanation that can be gleaned from the evidence is that he was not paying sufficient attention to the circumstances as he drove along and, when he became aware of the situation, that is, that the police car travelling ahead of him in his own lane was displaying emergency lights and slowing markedly, he was unable to react in a safe way. He was driving a fairly heavily-loaded commercial van and he was towing a trailer which was not equipped with operating brakes. His visibility to the rear and to the right were limited. In order to avoid coming into collision with the police car, he executed what was basically an emergency maneuver. He swung out to the left and into the left-turn bay in order to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Section 162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requires that a driver must allow a following distance that is reasonable and prudent with regard to the other vehicles on the road and the condition of the highway. Section 144 requires that drivers operate their vehicles with due care and attention and with reasonable consideration for other persons using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Those too are standards of care that are imposed upon motor vehicle drivers. Those are standards that Mr. Sigouin in this case failed to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find that he was not driving with sufficient care and attention and thus he found himself too close to react safely. That seems attributable to a combination of following too closely and a degree of inattention.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Conclusions Respecting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It is my conclusion that Mr. Sigouin was not paying sufficient attention as he was driving and that he was positioned too close behind the police car, taking into account the speed and the limited maneuverability of his vehicle. By the time he recognized the necessity to react to the police car slowing in his lane, it was too late to safely slow down behind that vehicle. As a result, he was forced into an emergency maneuver which entailed passing the police vehicle. He did not believe it was safe to pass on the right and so he elected to pass on the left which necessitated him moving into the left-turn bay to get past the police car. It is clear that he did not see the flashing emergency lights and react to them in a timely and responsive way. My conclusion that he was not paying sufficient attention is buttressed by the fact that the vehicle he evidently failed to notice was a prominently marked police car displaying flashing lights. It is clear from the evidence that Mr. Sigouin knew that this was a police car because he testified that he made that observation a short time earlier and that he took measures to situate himself so that he was travelling behind that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for the plaintiff, he initiated a turn, essentially a U-turn, from the number 2 lane. He satisfied himself that could be done safely with respect to the oncoming traffic. However, he appears not to have appreciated that his maneuver could not be safely executed because there was another vehicle following fairly close behind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Further, he initiated his maneuver not from the left-turn bay, but rather from the number 2 lane, a position which made it less apparent that he was going to turn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accept that the plaintiff was displaying his emergency lights and it would be apparent to any other motorist that he was engaged in some sort of official emergent duties on the roadway. As I indicated earlier, other drivers are expected to yield to such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However, it is abundantly clear from the legislation that displaying emergency equipment, whether lights or lights and siren, does not afford a shield of invincibility or absolute right. Even when an emergency vehicle has that equipment fully deployed, there is an overriding obligation on the operator of the emergency vehicle to ensure that any driving activity be conducted in a safe fashion </w:t>
      </w:r>
      <w:r>
        <w:rPr>
          <w:rFonts w:ascii="arial" w:eastAsia="arial" w:hAnsi="arial" w:cs="arial"/>
          <w:i/>
          <w:color w:val="000000"/>
          <w:sz w:val="20"/>
          <w:lang w:val="en-US" w:eastAsia="en-US" w:bidi="ar-SA"/>
        </w:rPr>
        <w:t>vis-à-vis</w:t>
      </w:r>
      <w:r>
        <w:rPr>
          <w:rFonts w:ascii="arial" w:eastAsia="arial" w:hAnsi="arial" w:cs="arial"/>
          <w:color w:val="000000"/>
          <w:sz w:val="20"/>
          <w:lang w:val="en-US" w:eastAsia="en-US" w:bidi="ar-SA"/>
        </w:rPr>
        <w:t xml:space="preserve"> other persons on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the present case, that required the plaintiff to be sure that his U-turn could be executed in safety. He ought to have been aware of the fact that the defendant's vehicle was following him, fairly close behind; he ought to have checked behind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It is evident that he did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the circumstances, I find that both of the drivers, the plaintiff and the defendant Mr. Sigouin, were negligent in this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for allocation of fault, I find each to be similarly responsible, and I apportion liability equally, that is, 50 percent for each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seeks to recover damages under two heads, non-pecuniary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parties have agreed with respect to special damages and the quantum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for the non-pecuniary damages, the plaintiff conceded, quite fairly, that the physical injuries which he sustained were relatively minor and resolved within a short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He also testified as to having experienced some emotional trauma from the event and testified that he sought counselling. He met with a counsellor on one occasion and found that she provided him with tools or coping strategies that have been useful for him. Any lingering effect in this regard is fairly minimal.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principal injury he sustained is tinnitus. That was described by the plaintiff in his testimony. He also tendered a medical-legal report of his general practitioner, who testified at trial. Additionally, the plaintiff was examined by Dr. Desmond Bell. He is an otologist who specializes in the medical and surgical treatment of ear diseases. He has provided a report which is dated February 22, 2013. I find that to be a clear and succinct description of the plaintiff's condition and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Bell concludes that the accident caused a condition of tinnitus which is relatively mild. He believes that the condition is likely permanent, but should be less bothersome with the passage of time. He says that the condition should not interfere with the plaintiff's present or future job or activities as he gradually becomes used to it. He opines that there is no vocational disability associated with the condition. At one point in his opinion, he described the condition as a nuisance, observing that it should not interfere with the ability to perform the job or participate in recreational or social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his report, Dr. Bell says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put the tinnitus in perspective I offered the following explanation. I reassured him that it was a mild and benign symptom and would do him no harm. Rather than become worse with time it will almost certainly become less noticeable. It is a common symptom affecting approximately 15% of people over the age of 45. It is aggravated by noise exposure which, for him, is a practical consideration. He needs to be careful to use sound protection when doing his annual recalibration tests. He will notice that he does not hear the tinnitus when he is in "mentally preoccupied" or when there is noise around. From a practical point of view it is uncommon to be in a perfectly silent environment. The use of his earplugs (to get his daytime sleep) does create a silent atmosphere, which is why he notices the tinnitus more at that time. It would be helpful if he could learn to sleep without using these earplugs as he would be less aware of the tinnitus. It is also important that he not "focus on it" and tries to regard it as a minor nuisance. If he can adopt this attitude over time he will effectively "become inured to it". There is no effective medical or surgical treatment to remove it and his tinnitus is not severe enough to justify the use of maskers. The best treatment is a thorough explanation as to the causation as well as reassurance that it is benign and harmless.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It is my conclusion that the injuries that were suffered by the plaintiff consisted of relatively minor soft tissue injuries which resolved in short order. He also experienced some psychological distress which was addressed by counselling. Finally, he now suffers from the tinnitus condition as described. That has caused him some discomfort and distress in his everyday life, particularly with respect to his ability to sleep and when listening to TV and recorded music. The indications are that the effect is not acute and that the condition will lessen with the passage of time. It does not meaningfully interfere with his work or his recreational and social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plaintiff's counsel has provided a number of cases, decisions of this Court and the Court of Appeal, dealing with an appropriate quantum of damages where the plaintiff sustained an injury resulting in tinnitus. Three of those cases are </w:t>
      </w:r>
      <w:r>
        <w:rPr>
          <w:rFonts w:ascii="arial" w:eastAsia="arial" w:hAnsi="arial" w:cs="arial"/>
          <w:i/>
          <w:color w:val="000000"/>
          <w:sz w:val="20"/>
          <w:lang w:val="en-US" w:eastAsia="en-US" w:bidi="ar-SA"/>
        </w:rPr>
        <w:t>White v. Nuraney</w:t>
      </w:r>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2000 BCCA 536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Yang v. Chan</w:t>
      </w:r>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2012 BCSC 1753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Wagner v. Narang</w:t>
      </w:r>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2003 BCSC 1750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plaintiff relies upon the decision of Justice Braidwood in </w:t>
      </w:r>
      <w:r>
        <w:rPr>
          <w:rFonts w:ascii="arial" w:eastAsia="arial" w:hAnsi="arial" w:cs="arial"/>
          <w:i/>
          <w:color w:val="000000"/>
          <w:sz w:val="20"/>
          <w:lang w:val="en-US" w:eastAsia="en-US" w:bidi="ar-SA"/>
        </w:rPr>
        <w:t>White v. Nuraney</w:t>
      </w:r>
      <w:r>
        <w:rPr>
          <w:rFonts w:ascii="arial" w:eastAsia="arial" w:hAnsi="arial" w:cs="arial"/>
          <w:color w:val="000000"/>
          <w:sz w:val="20"/>
          <w:lang w:val="en-US" w:eastAsia="en-US" w:bidi="ar-SA"/>
        </w:rPr>
        <w:t>. In that judgment, there appears to be discussion of a range of damages for tinnitus conditions. Justice Braidwood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somewhat difficult to pinpoint an exact "range" for tinnitus awards, since plaintiffs always suffer the injury in conjunction with other (often more serious) injuries. However, the range for non-pecuniary damages seems to extend from $20,000 to $90,000 depending on whether there are other injuries present. Perhaps the bottom end of this range, when adjusted for inflation, is now in the neighbourhood of $35,000. At any rate, the jury award in this case of $55,000 is not "inordinately low" and, following the traditional test, this Court cannot interfere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That was a decision in 2003. In the submission of the plaintiff, the bottom of the range once adjusted for inflation is in the approximate amount of $42,785.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plaintiff also relies on </w:t>
      </w:r>
      <w:r>
        <w:rPr>
          <w:rFonts w:ascii="arial" w:eastAsia="arial" w:hAnsi="arial" w:cs="arial"/>
          <w:i/>
          <w:color w:val="000000"/>
          <w:sz w:val="20"/>
          <w:lang w:val="en-US" w:eastAsia="en-US" w:bidi="ar-SA"/>
        </w:rPr>
        <w:t>Yang v. Chan</w:t>
      </w:r>
      <w:r>
        <w:rPr>
          <w:rFonts w:ascii="arial" w:eastAsia="arial" w:hAnsi="arial" w:cs="arial"/>
          <w:color w:val="000000"/>
          <w:sz w:val="20"/>
          <w:lang w:val="en-US" w:eastAsia="en-US" w:bidi="ar-SA"/>
        </w:rPr>
        <w:t xml:space="preserve"> where a 58-year-old plaintiff was found to be suffering from tinnitus unlikely to resolve along with soft tissue injuries that affected him for six months. The court awarded damages there of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Additionally, the plaintiff relies upon the decision in </w:t>
      </w:r>
      <w:r>
        <w:rPr>
          <w:rFonts w:ascii="arial" w:eastAsia="arial" w:hAnsi="arial" w:cs="arial"/>
          <w:i/>
          <w:color w:val="000000"/>
          <w:sz w:val="20"/>
          <w:lang w:val="en-US" w:eastAsia="en-US" w:bidi="ar-SA"/>
        </w:rPr>
        <w:t>Wagner v. Narang</w:t>
      </w:r>
      <w:r>
        <w:rPr>
          <w:rFonts w:ascii="arial" w:eastAsia="arial" w:hAnsi="arial" w:cs="arial"/>
          <w:color w:val="000000"/>
          <w:sz w:val="20"/>
          <w:lang w:val="en-US" w:eastAsia="en-US" w:bidi="ar-SA"/>
        </w:rPr>
        <w:t xml:space="preserve"> where a 48-year-old plaintiff suffered from post-traumatic stress syndrome of a mild to moderate severity for approximately two years. In addition, there were soft tissue injuries which took some time to resolve and which left a condition of some chronic pain. There, non-pecuniary damages of $70,000 were awarded. I note that was a 2012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defendants in this matter urge a different view. Counsel note that the plaintiff has not received physiotherapy or other treatment as a result of the incident, no medications were prescribed, and there is no indication that the plaintiff was required to pay any number of visits to his family doctor as a consequence of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the submission of the defendants, the range of non-pecuniary damages is properly between $10,000 and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Quantifying an appropriate award of damages entails a number of considerations starting with the actual injuries sustained and taking into account a range of factors which deal with the manner in which the injuries affected and continue to affect the plaintiff. A non-exhaustive list of those considerations was set out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and I have taken those into consideration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Although there may be some dispute as to whether there is a clearly recognized range of damages for a plaintiff who incurred a condition of tinnitus, I am satisfied that there is an established basis upon which this condition has been recognized and its seriousness is reflected in awards in similar situations.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It is my view that the awards in </w:t>
      </w:r>
      <w:r>
        <w:rPr>
          <w:rFonts w:ascii="arial" w:eastAsia="arial" w:hAnsi="arial" w:cs="arial"/>
          <w:i/>
          <w:color w:val="000000"/>
          <w:sz w:val="20"/>
          <w:lang w:val="en-US" w:eastAsia="en-US" w:bidi="ar-SA"/>
        </w:rPr>
        <w:t>Yang</w:t>
      </w:r>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Wagner</w:t>
      </w:r>
      <w:r>
        <w:rPr>
          <w:rFonts w:ascii="arial" w:eastAsia="arial" w:hAnsi="arial" w:cs="arial"/>
          <w:color w:val="000000"/>
          <w:sz w:val="20"/>
          <w:lang w:val="en-US" w:eastAsia="en-US" w:bidi="ar-SA"/>
        </w:rPr>
        <w:t xml:space="preserve"> are not particularly useful in determining the correct quantum in the matter at bar. In each of those, in addition to the tinnitus, there were other significant injuries and effects that are not present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my view, an appropriate quantum of non-pecuniary damages in the present matter is $42,000.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addition, special damages in the amount of $392.69 are awarded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Those awards of damages are, of course, subject to the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has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the final analysis, the plaintiff is entitled to recover the sum of $21,186.35.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There were no submissions made with respect to costs. In the absence of anything of which I am unaware, the plaintiff is entitled to recover his costs. In the event there are matters not known to me which impact upon that issue and counsel are not able to agree, arrangements should be made to have the matter brought back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J.W. WILLIAMS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7"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00"/>
          <w:headerReference w:type="default" r:id="rId601"/>
          <w:footerReference w:type="even" r:id="rId602"/>
          <w:footerReference w:type="default" r:id="rId603"/>
          <w:headerReference w:type="first" r:id="rId604"/>
          <w:footerReference w:type="first" r:id="rId60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06" w:history="1">
        <w:r>
          <w:rPr>
            <w:rFonts w:ascii="arial" w:eastAsia="arial" w:hAnsi="arial" w:cs="arial"/>
            <w:b/>
            <w:bCs/>
            <w:i/>
            <w:color w:val="0077CC"/>
            <w:kern w:val="32"/>
            <w:sz w:val="28"/>
            <w:szCs w:val="32"/>
            <w:u w:val="single"/>
            <w:shd w:val="clear" w:color="auto" w:fill="FFFFFF"/>
            <w:lang w:val="en-US" w:eastAsia="en-US" w:bidi="ar-SA"/>
          </w:rPr>
          <w:t>McMullin v. Trelenberg, [2020] B.C.J. No. 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Crerar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9-13,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20,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M145844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49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Marsha McMullin, Plaintiff, and Dale W. Trelenberg and Mainland Crane Service &amp; Trucking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8"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5" w:name="Keywords_22"/>
      <w:bookmarkEnd w:id="155"/>
      <w:r>
        <w:rPr>
          <w:rFonts w:ascii="arial" w:eastAsia="arial" w:hAnsi="arial" w:cs="arial"/>
          <w:b/>
          <w:color w:val="000000"/>
          <w:sz w:val="20"/>
          <w:lang w:val="en-US" w:eastAsia="en-US" w:bidi="ar-SA"/>
        </w:rPr>
        <w:t xml:space="preserve">Damages — Physical and psychological injuries — Physical injuries — Body injuries — Back and spine — Neck — Whiplash — Head injuries — Headaches — Fibromyalgia or chronic pain — Considerations impacting on award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40-year-old plaintiff for damages for personal injuries suffered in 2012 motor vehicle accident allowed in part — Plaintiff, distracted by another vehicle, entered intersection at full speed and collided with defendant's truck, which was turning left in front of her — Plaintiff, homemaker, suffered chronic neck and back pain and headaches — Liability was attributed equally between parties — Plaintiff was awarded $150,000 in non-pecuniary damages, $50,000 for loss of housekeeping capacity, $200,457 for costs of future care, and $32,477 for special damages — All damages were reduced by 50 per cent — Motor Vehicle Act, ss. 130, 174.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housekeeping ability — Special damages — Expenses and expenditures — Non-pecuniary loss — Pain and suffering — Action by 40-year-old plaintiff for damages for personal injuries suffered in 2012 motor vehicle accident allowed in part — Plaintiff, distracted by another vehicle, entered intersection at full speed and collided with defendant's truck, which was turning left in front of her — Plaintiff, homemaker, suffered chronic neck and back pain and headaches — Liability was attributed equally between parties — Plaintiff was awarded $150,000 in non-pecuniary damages, $50,000 for loss of housekeeping capacity, $200,457 for costs of future care, and $32,477 for special damages — All damages were reduced by 50 per cent — Motor Vehicle Act, ss. 130, 174.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Rules of the road — Careless driving — Turns — Left turn at intersection — Yielding — Liability — Civil actions — Breach of rules of the road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40-year-old plaintiff for damages for personal injuries suffered in 2012 motor vehicle accident allowed in part — Plaintiff, distracted by another vehicle, entered intersection at full speed and collided with defendant's truck, which was turning left in front of her — Plaintiff, homemaker, suffered chronic neck and back pain and headaches — Liability was attributed equally between parties — Plaintiff was awarded $150,000 in non-pecuniary damages, $50,000 for loss of housekeeping capacity, $200,457 for costs of future care, and $32,477 for special damages — All damages were reduced by 50 per cent — Motor Vehicle Act, ss. 130, 174.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6" w:name="Case Summary_21"/>
            <w:bookmarkEnd w:id="15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40-year-old plaintiff for damages for personal injuries suffered in a motor vehicle accident in 2012. The plaintiff, distracted by a vehicle behind her, entered an intersection at full speed and collided with the defendant's semitrailer truck, which was turning left in front of her. The defendant testified he entered the intersection when his dedicated turn arrow had turned yellow. He did not see the plaintiff's vehicle when he started the turn. The accident caused soft tissue injuries to the plaintiff's neck and low back and headaches that had become chronic. The plaintiff had received physiotherapy, chiropractic treatments, acupuncture, and treatment at a pain clinic. Pre-accident, the plaintiff, a stay-at-home mother, suffered chronic pelvic pain and occasional headaches. After the accident, the plaintiff had given up playing the guitar and painting. She had become sedentary and experienced anxiety. She struggled with all household chores.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7" w:name="Holdings of Court_21"/>
            <w:bookmarkEnd w:id="157"/>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Both drivers were negligent and partly to blame for the accident. The plaintiff was obliged to yield the right of way to the defendant's turning truck. The defendant could have waited to complete his turn. He could have avoided the accident by exercising greater care. Liability was attributed equally between the parties. The plaintiff's ongoing chronic pain had deprived her of most of the pleasures and independence in her life. The plaintiff's non-pecuniary damages were assessed at $150,000. Her loss of housekeeping capacity was fixed at $50,000. Her costs of future care were fixed at $200,457, which included future massage therapy, cannabis and fentanyl prescriptions. Her special damages were fixed at $32,477. All damages were reduced by 50 per cent, to reflect apportionment of liability, for a total damages award of $216,707.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8" w:name="Legislation Cited_15"/>
      <w:bookmarkEnd w:id="15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9"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Motor Vehicle Act, R.S.B.C. 1979, c. 288, s. 135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607" w:history="1">
        <w:r>
          <w:rPr>
            <w:rFonts w:ascii="arial" w:eastAsia="arial" w:hAnsi="arial" w:cs="arial"/>
            <w:i/>
            <w:color w:val="0077CC"/>
            <w:sz w:val="20"/>
            <w:u w:val="single"/>
            <w:shd w:val="clear" w:color="auto" w:fill="FFFFFF"/>
            <w:lang w:val="en-US" w:eastAsia="en-US" w:bidi="ar-SA"/>
          </w:rPr>
          <w:t>R.S.B.C. 1996, c. 318, s. 127</w:t>
        </w:r>
      </w:hyperlink>
      <w:r>
        <w:rPr>
          <w:rFonts w:ascii="arial" w:eastAsia="arial" w:hAnsi="arial" w:cs="arial"/>
          <w:color w:val="000000"/>
          <w:sz w:val="20"/>
          <w:lang w:val="en-US" w:eastAsia="en-US" w:bidi="ar-SA"/>
        </w:rPr>
        <w:t>, s. 127(1)(a) (iii), s. 128, s. 130, s. 130(2), s. 130(2)(b), s. 144, s. 158, s. 174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241" w:history="1">
        <w:r>
          <w:rPr>
            <w:rFonts w:ascii="arial" w:eastAsia="arial" w:hAnsi="arial" w:cs="arial"/>
            <w:i/>
            <w:color w:val="0077CC"/>
            <w:sz w:val="20"/>
            <w:u w:val="single"/>
            <w:shd w:val="clear" w:color="auto" w:fill="FFFFFF"/>
            <w:lang w:val="en-US" w:eastAsia="en-US" w:bidi="ar-SA"/>
          </w:rPr>
          <w:t>R.S.B.C. 1996, c. 333, s. 1</w:t>
        </w:r>
      </w:hyperlink>
      <w:r>
        <w:rPr>
          <w:rFonts w:ascii="arial" w:eastAsia="arial" w:hAnsi="arial" w:cs="arial"/>
          <w:sz w:val="20"/>
          <w:lang w:val="en-US" w:eastAsia="en-US" w:bidi="ar-SA"/>
        </w:rPr>
        <w:cr/>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Physical and psychological injuries — Physical injuries — Body injuries — Back and spine — Neck — Whiplash — Head injuries — Headaches — Fibromyalgia or chronic pain — Considerations impacting on award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40-year-old plaintiff for damages for personal injuries suffered in 2012 motor vehicle accident allowed in part — Plaintiff, distracted by another vehicle, entered intersection at full speed and collided with defendant's truck, which was turning left in front of her — Plaintiff, homemaker, suffered chronic neck and back pain and headaches — Liability was attributed equally between parties — Plaintiff was awarded $150,000 in non-pecuniary damages, $50,000 for loss of housekeeping capacity, $200,457 for costs of future care, and $32,477 for special damages — All damages were reduced by 50 per cent — Motor Vehicle Act, ss. 130, 174.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housekeeping ability — Special damages — Expenses and expenditures — Non-pecuniary loss — Pain and suffering — Action by 40-year-old plaintiff for damages for personal injuries suffered in 2012 motor vehicle accident allowed in part — Plaintiff, distracted by another vehicle, entered intersection at full speed and collided with defendant's truck, which was turning left in front of her — Plaintiff, homemaker, suffered chronic neck and back pain and headaches — Liability was attributed equally between parties — Plaintiff was awarded $150,000 in non-pecuniary damages, $50,000 for loss of housekeeping capacity, $200,457 for costs of future care, and $32,477 for special damages — All damages were reduced by 50 per cent — Motor Vehicle Act, ss. 130, 174.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Rules of the road — Careless driving — Turns — Left turn at intersection — Yielding — Liability — Civil actions — Breach of rules of the road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40-year-old plaintiff for damages for personal injuries suffered in 2012 motor vehicle accident allowed in part — Plaintiff, distracted by another vehicle, entered intersection at full speed and collided with defendant's truck, which was turning left in front of her — Plaintiff, homemaker, suffered chronic neck and back pain and headaches — Liability was attributed equally between parties — Plaintiff was awarded $150,000 in non-pecuniary damages, $50,000 for loss of housekeeping capacity, $200,457 for costs of future care, and $32,477 for special damages — All damages were reduced by 50 per cent — Motor Vehicle Act, ss. 130, 174.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40-year-old plaintiff for damages for personal injuries suffered in a motor vehicle accident in 2012. The plaintiff, distracted by a vehicle behind her, entered an intersection at full speed and collided with the defendant's semitrailer truck, which was turning left in front of her. The defendant testified he entered the intersection when his dedicated turn arrow had turned yellow. He did not see the plaintiff's vehicle when he started the turn. The accident caused soft tissue injuries to the plaintiff's neck and low back and headaches that had become chronic. The plaintiff had received physiotherapy, chiropractic treatments, acupuncture, and treatment at a pain clinic. Pre-accident, the plaintiff, a stay-at-home mother, suffered chronic pelvic pain and occasional headaches. After the accident, the plaintiff had given up playing the guitar and painting. She had become sedentary and experienced anxiety. She struggled with all household chores.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Both drivers were negligent and partly to blame for the accident. The plaintiff was obliged to yield the right of way to the defendant's turning truck. The defendant could have waited to complete his turn. He could have avoided the accident by exercising greater care. Liability was attributed equally between the parties. The plaintiff's ongoing chronic pain had deprived her of most of the pleasures and independence in her life. The plaintiff's non-pecuniary damages were assessed at $150,000. Her loss of housekeeping capacity was fixed at $50,000. Her costs of future care were fixed at $200,457, which included future massage therapy, cannabis and fentanyl prescriptions. Her special damages were fixed at $32,477. All damages were reduced by 50 per cent, to reflect apportionment of liability, for a total damages award of $216,707.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keepNext/>
        <w:spacing w:before="240" w:line="34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0" style="position:absolute;z-index:2517852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Motor Vehicle Act, R.S.B.C. 1979, c. 288, s. 135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607" w:history="1">
        <w:r>
          <w:rPr>
            <w:rFonts w:ascii="arial" w:eastAsia="arial" w:hAnsi="arial" w:cs="arial"/>
            <w:i/>
            <w:color w:val="0077CC"/>
            <w:sz w:val="20"/>
            <w:u w:val="single"/>
            <w:shd w:val="clear" w:color="auto" w:fill="FFFFFF"/>
            <w:lang w:val="en-US" w:eastAsia="en-US" w:bidi="ar-SA"/>
          </w:rPr>
          <w:t>R.S.B.C. 1996, c. 318, s. 127</w:t>
        </w:r>
      </w:hyperlink>
      <w:r>
        <w:rPr>
          <w:rFonts w:ascii="arial" w:eastAsia="arial" w:hAnsi="arial" w:cs="arial"/>
          <w:color w:val="000000"/>
          <w:sz w:val="20"/>
          <w:lang w:val="en-US" w:eastAsia="en-US" w:bidi="ar-SA"/>
        </w:rPr>
        <w:t>, s. 127(1)(a) (iii), s. 128, s. 130, s. 130(2), s. 130(2)(b), s. 144, s. 158, s. 174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241" w:history="1">
        <w:r>
          <w:rPr>
            <w:rFonts w:ascii="arial" w:eastAsia="arial" w:hAnsi="arial" w:cs="arial"/>
            <w:i/>
            <w:color w:val="0077CC"/>
            <w:sz w:val="20"/>
            <w:u w:val="single"/>
            <w:shd w:val="clear" w:color="auto" w:fill="FFFFFF"/>
            <w:lang w:val="en-US" w:eastAsia="en-US" w:bidi="ar-SA"/>
          </w:rPr>
          <w:t>R.S.B.C. 1996, c. 333, s. 1</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9" w:name="Counsel_23"/>
      <w:bookmarkEnd w:id="15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1" style="position:absolute;z-index:251835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Christopher Doll,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J. Cameron McKechnie.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0" w:name="Judgment_23"/>
      <w:bookmarkEnd w:id="160"/>
      <w:r>
        <w:pict>
          <v:line id="_x0000_s1142" style="position:absolute;z-index:2518784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1" w:name="CRERAR J."/>
            <w:bookmarkEnd w:id="161"/>
            <w:r>
              <w:rPr>
                <w:rFonts w:ascii="arial" w:eastAsia="arial" w:hAnsi="arial" w:cs="arial"/>
                <w:b/>
                <w:color w:val="000000"/>
                <w:sz w:val="30"/>
                <w:lang w:val="en-US" w:eastAsia="en-US" w:bidi="ar-SA"/>
              </w:rPr>
              <w:t>CRERAR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trial arises from an accident that occurred on November 29, 2012 at the intersection of 200th Street and 92A Avenue in Langley, between the plaintiff's 2002 Dodge Caravan mini-van and the defendant's 2007 Western Star truck and trailer (the "</w:t>
      </w:r>
      <w:r>
        <w:rPr>
          <w:rFonts w:ascii="arial" w:eastAsia="arial" w:hAnsi="arial" w:cs="arial"/>
          <w:b/>
          <w:color w:val="000000"/>
          <w:sz w:val="20"/>
          <w:lang w:val="en-US" w:eastAsia="en-US" w:bidi="ar-SA"/>
        </w:rPr>
        <w:t>accident</w:t>
      </w:r>
      <w:r>
        <w:rPr>
          <w:rFonts w:ascii="arial" w:eastAsia="arial" w:hAnsi="arial" w:cs="arial"/>
          <w:color w:val="000000"/>
          <w:sz w:val="20"/>
          <w:lang w:val="en-US" w:eastAsia="en-US" w:bidi="ar-SA"/>
        </w:rPr>
        <w:t>"; the "</w:t>
      </w:r>
      <w:r>
        <w:rPr>
          <w:rFonts w:ascii="arial" w:eastAsia="arial" w:hAnsi="arial" w:cs="arial"/>
          <w:b/>
          <w:color w:val="000000"/>
          <w:sz w:val="20"/>
          <w:lang w:val="en-US" w:eastAsia="en-US" w:bidi="ar-SA"/>
        </w:rPr>
        <w:t>intersection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actions leading to this accident occur a thousand times a day in British Columbia. For her part, the plaintiff was distracted and did not give full attention to the intersection that she approached at full speed. For his part, the defendant believed, but was not certain, that he could safely turn left at that intersection, and thus made the turn. In most cases, fortune shines, and these actions, individually or combined, elude consequences. In the present case, the combination of these actions inflicted injuries on the plaintiff that will likely cause her acute pain and deprive her of independent capabilities for the rest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Although both liability and quantum of damages are disputed, the parties largely agree on the facts, and are not far apart on the suggested ranges of damages if liability is found. They are to be commended for providing a substantial agreed statement of facts. Their primary disagreement concerns the colour of the advance left turn light at the intersection when the defendant started his left turn, and the legal consequences flowing from the acts and omissions of each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Although the evidence of the three witnesses to the accident differs, and although the evidence of each suffers from some internal inconsistency, this case does not turn primarily on credibility findings. All three witnesses presented as honest persons who were trying their best to present accurate recollections of split-second decisions and actions that occurred seven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Where these reasons prefer one account over another, it is based not upon a credibility finding in the sense of dishonesty, but a realistic assessment of the limitations of precise recollection in the circumstances, as well as an overall assessment of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Marsha McMullin, is a mother of three. At the time of the accident, she was 32 years old. She is now 40. Before the accident she was actively involved in her church. She was engaged in occasional employment in a range of creative services, including photography, painting, and newsletter and web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McMullin was a generally honest witness. I have accepted her evidence with respect to her injuries, and the effect of those injuries on her life. Insofar as there is any question as to her credibility, it arises from her distraction immediately before the accident, rather than any doubt that she was trying to tell the truth at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Dale Trelenberg is the owner and an employee of the defendant company. He has been driving trucks professionally for 40 years. At the time of the accident, his company owned two or three trucks. He was familiar driving the semi-trailer crane truck involved in the accident, although he drives it less often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Trelenberg was a laconic, straight-talking witness. He did not present as the kind of person who would be a reckless, incautious, aggressive, or bullying driver. He strove to provide accurate answers, even where it would have been easy to provide evidence more favourable to himself. As will be discussed in more detail below, seeming inconsistencies between his examination for discovery and trial evidence are readily explained by ambiguities in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accept that the corporate defendant is vicariously liable for whatever liability is ascribed to its principal, Mr Trelenberg.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Appendix A to these reasons, the final page of trial Exhibit 4, shows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intersection is roughly 2 kilometres south of the Golden Ears Bridge. 199A Street flows south from the bridge, and, after an S-curve, turns into 200th Street. Approximately 1 kilometre further south, through the intersection, 200th Street meets the Trans-Canada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east-west street in the intersection, 92A Avenue, has a single lane in each direction, each with a dedicated left-turn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north-south road in the intersection is 200th Street. Each direction has three through-lanes, with a dedicated left-turn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lane of importance to this case, the northbound dedicated left-turn lane, is long, starting about 100 metres south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North and south traffic are separated by a raised median in the centre of 200th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each direction, the curbside lane of 200th Street also has a bike lane. In each direction, the curbside lane of 200th Street splits off an additional lane for drivers turning right onto 92A Avenue. This split occurs before the intersection. The bike lane and the right turn lane are not directly relevant to this dispute, except insofar that a driver turning left, like Mr Trelenberg, must not only look out for oncoming 200th Street traffic, as well as traffic on 92A Avenue, but also right-turning traffic merging from the feeder lane, as well as pedestrians and bicycles, in deciding whether it is safe to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speed limit for the stretch of 200th Street leading to the intersection is 60 kilometres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intersection is bounded on each north-south side by a wide pedestrian crosswalk with twin white lines. The north-south stop line for the through traffic lanes, marked with a thicker white line, is about one car length back from the inside crosswalk boundary line. The stop line for the dedicated left-turn lane is just over a car length back from the main north-south stop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North-south traffic is controlled by three traffic light panels mounted on a long horizontal bar above the intersection, facing the approaching traffic opposite on each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Unfortunately, the Court was not provided any technical evidence of the display, timing, and duration of the traffic lights at the intersection that day. Such evidence would have been useful to the present case, especially where the recollection of the witnesses was potentially unreliable. Further and specifically, the evidence of the witnesses was not consistent with respect to whether a given light was a solid yellow or a flashing yellow, or a solid or flashing yellow arrow.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That said, based on the totality of the evidence and the general consensus of the parties, the relevant traffic light sequence for Mr Trelenberg's dedicated advance left-turn lane was as follows:</w:t>
      </w:r>
      <w:r>
        <w:rPr>
          <w:rFonts w:ascii="arial" w:eastAsia="arial" w:hAnsi="arial" w:cs="arial"/>
          <w:sz w:val="20"/>
          <w:lang w:val="en-US" w:eastAsia="en-US" w:bidi="ar-SA"/>
        </w:rPr>
        <w:cr/>
      </w:r>
    </w:p>
    <w:p>
      <w:pPr>
        <w:numPr>
          <w:numId w:val="1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flashing advance green left-turn arrow (when through traffic travelling the opposite direction sees a red light);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yellow light (likely a yellow arrow) (when through traffic travelling the opposite direction still sees a red light), to caution left-turning drivers that the advance left turn will soon end and that through traffic travelling the opposite direction will soon see a green light;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solid green light (when all north-south through traffic sees a green light, and when a left-turning vehicle must generally yield to that oncoming through traffic, but may turn left when safe, as in a regular intersection without dedicated advance left turn signals);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solid yellow light (signalling that a red light will soon appear to stop all northbound traffic, including the left-turn lane, and that east-west traffic will soon have the green light);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solid red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other words, the yellow light (likely an arrow) in this case was not followed by a solid red light, and did not signal to left-turning drivers that they were obliged to stop behind the stop line (if safe to do so). Instead, the yellow light or arrow warned left-turning drivers that the green light would soon illuminate in both directions, such as to invite oncoming traffic to flow through, and such that a driver who has proceeded into the intersection in anticipation of a left turn may have to wait until traffic is safe, or until the pre-red light yellow light illuminates, to complete the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Based on the overall evidence, I find that the yellow left-turn arrow was only illuminated for a few seconds before the green light illuminated to allow through traffic in both directions. The yellow left-turn arrow would have been illuminated for a period sufficient to allow an ordinary vehicle travelling at ordinary speed to complete its left turn within its pendency, but not a larger or slower vehicle.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accident occurred around mid-day. The weather was gray but clear. The road was slightly wet from rain earlier in the day.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Southbound 1: 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Ms McMullin, was driving southbound on 200th Street in her gray mini-van. She was travelling from her home in Port Coquitlam, over the Golden Ears Bridge, to a massage therapy appointment in Langley. She had often driven this route, and was familiar with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She travelled down the S-curve of 200th Street to the straightaway leading to the intersection. She drove in the curbside (westernmost, her far right)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She estimates her speed throughout to have been between 60 and 65 kilometres per hour, and that she was travelling at the speed of the traffic around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was traffic to her left, but she could not remember the specifics.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She said that she had a clear view of the intersection throughout her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she drove south on 200th Street, the plaintiff's attention was not solely on the intersection ahead. She was looking back in her rear view mirror, "keeping [her] eyes on" a yellow Volkswagen "bug" that was weaving over multiple lanes behind her. She said that she was anxious about the yellow Volkswagen as she had earlier in her life nearly been hit by an aggressively-driving drunk driver. She stated that she twice looked back in her rear view mirror at the yellow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When she was about half or three-quarters of a city block north of the intersection, she saw the defendant's truck in the turning lane opposite the intersection. The truck was still behind the opposite crosswalk, but was moving forward. She could not estimate the speed, but conceded that the truck was "not slow moving."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testified that at that time the light for her lane was solid green. She assumed that the truck would stop as she had the green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When she was approximately four car lengths from the intersection, she glanced up at her rear-view mirror to look again at the yellow Volkswagen. When her eyes returned forward towards the intersection, she was about two car lengths from the intersection. She saw that the truck had not stopped, but was continuing its turn into the intersection in front of her. She slammed on her brakes. Her van skidded forward and collided with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light of all of the evidence, it is likely that she was indeed "keeping her eyes on" the Volkswagen. This distraction likely went beyond two brief discrete glances, as she travelled south towards the intersection, and as she assessed the safety and condition of the intersection.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Southbound 2: Ms Wallin's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Wallin was the only non-party witness to the accident who testified.</w:t>
      </w:r>
      <w:bookmarkStart w:id="162"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162"/>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At the time of the accident Ms Wallin lived just a few blocks from the intersection. She was very familiar with it, crossing it on average twice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Wallin was driving her Mazda southbound from 96th Street. As she approached the intersection, she started slowing down, as the light was red for southbound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At about six car lengths north of the intersection, she saw the defendant's truck across the intersection in the dedicated left-turn lane, slowly moving forward. She saw the truck slowly enter the intersection and head toward its axel turning point a short distance into the intersection. The truck never made a full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Importantly, she and other southbound traffic still faced a red light when the truck started its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When she reached about three car lengths from the intersection, her light turned green. Instead of accelerating, she continued to slow down, as she saw that the defendant's truck was in the process of turning left (west) in the intersection onto 92A Avenue, in front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Suddenly, in her peripheral vision, she saw to her right (either in the curbside lane or the second lane) "a gray streak go by" her, towards the intersection. She described the plaintiff's vehicle as "flying by me." She thought to herself, of the plaintiff's vehicle, "why aren't they stopping? Oh my God: they're going to hit."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Wallin then saw the plaintiff's vehicle jam on its brakes. It skidded towards and struck the truck. She believed that the collision occurred near the back of the truck, but it could have been further towards the front. The plaintiff's vehicle went up in the air from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She describes her vantage point of the accident and the events leading to it as "a very clear view"; "crystal clear"; "I had front-row seats." Despite the passage of time since the accident, Ms Wallin believes that her memory has not faded, and that her vision of the accident remains "embedded in my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found Ms Wallin's evidence to be the most objective and reliable. I place great stock in her testimony. She was a disinterested party: her sole objective was to recount what she saw to the best of her ability. She was extremely familiar with the intersection. She was the antithesis of distracted: slowing down as she focused on the intersection. The very reason she was slowing down was because she saw the truck clearly. She did in fact have the best possible view of the accident and the parties. Her description of the accident was vivid. It was a dramatic occurrence that occurred right in front of her: one that naturally would be remembered.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specifically accept Ms Wallin's testimony that the southbound light had only just turned green as she (and for that matter, Ms McMullin) neared the intersection. Her focused assessment and recollection of the timing of the lights and the timing of Mr Trelenberg's turn were more reliable than that of the distracted Ms McMullin.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That said, her evidence was not flawless. In cross-examination she was presented with the witness statement that she signed in August 2014. That witness statement contained some inconsistent and unlikely estimates of her own speed. The attached diagram failed to show the dedicated left-turn lanes on 200th Street, and showed Ms McMullin in the second lane, rather than the curbside lane. That said, I note that the witness statement was signed 21 months after the accident, and that neither text nor the map were directly prepared by Ms Wallin herself. Further, numeric estimates of speed are notoriously imprecise. These minor inconsistencies in the witness statement do not take away from Ms Wallin's status as the most reliable witness at trial.</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Northbound: Mr Trelenberg's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We now turn to the perspective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Trelenberg was driving his four-axle rig northbound on 200th Street. His truck consisted of a semi-tractor, a folded central crane configuration, and an empty trailer that was just over the length as the width of the two large tires carrying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He had travelled from Chilliwack along the Trans-Canada Highway; he was taking the truck in for servicing about 3 kilometres away, on 96th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Trelenberg entered the dedicated left-turn lane at its mouth, about 100 metres south of the intersection. The light was red. Ahead of him in the lane several vehicles were stopped, waiting to turn left. He started to slow down in anticipation of stopping for the red light. But then the advance left-turn light turned from red to green; the left-turning traffic ahead of him started to flow and make their turns. Whether due to their distance ahead of his truck, or their relative speed, those left-turning vehicles had all completed their turns and cleared the intersection by the time Mr Trelenberg reached it. His truck was moving slowly down the left-turn lane towards the intersection. Accordingly, as he acknowledged, he was expecting the green left-turn arrow to soon change to yellow.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Throughout this process, Mr Trelenberg never made a full stop. He passed over the stop line for his dedicated left-turn lane. When the nose of his truck reached the southernmost white line of the crosswalk, the advance left-turn arrow turned yellow.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Trelenberg testified that when the light turned yellow, it was too late to stop on the crosswalk, given the weight of the truck. I accept his experienced assessment to be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He described his thought as he passed over the crosswalk as, "now I'm committed". He continued forward into the intersection, and then passed through the intersection with his westward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His decision to turn left likely occurred on a short stale yellow light, as he nosed forward past the crosswalk. He knew or ought to have known that the southbound through light would very soon turn green, and would turn green during the course of his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Conversely, when he started his left turn, southbound traffic, including Ms McMullin and Ms Wallin, faced a red light. Mr Trelenberg said that when he decided to turn and started the turn, the vehicles opposite him in the southbound lane were all stopped. He specifically remembers a transport truck (that is, a long semi-trailer) in the "centre" southbound lane opposite him being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At this point in the narrative, there were two seeming inconsistencies in the evidence of Mr Trelenberg.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First, there was a seemingly important but understandable discrepancy between the evidence of Mr Trelenberg and Ms Wallin. Ms Wallin testified that she was in the left (east) lane of the three southbound through lanes, and that she had a clear view of the plaintiff's vehicle as it sped past her to her right into the intersection, and collided with the plaintiff's truck. In contrast, Mr Trelenberg testified that the transport truck was in the "centre" southbound lane: either occupying the space claimed by Ms Wallin, or blocking her view westwards towards the curbside lane. This discrepancy can be reconciled. Given that there were in effect four southbound lanes (three through lanes and the dedicated left-turn lane), the phrase "centre" lane is ambiguous. I find that it is likely that Ms Wallin was in the second lane from the west (that is, beside the plaintiff's curbside lane); and the transport truck seen by Mr Trelenberg was in the third lane (that is, the easternmost of the two "centre" lanes, beside the dedicated southbound left-turn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Second, at trial, Mr Trelenberg testified that the light (i.e. arrow) turned yellow when the front of his truck was on the southern line of the crosswalk. His testimony at discovery was that the advance left-turn light turned yellow "upon crossing the stop line." I am satisfied that Mr Trelenberg's discovery phrase "upon crossing the stop line" did not mean "on the stop line" and was consistent with his trial testimony that he saw the light change approximately two car lengths further north of the stop line. I also accept that at trial he was describing the location of the front of the truck, while in discovery was describing the location of his own body in the truck cab at the time the light changed. In any case, his location was at best an approximation. As set out below, the legally significant question was whether he could have safely stopped his truck at the point the light turned yellow. Whether this occurred at the left turn stop line or at the crosswalk makes no difference to that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Returning to the narrative, I am satisfied that when Mr Trelenberg continued forward to initiate the turn, all of the southbound vehicles he was able to see across the intersection were still stopped. He genuinely thought that he could safely complete the turn. That said, given that the light turned yellow when he entered the intersection, and given the slow speed of his truck, he must have known that he would not complete the turn before the traffic light would turn green for the southbound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Trelenberg continued making the turn west. Given the size of the truck and its weight distribution, he had to slow down a little at the start of the turn, and then accelerate as the turn neared completion. Both he and Ms Wallin described this 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At this point, the front of his truck had almost reached the crosswalk on the west side of the intersection, and his truck was largely perpendicular to 200th Street. Suddenly, out of the corner of his eye, he saw a mini-van travelling straight at his truck into the intersection in the southbound curb lane. It was moving quickly. He saw that the driver was a woman with long dark hair. Her eyes were wide in panic.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collision came sooner than he had expected. He could do nothing to avoid the impact of the van, which smashed into the second tire of his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am satisfied that he did not see the plaintiff's vehicle, either due to the transport truck, or for another reason, when he started the turn. By the time he first saw her, he was unable to do anything to avoid the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aftermath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front right (driver's viewpoint) bumper and hood of the plaintiff's mini-van were crumpled in the collision. Both airbags deployed. She bumped her head. Items in the van flew through the air. She sat for a moment, stunned.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Both drivers left their vehicles. Mr Trelenberg went to see that the plaintiff was fine. The plaintiff testified that she said to Mr Trelenberg, "what the hell were you doing?," to which Mr Trelenberg responded, "I didn't see you. I didn't see you." In Mr Trelenberg's version, the plaintiff said to him in a raised voice: "you went through a red light," to which Mr Trelenberg did not respond.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McMullen spoke with first responders and the police. She was later driven to the hospital by her husband. She was released later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rules of the road set out in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(the "</w:t>
      </w:r>
      <w:r>
        <w:rPr>
          <w:rFonts w:ascii="arial" w:eastAsia="arial" w:hAnsi="arial" w:cs="arial"/>
          <w:b/>
          <w:color w:val="000000"/>
          <w:sz w:val="20"/>
          <w:lang w:val="en-US" w:eastAsia="en-US" w:bidi="ar-SA"/>
        </w:rPr>
        <w:t>MVA</w:t>
      </w:r>
      <w:r>
        <w:rPr>
          <w:rFonts w:ascii="arial" w:eastAsia="arial" w:hAnsi="arial" w:cs="arial"/>
          <w:color w:val="000000"/>
          <w:sz w:val="20"/>
          <w:lang w:val="en-US" w:eastAsia="en-US" w:bidi="ar-SA"/>
        </w:rPr>
        <w:t xml:space="preserve">") are the starting point, but not the end point, for the assessment of whether either party was negligent, and to what extent. In </w:t>
      </w:r>
      <w:r>
        <w:rPr>
          <w:rFonts w:ascii="arial" w:eastAsia="arial" w:hAnsi="arial" w:cs="arial"/>
          <w:i/>
          <w:color w:val="000000"/>
          <w:sz w:val="20"/>
          <w:lang w:val="en-US" w:eastAsia="en-US" w:bidi="ar-SA"/>
        </w:rPr>
        <w:t>Boyd v. Baldwin</w:t>
      </w:r>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2015 BCSC 887</w:t>
        </w:r>
      </w:hyperlink>
      <w:r>
        <w:rPr>
          <w:rFonts w:ascii="arial" w:eastAsia="arial" w:hAnsi="arial" w:cs="arial"/>
          <w:color w:val="000000"/>
          <w:sz w:val="20"/>
          <w:lang w:val="en-US" w:eastAsia="en-US" w:bidi="ar-SA"/>
        </w:rPr>
        <w:t xml:space="preserve"> at para. 59, Fitch J (as he then was) summarises the role of the MVA in the common law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determining whether, and to what extent, parties to an accident met their common law duties of care, a court will be informed by the rules of the road. While the rules of the road provide guidelines for assessing fault in motor vehicle accident cases, they do not, standing alone, provide a complete legal framework. As noted in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at para. 21, "[t]his is both because the rules of the road cannot comprehensively cover all possible scenarios, and because users of the road are expected to exercise reasonable care, even when others have failed to respect their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Julian v. Joyce</w:t>
      </w:r>
      <w:r>
        <w:rPr>
          <w:rFonts w:ascii="arial" w:eastAsia="arial" w:hAnsi="arial" w:cs="arial"/>
          <w:color w:val="000000"/>
          <w:sz w:val="20"/>
          <w:lang w:val="en-US" w:eastAsia="en-US" w:bidi="ar-SA"/>
        </w:rPr>
        <w:t xml:space="preserve">, </w:t>
      </w:r>
      <w:hyperlink r:id="rId609" w:history="1">
        <w:r>
          <w:rPr>
            <w:rFonts w:ascii="arial" w:eastAsia="arial" w:hAnsi="arial" w:cs="arial"/>
            <w:i/>
            <w:color w:val="0077CC"/>
            <w:sz w:val="20"/>
            <w:u w:val="single"/>
            <w:shd w:val="clear" w:color="auto" w:fill="FFFFFF"/>
            <w:lang w:val="en-US" w:eastAsia="en-US" w:bidi="ar-SA"/>
          </w:rPr>
          <w:t>2016 BCSC 1417</w:t>
        </w:r>
      </w:hyperlink>
      <w:r>
        <w:rPr>
          <w:rFonts w:ascii="arial" w:eastAsia="arial" w:hAnsi="arial" w:cs="arial"/>
          <w:color w:val="000000"/>
          <w:sz w:val="20"/>
          <w:lang w:val="en-US" w:eastAsia="en-US" w:bidi="ar-SA"/>
        </w:rPr>
        <w:t xml:space="preserve">, aff'd </w:t>
      </w:r>
      <w:hyperlink r:id="rId610" w:history="1">
        <w:r>
          <w:rPr>
            <w:rFonts w:ascii="arial" w:eastAsia="arial" w:hAnsi="arial" w:cs="arial"/>
            <w:i/>
            <w:color w:val="0077CC"/>
            <w:sz w:val="20"/>
            <w:u w:val="single"/>
            <w:shd w:val="clear" w:color="auto" w:fill="FFFFFF"/>
            <w:lang w:val="en-US" w:eastAsia="en-US" w:bidi="ar-SA"/>
          </w:rPr>
          <w:t>2017 BCCA 217</w:t>
        </w:r>
      </w:hyperlink>
      <w:r>
        <w:rPr>
          <w:rFonts w:ascii="arial" w:eastAsia="arial" w:hAnsi="arial" w:cs="arial"/>
          <w:color w:val="000000"/>
          <w:sz w:val="20"/>
          <w:lang w:val="en-US" w:eastAsia="en-US" w:bidi="ar-SA"/>
        </w:rPr>
        <w:t>, Justice Watchuk usefully gathers and summarises the authorities governing drivers turning left at an intersection.</w:t>
      </w:r>
      <w:bookmarkStart w:id="163"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163"/>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Motorists have an overarching common-law duty to exercise what constitutes, in all of the circumstances, reasonable and due care. All motorists have a general duty to keep a proper look-out and to take reasonable precautions in response to apparent potential hazards: </w:t>
      </w:r>
      <w:r>
        <w:rPr>
          <w:rFonts w:ascii="arial" w:eastAsia="arial" w:hAnsi="arial" w:cs="arial"/>
          <w:i/>
          <w:color w:val="000000"/>
          <w:sz w:val="20"/>
          <w:lang w:val="en-US" w:eastAsia="en-US" w:bidi="ar-SA"/>
        </w:rPr>
        <w:t>Julian</w:t>
      </w:r>
      <w:r>
        <w:rPr>
          <w:rFonts w:ascii="arial" w:eastAsia="arial" w:hAnsi="arial" w:cs="arial"/>
          <w:color w:val="000000"/>
          <w:sz w:val="20"/>
          <w:lang w:val="en-US" w:eastAsia="en-US" w:bidi="ar-SA"/>
        </w:rPr>
        <w:t xml:space="preserve"> (BCSC)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Section 144 of the MVA echoes this requirement and standard: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Careless driving prohibited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must not drive a motor vehicle on a</w:t>
      </w:r>
    </w:p>
    <w:p>
      <w:pPr>
        <w:numPr>
          <w:numId w:val="7"/>
        </w:numPr>
        <w:spacing w:before="120" w:line="260" w:lineRule="atLeast"/>
        <w:jc w:val="both"/>
        <w:rPr>
          <w:rFonts w:ascii="arial" w:eastAsia="arial" w:hAnsi="arial" w:cs="arial"/>
          <w:sz w:val="20"/>
          <w:lang w:val="en-US" w:eastAsia="en-US" w:bidi="ar-SA"/>
        </w:rPr>
      </w:pP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Section 127 sets out the rights and obligations of a driver facing a green light: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Green light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127(1) </w:t>
      </w:r>
      <w:r>
        <w:rPr>
          <w:rFonts w:ascii="arial" w:eastAsia="arial" w:hAnsi="arial" w:cs="arial"/>
          <w:b/>
          <w:i/>
          <w:color w:val="000000"/>
          <w:sz w:val="20"/>
          <w:lang w:val="en-US" w:eastAsia="en-US" w:bidi="ar-SA"/>
        </w:rPr>
        <w:t>When a green light alone is exhibited at an intersection by a traffic control signal</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(a) the driver of a vehicle facing the green light</w:t>
      </w:r>
    </w:p>
    <w:p>
      <w:pPr>
        <w:numPr>
          <w:numId w:val="1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may cause the vehicle to proceed straight through the intersection</w:t>
      </w:r>
      <w:r>
        <w:rPr>
          <w:rFonts w:ascii="arial" w:eastAsia="arial" w:hAnsi="arial" w:cs="arial"/>
          <w:color w:val="000000"/>
          <w:sz w:val="20"/>
          <w:lang w:val="en-US" w:eastAsia="en-US" w:bidi="ar-SA"/>
        </w:rPr>
        <w:t>, or to turn left or right, subject to a sign or signal prohibiting a left or right turn, or both, or designating the turning movement permitted,</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and</w:t>
      </w:r>
    </w:p>
    <w:p>
      <w:pPr>
        <w:numPr>
          <w:numId w:val="1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must yield the right of way to vehicles lawfully in the intersection at the time the green light became exhibited</w:t>
      </w:r>
      <w:r>
        <w:rPr>
          <w:rFonts w:ascii="arial" w:eastAsia="arial" w:hAnsi="arial" w:cs="arial"/>
          <w:color w:val="000000"/>
          <w:sz w:val="20"/>
          <w:lang w:val="en-US" w:eastAsia="en-US" w:bidi="ar-SA"/>
        </w:rPr>
        <w:t>.</w:t>
      </w:r>
    </w:p>
    <w:p>
      <w:pPr>
        <w:spacing w:before="120" w:line="260" w:lineRule="atLeast"/>
        <w:ind w:left="1800"/>
        <w:rPr>
          <w:rFonts w:ascii="arial" w:eastAsia="arial" w:hAnsi="arial" w:cs="arial"/>
          <w:sz w:val="20"/>
          <w:lang w:val="en-US" w:eastAsia="en-US" w:bidi="ar-SA"/>
        </w:rPr>
      </w:pPr>
      <w:r>
        <w:rPr>
          <w:rFonts w:ascii="arial" w:eastAsia="arial" w:hAnsi="arial" w:cs="arial"/>
          <w:b/>
          <w:i/>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Section 128 sets out the rights and obligations of a driver facing a yellow light: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Yellow light</w:t>
      </w:r>
      <w:bookmarkStart w:id="164" w:name="Backward_fnref_fnr-3"/>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164"/>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128 (1) When a yellow light alone is exhibited at an intersection by a traffic control signal, following the exhibition of a green light,</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approaching the intersection and facing the yellow light must cause it to stop before entering the marked crosswalk on the near side of the intersection, or if there is no marked crosswalk, before entering the intersection, unless the stop cannot be made in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MVA does not contain a specific provision governing advance left-turn lanes, but does specifically address arrows: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Arrows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130 (1) When a green arrow is exhibited at an intersection by a traffic control signal,</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facing the green arrow may cause it to enter the intersection and to make only the movement indicated by the green arrow, but must yield the right of way to pedestrians lawfully in the intersection or in an adjacent crosswalk and to other vehicles lawfully in the intersection...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When a yellow arrow is exhibited at an intersection by a traffic control signal</w:t>
      </w:r>
      <w:r>
        <w:rPr>
          <w:rFonts w:ascii="arial" w:eastAsia="arial" w:hAnsi="arial" w:cs="arial"/>
          <w:color w:val="000000"/>
          <w:sz w:val="20"/>
          <w:lang w:val="en-US" w:eastAsia="en-US" w:bidi="ar-SA"/>
        </w:rPr>
        <w:t>,</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driver of a vehicle approaching the intersection and facing a yellow arrow must cause the vehicle to stop</w:t>
      </w:r>
    </w:p>
    <w:p>
      <w:pPr>
        <w:spacing w:before="120" w:line="260" w:lineRule="atLeast"/>
        <w:ind w:left="1800"/>
        <w:rPr>
          <w:rFonts w:ascii="arial" w:eastAsia="arial" w:hAnsi="arial" w:cs="arial"/>
          <w:sz w:val="20"/>
          <w:lang w:val="en-US" w:eastAsia="en-US" w:bidi="ar-SA"/>
        </w:rPr>
      </w:pPr>
      <w:r>
        <w:rPr>
          <w:rFonts w:ascii="arial" w:eastAsia="arial" w:hAnsi="arial" w:cs="arial"/>
          <w:b/>
          <w:i/>
          <w:color w:val="000000"/>
          <w:sz w:val="20"/>
          <w:lang w:val="en-US" w:eastAsia="en-US" w:bidi="ar-SA"/>
        </w:rPr>
        <w:t>(i) before entering the marked crosswalk on the near side of the intersection, or</w:t>
      </w:r>
    </w:p>
    <w:p>
      <w:pPr>
        <w:numPr>
          <w:numId w:val="1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entering the intersection, if there is no marked crosswalk,</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unless the stop cannot be made in safety</w:t>
      </w:r>
      <w:r>
        <w:rPr>
          <w:rFonts w:ascii="arial" w:eastAsia="arial" w:hAnsi="arial" w:cs="arial"/>
          <w:color w:val="000000"/>
          <w:sz w:val="20"/>
          <w:lang w:val="en-US" w:eastAsia="en-US" w:bidi="ar-SA"/>
        </w:rPr>
        <w:t>,</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driver of a motor vehicle approaching the intersection and facing the yellow arrow may, when a stop cannot be made in safety, proceed with caution to make the only movement indicated by the arrow but must yield the right of way</w:t>
      </w:r>
      <w:r>
        <w:rPr>
          <w:rFonts w:ascii="arial" w:eastAsia="arial" w:hAnsi="arial" w:cs="arial"/>
          <w:color w:val="000000"/>
          <w:sz w:val="20"/>
          <w:lang w:val="en-US" w:eastAsia="en-US" w:bidi="ar-SA"/>
        </w:rPr>
        <w:t xml:space="preserve"> to pedestrians lawfully in the intersection or in an adjacent crosswalk, and </w:t>
      </w:r>
      <w:r>
        <w:rPr>
          <w:rFonts w:ascii="arial" w:eastAsia="arial" w:hAnsi="arial" w:cs="arial"/>
          <w:b/>
          <w:i/>
          <w:color w:val="000000"/>
          <w:sz w:val="20"/>
          <w:lang w:val="en-US" w:eastAsia="en-US" w:bidi="ar-SA"/>
        </w:rPr>
        <w:t>to other vehicles lawfully in the intersection</w:t>
      </w:r>
      <w:r>
        <w:rPr>
          <w:rFonts w:ascii="arial" w:eastAsia="arial" w:hAnsi="arial" w:cs="arial"/>
          <w:color w:val="000000"/>
          <w:sz w:val="20"/>
          <w:lang w:val="en-US" w:eastAsia="en-US" w:bidi="ar-SA"/>
        </w:rPr>
        <w:t>,...</w:t>
      </w:r>
    </w:p>
    <w:p>
      <w:pPr>
        <w:spacing w:before="120" w:line="260" w:lineRule="atLeast"/>
        <w:ind w:left="1800"/>
        <w:rPr>
          <w:rFonts w:ascii="arial" w:eastAsia="arial" w:hAnsi="arial" w:cs="arial"/>
          <w:sz w:val="20"/>
          <w:lang w:val="en-US" w:eastAsia="en-US" w:bidi="ar-SA"/>
        </w:rPr>
      </w:pPr>
      <w:r>
        <w:rPr>
          <w:rFonts w:ascii="arial" w:eastAsia="arial" w:hAnsi="arial" w:cs="arial"/>
          <w:b/>
          <w:i/>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Section 174 of the MVA sets out who must yield to whom on a left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Yielding right of way on left turn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174 When a vehicle is in an intersection and its driver intends to turn left, </w:t>
      </w:r>
      <w:r>
        <w:rPr>
          <w:rFonts w:ascii="arial" w:eastAsia="arial" w:hAnsi="arial" w:cs="arial"/>
          <w:b/>
          <w:i/>
          <w:color w:val="000000"/>
          <w:sz w:val="20"/>
          <w:lang w:val="en-US" w:eastAsia="en-US" w:bidi="ar-SA"/>
        </w:rPr>
        <w:t>the driver must yield the right of way to traffic approaching from the opposite direction that is in the intersection or so close as to constitute an immediate hazard, but having yielded</w:t>
      </w:r>
      <w:r>
        <w:rPr>
          <w:rFonts w:ascii="arial" w:eastAsia="arial" w:hAnsi="arial" w:cs="arial"/>
          <w:color w:val="000000"/>
          <w:sz w:val="20"/>
          <w:lang w:val="en-US" w:eastAsia="en-US" w:bidi="ar-SA"/>
        </w:rPr>
        <w:t xml:space="preserve"> and given a signal as required by sections 171 and 172, </w:t>
      </w:r>
      <w:r>
        <w:rPr>
          <w:rFonts w:ascii="arial" w:eastAsia="arial" w:hAnsi="arial" w:cs="arial"/>
          <w:b/>
          <w:i/>
          <w:color w:val="000000"/>
          <w:sz w:val="20"/>
          <w:lang w:val="en-US" w:eastAsia="en-US" w:bidi="ar-SA"/>
        </w:rPr>
        <w:t>the driver may turn the vehicle to the left, and traffic approaching the intersection from the opposite direction must yield the right of way to the vehicle making the left turn</w:t>
      </w: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Nerval v. Khehra</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2012 BCCA 436</w:t>
        </w:r>
      </w:hyperlink>
      <w:r>
        <w:rPr>
          <w:rFonts w:ascii="arial" w:eastAsia="arial" w:hAnsi="arial" w:cs="arial"/>
          <w:color w:val="000000"/>
          <w:sz w:val="20"/>
          <w:lang w:val="en-US" w:eastAsia="en-US" w:bidi="ar-SA"/>
        </w:rPr>
        <w:t xml:space="preserve"> is the leading case on s. 174.</w:t>
      </w:r>
      <w:bookmarkStart w:id="165" w:name="Backward_fnref_fnr-4"/>
      <w:hyperlink w:anchor="Forward_fnref_fnr-4" w:history="1">
        <w:r>
          <w:rPr>
            <w:rFonts w:ascii="arial" w:eastAsia="arial" w:hAnsi="arial" w:cs="arial"/>
            <w:b/>
            <w:color w:val="BE161D"/>
            <w:sz w:val="20"/>
            <w:shd w:val="clear" w:color="auto" w:fill="FFFFFF"/>
            <w:vertAlign w:val="superscript"/>
            <w:lang w:val="en-US" w:eastAsia="en-US" w:bidi="ar-SA"/>
          </w:rPr>
          <w:t>4</w:t>
        </w:r>
      </w:hyperlink>
      <w:bookmarkEnd w:id="165"/>
      <w:r>
        <w:rPr>
          <w:rFonts w:ascii="arial" w:eastAsia="arial" w:hAnsi="arial" w:cs="arial"/>
          <w:color w:val="000000"/>
          <w:sz w:val="20"/>
          <w:lang w:val="en-US" w:eastAsia="en-US" w:bidi="ar-SA"/>
        </w:rPr>
        <w:t xml:space="preserve"> At paras. 12-13, Harris JA expressly approved the s. 174 analysis of Armstrong J at trial, including his summary of the relevant law. I paraphrase that summary below:</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question is whether the through driver constituted an immediate hazard before the left-turning driver started her turn. The answer to that question will determine which of the two was the dominant driver before the collision.</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motor vehicle is an immediate hazard if its driver must take a sudden or violent action to avoid the threat of collision if a servient vehicle is about to make a left turn entering or crossing the highway in the path of the approaching vehicle.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to assess the question of an immediate hazard is when the left-turning vehicle commences the turn.</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dominant through driver may still be in breach of her duty of care to the left-turning driver if she failed to take reasonable care when entering into the intersection in hazardous circumstances (such as where she was speeding or had an obscured view).</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left-turning driver bears the burden of proving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dominant vehicle caused or contributed to the accident. In other words, that the dominant driver had a sufficient opportunity to avoid the accident of which a reasonably careful and skilful driver would have availed herself.</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such circumstances, any doubt should be resolved in favour of the dominant driver.</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obligation imposed on the left-turning driver by s.174 not to start a turn if there is an immediate hazard has priority over certain other obligations imposed on a through driver (such as by s.158 not to pass a vehicle on its right unless it is safe to do so).</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resulting onus placed on the left-turning driver is not absolute. It may be qualified by the conduct of the through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his explanation and expansion of the s. 174 analysis, Harris JA emphasises that the onus is on the left-turning driver to confirm that it is safe to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principles laid down in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xml:space="preserve"> lead to the conclusion that the </w:t>
      </w:r>
      <w:r>
        <w:rPr>
          <w:rFonts w:ascii="arial" w:eastAsia="arial" w:hAnsi="arial" w:cs="arial"/>
          <w:b/>
          <w:i/>
          <w:color w:val="000000"/>
          <w:sz w:val="20"/>
          <w:lang w:val="en-US" w:eastAsia="en-US" w:bidi="ar-SA"/>
        </w:rPr>
        <w:t>starting point of the analysis is that when a left turning driver is assessing making a left turn in an intersection he or she must yield the right of way to oncoming traffic unless it is not an immediate hazard. Describing a driver as dominant means no more than that driver has the right of way, whereas the servient driver has the obligation to yield the right of way</w:t>
      </w:r>
      <w:r>
        <w:rPr>
          <w:rFonts w:ascii="arial" w:eastAsia="arial" w:hAnsi="arial" w:cs="arial"/>
          <w:color w:val="000000"/>
          <w:sz w:val="20"/>
          <w:lang w:val="en-US" w:eastAsia="en-US" w:bidi="ar-SA"/>
        </w:rPr>
        <w:t xml:space="preserve">. The obligation imposed by s. 174 on the left turning vehicle is that it "must yield the right of way to traffic approaching from the opposite direction that is in the intersection or so close as to constitute an immediate hazard". </w:t>
      </w:r>
      <w:r>
        <w:rPr>
          <w:rFonts w:ascii="arial" w:eastAsia="arial" w:hAnsi="arial" w:cs="arial"/>
          <w:b/>
          <w:i/>
          <w:color w:val="000000"/>
          <w:sz w:val="20"/>
          <w:lang w:val="en-US" w:eastAsia="en-US" w:bidi="ar-SA"/>
        </w:rPr>
        <w:t>A left turn must not be commenced unless it is clearly safe to do so. If there are no vehicles in the intersection or sufficiently close to be an imminent hazard, the driver may turn left and approaching traffic must yield the right of way. In other words, if a left turning driver complies with his or her obligation only to start the left turn when no other vehicles are in the intersection or constitute an immediate hazard, then the left turning driver assumes the relationship of being the dominant vehicle and approaching vehicles become servient and must yield the right of way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As observed in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at para. 33, the words "immediate hazard" are "used to determine when a vehicle may lawfully enter an intersection. </w:t>
      </w:r>
      <w:r>
        <w:rPr>
          <w:rFonts w:ascii="arial" w:eastAsia="arial" w:hAnsi="arial" w:cs="arial"/>
          <w:b/>
          <w:i/>
          <w:color w:val="000000"/>
          <w:sz w:val="20"/>
          <w:lang w:val="en-US" w:eastAsia="en-US" w:bidi="ar-SA"/>
        </w:rPr>
        <w:t xml:space="preserve">They determine who is the dominant driver, but do not, by themselves, define the standard of care in a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w:t>
      </w:r>
      <w:r>
        <w:rPr>
          <w:rFonts w:ascii="arial" w:eastAsia="arial" w:hAnsi="arial" w:cs="arial"/>
          <w:b/>
          <w:i/>
          <w:color w:val="000000"/>
          <w:sz w:val="20"/>
          <w:lang w:val="en-US" w:eastAsia="en-US" w:bidi="ar-SA"/>
        </w:rPr>
        <w:t>The effect of s. 174 is to cast the burden of proving the absence of an immediate hazard at the moment the left turn begins onto the left turning driver</w:t>
      </w:r>
      <w:r>
        <w:rPr>
          <w:rFonts w:ascii="arial" w:eastAsia="arial" w:hAnsi="arial" w:cs="arial"/>
          <w:color w:val="000000"/>
          <w:sz w:val="20"/>
          <w:lang w:val="en-US" w:eastAsia="en-US" w:bidi="ar-SA"/>
        </w:rPr>
        <w:t>. This result flows inevitably from the wording of the section itself, given the nature of the absolute obligation the section creates. If a left turning driver, in the face of this statutory obligation, asserts that he or she started to turn left when it was safe to do so, then the burden of proving that fact rests with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The trial judge did not err in imposing this burden on Ms. Nerval. </w:t>
      </w:r>
      <w:r>
        <w:rPr>
          <w:rFonts w:ascii="arial" w:eastAsia="arial" w:hAnsi="arial" w:cs="arial"/>
          <w:b/>
          <w:i/>
          <w:color w:val="000000"/>
          <w:sz w:val="20"/>
          <w:lang w:val="en-US" w:eastAsia="en-US" w:bidi="ar-SA"/>
        </w:rPr>
        <w:t>The first aspect of the burden is to demonstrate that when she began her turn there was no immediate hazard. Having failed to do so, the trial judge was entitled to conclude that Ms. Khehra was an immediate hazard and was the dominant driver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The second aspect of the burden relates to proving that despite being the dominant driver, Ms. Khehra [the through driver] nonetheless was negligent and at fault for causing or contributing to the accident. Here, although Ms. Khehra had the right of way, she could exercise that right only in a safe manner. The trial judge correctly relied on the statement of principle from para. 18 of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xml:space="preserve"> quoted above, in assessing the evidence and reaching his conclusions.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w:t>
      </w:r>
      <w:r>
        <w:rPr>
          <w:rFonts w:ascii="arial" w:eastAsia="arial" w:hAnsi="arial" w:cs="arial"/>
          <w:b/>
          <w:i/>
          <w:color w:val="000000"/>
          <w:sz w:val="20"/>
          <w:lang w:val="en-US" w:eastAsia="en-US" w:bidi="ar-SA"/>
        </w:rPr>
        <w:t xml:space="preserve">Whether a through driver is dominant turns on whether the driver's vehicle is an immediate hazard at the material time, not why it is an immediate hazard. Dominance identifies who must yield the right of way. One consequence of this analysis is that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on the part of a through driver does not disqualify that driver as the dominant driver</w:t>
      </w:r>
      <w:r>
        <w:rPr>
          <w:rFonts w:ascii="arial" w:eastAsia="arial" w:hAnsi="arial" w:cs="arial"/>
          <w:color w:val="000000"/>
          <w:sz w:val="20"/>
          <w:lang w:val="en-US" w:eastAsia="en-US" w:bidi="ar-SA"/>
        </w:rPr>
        <w:t xml:space="preserve">. The through driver remains dominant, even though their conduct may be negligent. Indeed, the through driver's fault may be greater than the servient driver's fault. In other words, a through driver may be an immediate hazard even though that driver is speeding and given her speed would have to take sudden action to avoid the threat of a collision if the left turning driver did not yield the right of way. </w:t>
      </w:r>
      <w:r>
        <w:rPr>
          <w:rFonts w:ascii="arial" w:eastAsia="arial" w:hAnsi="arial" w:cs="arial"/>
          <w:b/>
          <w:i/>
          <w:color w:val="000000"/>
          <w:sz w:val="20"/>
          <w:lang w:val="en-US" w:eastAsia="en-US" w:bidi="ar-SA"/>
        </w:rPr>
        <w:t>The correct analysis is to recognize that the through driver is breaching his or her common law and perhaps statutory obligations and to address the issue as one of apportioning fault, not to reclassify the through driver as servient based on the degree to which the through driver is in breach of her obligations</w:t>
      </w: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[emphasis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plaintiff: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Ms McMullin argues that she was exercising her legal right to drive through the intersection on a green light, and was the dominant driver (s. 127; </w:t>
      </w:r>
      <w:r>
        <w:rPr>
          <w:rFonts w:ascii="arial" w:eastAsia="arial" w:hAnsi="arial" w:cs="arial"/>
          <w:i/>
          <w:color w:val="000000"/>
          <w:sz w:val="20"/>
          <w:lang w:val="en-US" w:eastAsia="en-US" w:bidi="ar-SA"/>
        </w:rPr>
        <w:t>Matheson v Fichten</w:t>
      </w:r>
      <w:r>
        <w:rPr>
          <w:rFonts w:ascii="arial" w:eastAsia="arial" w:hAnsi="arial" w:cs="arial"/>
          <w:color w:val="000000"/>
          <w:sz w:val="20"/>
          <w:lang w:val="en-US" w:eastAsia="en-US" w:bidi="ar-SA"/>
        </w:rPr>
        <w:t xml:space="preserve">, </w:t>
      </w:r>
      <w:hyperlink r:id="rId611" w:history="1">
        <w:r>
          <w:rPr>
            <w:rFonts w:ascii="arial" w:eastAsia="arial" w:hAnsi="arial" w:cs="arial"/>
            <w:i/>
            <w:color w:val="0077CC"/>
            <w:sz w:val="20"/>
            <w:u w:val="single"/>
            <w:shd w:val="clear" w:color="auto" w:fill="FFFFFF"/>
            <w:lang w:val="en-US" w:eastAsia="en-US" w:bidi="ar-SA"/>
          </w:rPr>
          <w:t>2012 BCSC 565</w:t>
        </w:r>
      </w:hyperlink>
      <w:r>
        <w:rPr>
          <w:rFonts w:ascii="arial" w:eastAsia="arial" w:hAnsi="arial" w:cs="arial"/>
          <w:color w:val="000000"/>
          <w:sz w:val="20"/>
          <w:lang w:val="en-US" w:eastAsia="en-US" w:bidi="ar-SA"/>
        </w:rPr>
        <w:t xml:space="preserve"> at para. 61).</w:t>
      </w:r>
      <w:bookmarkStart w:id="166" w:name="Backward_fnref_fnr-5"/>
      <w:hyperlink w:anchor="Forward_fnref_fnr-5" w:history="1">
        <w:r>
          <w:rPr>
            <w:rFonts w:ascii="arial" w:eastAsia="arial" w:hAnsi="arial" w:cs="arial"/>
            <w:b/>
            <w:color w:val="BE161D"/>
            <w:sz w:val="20"/>
            <w:shd w:val="clear" w:color="auto" w:fill="FFFFFF"/>
            <w:vertAlign w:val="superscript"/>
            <w:lang w:val="en-US" w:eastAsia="en-US" w:bidi="ar-SA"/>
          </w:rPr>
          <w:t>5</w:t>
        </w:r>
      </w:hyperlink>
      <w:bookmarkEnd w:id="166"/>
      <w:r>
        <w:rPr>
          <w:rFonts w:ascii="arial" w:eastAsia="arial" w:hAnsi="arial" w:cs="arial"/>
          <w:color w:val="000000"/>
          <w:sz w:val="20"/>
          <w:lang w:val="en-US" w:eastAsia="en-US" w:bidi="ar-SA"/>
        </w:rPr>
        <w:t xml:space="preserve"> Mr Trelenberg was turning left on either a yellow light (for him) or a general north-south green light, and as such was the servient driver: he was obliged to wait for safe opportunity to turn. When a vehicle is in an intersection and its driver intends to turn left, the driver must yield the right of way to traffic approaching from the opposite direction that is in the intersection or so close as to constitute an immediate hazard (s. 174; </w:t>
      </w:r>
      <w:r>
        <w:rPr>
          <w:rFonts w:ascii="arial" w:eastAsia="arial" w:hAnsi="arial" w:cs="arial"/>
          <w:i/>
          <w:color w:val="000000"/>
          <w:sz w:val="20"/>
          <w:lang w:val="en-US" w:eastAsia="en-US" w:bidi="ar-SA"/>
        </w:rPr>
        <w:t>Lock v Floreani</w:t>
      </w:r>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2017 BCSC 1313</w:t>
        </w:r>
      </w:hyperlink>
      <w:r>
        <w:rPr>
          <w:rFonts w:ascii="arial" w:eastAsia="arial" w:hAnsi="arial" w:cs="arial"/>
          <w:color w:val="000000"/>
          <w:sz w:val="20"/>
          <w:lang w:val="en-US" w:eastAsia="en-US" w:bidi="ar-SA"/>
        </w:rPr>
        <w:t>). That Ms McMullin's vehicle posed an immediate hazard was self-evident from the fact that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Ms McMullin cites </w:t>
      </w:r>
      <w:r>
        <w:rPr>
          <w:rFonts w:ascii="arial" w:eastAsia="arial" w:hAnsi="arial" w:cs="arial"/>
          <w:i/>
          <w:color w:val="000000"/>
          <w:sz w:val="20"/>
          <w:lang w:val="en-US" w:eastAsia="en-US" w:bidi="ar-SA"/>
        </w:rPr>
        <w:t>Matheson</w:t>
      </w:r>
      <w:r>
        <w:rPr>
          <w:rFonts w:ascii="arial" w:eastAsia="arial" w:hAnsi="arial" w:cs="arial"/>
          <w:color w:val="000000"/>
          <w:sz w:val="20"/>
          <w:lang w:val="en-US" w:eastAsia="en-US" w:bidi="ar-SA"/>
        </w:rPr>
        <w:t xml:space="preserve"> as the case closest to the present. In that case, the defendant, Mr Fichten, was turning left at an intersection with what he thought was a green advance left-turn arrow. The driver travelling straight through in the opposite curb lane (the second defendant, Mr Bahniwal) claimed that he had a green light. The Court found that Mr Fichten had turned left either on a stale yellow arrow or on no arrow at all, and that when he entered the intersection, Mr Bahniwal had faced a green light. Mr Fichten was held 90% at fault while Mr Bahniwal was held 10% at fault.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defendants: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defendants argue that Mr Trelenberg was the dominant vehicle. Under s. 130(2), Mr Trelenberg was entitled to enter the intersection. Although the left-turn arrow had turned yellow, it was not safe for Mr Trelenberg to stop his truck. He was thus entitled to proceed with caution to make the left-turn "movement indicated by the arrow."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This right was only limited by the requirement of s.174 to yield the right of way to traffic approaching from the opposite direction that is in the intersection or so close as to constitute an immediate hazard. The time to assess the "immediate hazard" arises at the specific moment when the left-turning driver decides to turn: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xml:space="preserve"> at paras 12-13; </w:t>
      </w:r>
      <w:r>
        <w:rPr>
          <w:rFonts w:ascii="arial" w:eastAsia="arial" w:hAnsi="arial" w:cs="arial"/>
          <w:i/>
          <w:color w:val="000000"/>
          <w:sz w:val="20"/>
          <w:lang w:val="en-US" w:eastAsia="en-US" w:bidi="ar-SA"/>
        </w:rPr>
        <w:t>Raie v. Thorpe</w:t>
      </w:r>
      <w:r>
        <w:rPr>
          <w:rFonts w:ascii="arial" w:eastAsia="arial" w:hAnsi="arial" w:cs="arial"/>
          <w:color w:val="000000"/>
          <w:sz w:val="20"/>
          <w:lang w:val="en-US" w:eastAsia="en-US" w:bidi="ar-SA"/>
        </w:rPr>
        <w:t>, (1963) 43 WWR 405 (BCCA) at 410. The defendants argue Ms McMullin did not pose an immediate hazard at the time the left turn was commenced. They submit that the accident occurred entirely due to the fault of Ms McMullin, who was distracted by the yellow Volkswagen and was slightly speeding.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Both parties proceeded on the basis that s. 174 and its associated jurisprudence provide the governing legal framework for this case. I agree that s. 174 offers some residual guidance to the present situation, which involves a dedicated advance left-turn arrow. For example, the jurisprudence under s. 174 suggests that the court is to assess the presence of an immediate danger at the time the driver starts the turn. Further, the presence of an approaching vehicle that poses an immediate hazard may indicate that a driver turning on an advance left arrow is not exercising due caution as required under that provision, or under the consideration of the common law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my view, however, an advance left-turn signal is primarily governed by s. 130 of the MVA ("Arrows"). A driver facing a green or yellow dedicated turn arrow is in the same position as a driver facing a green or yellow light in the through lane: that driver enjoys a presumptive right to proceed in the direction stated by the signal, as he is presumptively the dominant driver. The language in the sections governing those through drivers (ss. 127 ("Green light") and 128 ("Yellow light"), quoted above) directly parallels the language in s. 130, and the sections are placed together in the statute. The other case concerning advance left-turn lights, </w:t>
      </w:r>
      <w:r>
        <w:rPr>
          <w:rFonts w:ascii="arial" w:eastAsia="arial" w:hAnsi="arial" w:cs="arial"/>
          <w:i/>
          <w:color w:val="000000"/>
          <w:sz w:val="20"/>
          <w:lang w:val="en-US" w:eastAsia="en-US" w:bidi="ar-SA"/>
        </w:rPr>
        <w:t>Walker v. Lightbown</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[1989] B.C.J No. 2091</w:t>
        </w:r>
      </w:hyperlink>
      <w:r>
        <w:rPr>
          <w:rFonts w:ascii="arial" w:eastAsia="arial" w:hAnsi="arial" w:cs="arial"/>
          <w:color w:val="000000"/>
          <w:sz w:val="20"/>
          <w:lang w:val="en-US" w:eastAsia="en-US" w:bidi="ar-SA"/>
        </w:rPr>
        <w:t xml:space="preserve"> (SC), analyses the case under the then-equivalent of s. 130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RSBC 1979, c. 288, s. 135) and does not apply the then-equivalent of s. 174 (then s. 176).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focus of s. 174 is servient drivers waiting for a safe opportunity to turn left in the face of dominant through traffic; it is concerned with ordinary intersections, with no advance left-turn signal. It appears that all of the s. 174 jurisprudence (including </w:t>
      </w:r>
      <w:r>
        <w:rPr>
          <w:rFonts w:ascii="arial" w:eastAsia="arial" w:hAnsi="arial" w:cs="arial"/>
          <w:i/>
          <w:color w:val="000000"/>
          <w:sz w:val="20"/>
          <w:lang w:val="en-US" w:eastAsia="en-US" w:bidi="ar-SA"/>
        </w:rPr>
        <w:t>Nerval, Joyce</w:t>
      </w:r>
      <w:r>
        <w:rPr>
          <w:rFonts w:ascii="arial" w:eastAsia="arial" w:hAnsi="arial" w:cs="arial"/>
          <w:color w:val="000000"/>
          <w:sz w:val="20"/>
          <w:lang w:val="en-US" w:eastAsia="en-US" w:bidi="ar-SA"/>
        </w:rPr>
        <w:t xml:space="preserve">, and the other cases cited by the plaintiff, including </w:t>
      </w:r>
      <w:r>
        <w:rPr>
          <w:rFonts w:ascii="arial" w:eastAsia="arial" w:hAnsi="arial" w:cs="arial"/>
          <w:i/>
          <w:color w:val="000000"/>
          <w:sz w:val="20"/>
          <w:lang w:val="en-US" w:eastAsia="en-US" w:bidi="ar-SA"/>
        </w:rPr>
        <w:t>Lock v. Floreani, Raie v. Thorpe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Dawes v. Valadas</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2005 BCSC 1319</w:t>
        </w:r>
      </w:hyperlink>
      <w:r>
        <w:rPr>
          <w:rFonts w:ascii="arial" w:eastAsia="arial" w:hAnsi="arial" w:cs="arial"/>
          <w:color w:val="000000"/>
          <w:sz w:val="20"/>
          <w:lang w:val="en-US" w:eastAsia="en-US" w:bidi="ar-SA"/>
        </w:rPr>
        <w:t xml:space="preserve">) concerns such left-turning drivers. </w:t>
      </w:r>
      <w:r>
        <w:rPr>
          <w:rFonts w:ascii="arial" w:eastAsia="arial" w:hAnsi="arial" w:cs="arial"/>
          <w:i/>
          <w:color w:val="000000"/>
          <w:sz w:val="20"/>
          <w:lang w:val="en-US" w:eastAsia="en-US" w:bidi="ar-SA"/>
        </w:rPr>
        <w:t>Matheson</w:t>
      </w:r>
      <w:r>
        <w:rPr>
          <w:rFonts w:ascii="arial" w:eastAsia="arial" w:hAnsi="arial" w:cs="arial"/>
          <w:color w:val="000000"/>
          <w:sz w:val="20"/>
          <w:lang w:val="en-US" w:eastAsia="en-US" w:bidi="ar-SA"/>
        </w:rPr>
        <w:t xml:space="preserve"> cites s. 174, but the case ultimately does not turn on a s. 174 analysis, likely because the preponderance of the evidence indicated that the driver turned on a red arrow, blocking through traffic that had already started flowing.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This case, therefore, will start with and be primarily guided by the requirements of s. 130, since it arises from a dedicated advance left-turn signal.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There is surprisingly little British Columbia case law with respect to s. 130, and specifically with respect to advance left-turn arrows.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Matheson</w:t>
      </w:r>
      <w:r>
        <w:rPr>
          <w:rFonts w:ascii="arial" w:eastAsia="arial" w:hAnsi="arial" w:cs="arial"/>
          <w:color w:val="000000"/>
          <w:sz w:val="20"/>
          <w:lang w:val="en-US" w:eastAsia="en-US" w:bidi="ar-SA"/>
        </w:rPr>
        <w:t xml:space="preserve"> accident occurred at an intersection controlled by an advance left-turn arrow, but differs from the present case on two critical points. First, while the Court did not definitively decide whether the driver turned "either very late" in the yellow arrow or entirely after the through traffic signal had turned solid green, the preponderance of the evidence supported the latter; the oncoming traffic had already started to go through the intersection, and had to stop for the late-left-turning driver: para. 49. Second, there was no affirmative finding that it would have been unsafe for the turning driver to stop before the intersection; he was driving an ordinary car, and following other turning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Walker v. Lightbown</w:t>
      </w:r>
      <w:r>
        <w:rPr>
          <w:rFonts w:ascii="arial" w:eastAsia="arial" w:hAnsi="arial" w:cs="arial"/>
          <w:color w:val="000000"/>
          <w:sz w:val="20"/>
          <w:lang w:val="en-US" w:eastAsia="en-US" w:bidi="ar-SA"/>
        </w:rPr>
        <w:t xml:space="preserve"> is the closest case to the present.</w:t>
      </w:r>
      <w:bookmarkStart w:id="167" w:name="Backward_fnref_fnr-6"/>
      <w:hyperlink w:anchor="Forward_fnref_fnr-6" w:history="1">
        <w:r>
          <w:rPr>
            <w:rFonts w:ascii="arial" w:eastAsia="arial" w:hAnsi="arial" w:cs="arial"/>
            <w:b/>
            <w:color w:val="BE161D"/>
            <w:sz w:val="20"/>
            <w:shd w:val="clear" w:color="auto" w:fill="FFFFFF"/>
            <w:vertAlign w:val="superscript"/>
            <w:lang w:val="en-US" w:eastAsia="en-US" w:bidi="ar-SA"/>
          </w:rPr>
          <w:t>6</w:t>
        </w:r>
      </w:hyperlink>
      <w:bookmarkEnd w:id="167"/>
      <w:r>
        <w:rPr>
          <w:rFonts w:ascii="arial" w:eastAsia="arial" w:hAnsi="arial" w:cs="arial"/>
          <w:color w:val="000000"/>
          <w:sz w:val="20"/>
          <w:lang w:val="en-US" w:eastAsia="en-US" w:bidi="ar-SA"/>
        </w:rPr>
        <w:t xml:space="preserve"> In that case, the left-turning driver started his turn at the tail-end of an advance left-turn green arrow. Like the present defendant, he was driving a heavy truck, and the arrow turned yellow, and the through-traffic signal turned green, after he had entered the intersection but before he had completed the turn. The through-driving defendant (the roles are the reverse of those in the present case) approached the intersection slightly over the speed limit, and entered the intersection without seeing the turning plaintiff. Hinds J (as he then was) considered the then-MVA sections equivalent to ss. 127 and 130, and concluded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those sections must be considered together when circumstances arise, as in this case, where one vehicle is turning left at an intersection when a green arrow is flashing indicating it is permissible to make a left turn, and in the course of that turn the green arrow signal ceased blinking and a green light is illuminated for traffic proceeding through the intersection in the opposite direction to that in which the left turning vehicle was originally proceeding. Each vehicle must yield the right to way to a vehicle lawfully in the intersection. </w:t>
      </w:r>
      <w:r>
        <w:rPr>
          <w:rFonts w:ascii="arial" w:eastAsia="arial" w:hAnsi="arial" w:cs="arial"/>
          <w:b/>
          <w:i/>
          <w:color w:val="000000"/>
          <w:sz w:val="20"/>
          <w:lang w:val="en-US" w:eastAsia="en-US" w:bidi="ar-SA"/>
        </w:rPr>
        <w:t>On the findings of fact above set forth I consider that both the Plaintiff's vehicle and the Defendant's vehicle were lawfully in the intersection at the time of the collision. But both should have proceeded with caution in order to give the right of way to the other</w:t>
      </w: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Court found both drivers negligent, and apportioned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80% against the through-driver and 20% against the left-turning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There were several reasons for ascribing greater blame to the through-driver than the turning driver. He was speeding. Further, he in fact saw but failed to yield the right of way to the plaintiff's vehicle "which was completing its turn after that signal had ceased but was nevertheless still lawfully in the intersection":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While less blameworthy, the turning driver was also "negligent in failing to keep a sufficiently adequate lookout as he neared the completion of his left turn, in driving slightly too fast through the intersection, and in failing to yield the right of way to the defendant's vehicle which, technically, was lawfully in the intersection because the traffic signal governing its course of travel had turned green an instant before it entered the intersection":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liability of each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Evidence recounted years after a motor vehicle accident that happens over a few seconds is often tenuous. Based on the evidence as a whole, I make the following conclusions, and find that both drivers were negligent, and partly to blame for the accident.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Ms McMullin's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Under s. 127 of the MVA ("Green light"), Ms McMullin was entitled to "cause the vehicle to proceed straight through the intersection" but was obliged to "yield the right of way to vehicles lawfully in the intersection at the time the green light became exhibited."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As set out below, Mr Trelenberg's truck was a vehicle lawfully in the intersection at the time the green light became exhibited, albeit barely. Ms McMullin was thus obliged to yield the right of way to the turning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Had she been fully focusing on the intersection ahead her of her, she would have seen what was obvious to Ms Wallin: that the defendant's truck was continuing with the turn. It is of course not an unusual occurrence for a vehicle, particularly a long and slow-moving vehicle such as the semitrailer truck, to start its turn at the tail end of a yellow light, and still occupy the intersection when oncoming traffic is invited into the intersection by the green light. Large semi-trailer trucks are not unusual in Langley or at that intersection, with which Ms McMullin was familiar. It was fully foreseeable that the southbound traffic would have to wait momentarily for left-turning traffic, particularly large vehicles, to complete their turns and clear the intersection before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Ms McMullin's distraction can be attributed to her concern about the erratic driving of the yellow Volkswagen behind her. That concern should have prompted her to exercise greater caution. As she approached an intersection with a fresh green light, with the cars to her left stopped or (in the case of Ms Wallin) slowing, rather than moving forward, she should have slowed down herself, rather than proceeding forward at 60 to 65 kilometres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On this last point, given the imprecision of Ms McMullin's own speed estimate and her own distraction, as well as Ms Wallin's description of the "gray streak" speeding past her, and the assessments of Ms Wallin and Mr Trelenberg that Ms McMullin appeared to be driving quickly, it is likely that Ms McMullin was in fact driving in excess of the stated speed limit at the time of the collision or at least driving at a speed that was excessive relative to the road or traffic, contrary to s. 144 of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If I am in error, and if Ms McMullin is to be considered the dominant driver as the through driver on a green light, I still find that she was negligent. Her actions match those of the through driver referred to in the following passage from </w:t>
      </w:r>
      <w:r>
        <w:rPr>
          <w:rFonts w:ascii="arial" w:eastAsia="arial" w:hAnsi="arial" w:cs="arial"/>
          <w:i/>
          <w:color w:val="000000"/>
          <w:sz w:val="20"/>
          <w:lang w:val="en-US" w:eastAsia="en-US" w:bidi="ar-SA"/>
        </w:rPr>
        <w:t>Pirie v. Skantz</w:t>
      </w:r>
      <w:r>
        <w:rPr>
          <w:rFonts w:ascii="arial" w:eastAsia="arial" w:hAnsi="arial" w:cs="arial"/>
          <w:color w:val="000000"/>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2016 BCCA 70</w:t>
        </w:r>
      </w:hyperlink>
      <w:r>
        <w:rPr>
          <w:rFonts w:ascii="arial" w:eastAsia="arial" w:hAnsi="arial" w:cs="arial"/>
          <w:color w:val="000000"/>
          <w:sz w:val="20"/>
          <w:lang w:val="en-US" w:eastAsia="en-US" w:bidi="ar-SA"/>
        </w:rPr>
        <w:t xml:space="preserve"> at para. 14 (which arose in the context of a turning vehicle in an intersection with no advance left-turn arrow: both the turning vehicle and the through vehicle proceeded through the intersection on a stale yellow light):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Having said that, where a through driver: (1) approaches an intersection at an excessive rate of speed or otherwise conducts himself in such a way as to deprive the left-turning driver of the ability to reasonably anticipate he is about to enter the intersection on a stale yellow light; (2) fails to bring his vehicle to a stop in circumstances where other vehicles travelling in the same direction have already done so; or (3) should have become aware of the left-turning driver's own disregard of the law in circumstances that afforded him a sufficient opportunity to avoid the accident through the exercise of reasonable care, the through driver may be found wholly or primarily at fault for the accident: </w:t>
      </w:r>
      <w:r>
        <w:rPr>
          <w:rFonts w:ascii="arial" w:eastAsia="arial" w:hAnsi="arial" w:cs="arial"/>
          <w:i/>
          <w:color w:val="000000"/>
          <w:sz w:val="20"/>
          <w:lang w:val="en-US" w:eastAsia="en-US" w:bidi="ar-SA"/>
        </w:rPr>
        <w:t>Pacheco (Guardian ad litem) v. Robinson</w:t>
      </w:r>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(1993), 75 B.C.L.R. (2d) 273</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Mr Trelenberg's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Section 130(2) permits a vehicle that cannot stop safely when a yellow arrow illuminates to "make the movement indicated by the arrow."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But just as s. 127 does not provide an untrammeled right to enter on a green light, even where an advance left-turning driver is lawfully entitled to complete the turn, s. 130(2)(b) limits the right to turn in two ways: first, the left-turning driver must "proceed with caution" and, second, he must "must yield the right of way to... other vehicles lawfully in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Trelenberg had entered the intersection, but just barely, when the arrow turned yellow. Given the weight of his truck, Mr Trelenberg could not have stopped safely or avoided entering the intersection. He was entitled to enter the intersection and entitled to "proceed with caution to make the only movement indicated by the arrow": the left turn: s. 130(2)(b).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Before proceeding with the analysis, I note that there exists a seeming conflict between ss. 127(1)(a)(iii) and 130(2)(b). Each requires the driver with the right-of-way to "yield the right of way to vehicles lawfully in the intersection". In the fact-specific context of a motor vehicle claim arising from an advance left turn, these sections should generally be read sequentially, all subject to an overarching obligation to exercise reasonable care and attention. In other words, Ms McMullin, who entered the intersection after Mr Trelenberg had already lawfully entered the intersection and lawfully started his turn, was obliged to yield to the prior occupant.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Returning to the intersection, the yellow arrow was a short yellow. Mr Trelenberg made the decision to turn at the end of that short period, when the light was a stale yellow.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Trelenberg described himself at this point as "committed" due to the weight and balance of the vehicle. He was committed to entering the intersection, but he was not committed (in the sense of physical necessity) to making the actual turn. He could have braked safely upon seeing the yellow light, and stopped straight or only partly turned in the intersection. He could then have waited in safety, with the front part of his truck in the intersection, as oncoming traffic flowed through south in its sequence. He could then have made his turn when the southbound traffic cleared, or, if the southbound flow continued, when the north-south lights turned solid yellow before turning solid red. He did not face the immediate pressure of being trapped in the intersection and blocking east-west traffic and pedestrians, as does a driver waiting to turn in an ordinary intersection when the signal turns yellow immediately before turning red. He would not have been jutting out into oncoming traffic. In effect, he enjoyed a sanctuary of two lane widths in which to await a safe moment to turn: the left-turn lane and the centre median on the opposite side provided that buffer.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Instead, Mr Trelenberg started and continued through with the turn when he knew or ought to have known that oncoming traffic was on the verge of receiving a green light (that is, at a time when the traffic opposite was nominally entitled to enter the intersection). Put colloquially, he "went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On his own testimony, he made the decision to turn when his view of the southbound curbside lane was blocked by the transport truck in the opposite centre lane. On direct examination,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[the plaintiff's minivan] came into view as I'm going through the intersection because the centre lane had traffic in it stopped -- it was that transport truck -- and passing that transport truck then that lane becomes visible. That's when it caught my peripheral vision-- that there's someone coming.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cross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Doll: At the point when you commenced your turn - I'll take you back to the beginning of that arc - at the point when you commenced your turn, you were unable to see whether or not there was any oncoming traffic in that curb lane?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Trelenberg: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Trelenberg's turn was in effect a leap of faith: he started and continued through with his turn when he knew or ought to have known that a driver, possibly a distracted driver relying upon the soon-to-be green light, could have been proceeding down the curbside lane at high speed. He acknowledged that traffic was heavy: when he started the turn it was more likely than not that a vehicle would soon appear in the curbside lane and proceed through the green light while his truck was still executing its turn in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To be fair, Mr Trelenberg's leap of faith was predicated on the assumption that a driver continuing southbound would be paying attention and would notice a large truck turning in front of them, and, out of a sense of self-preservation at the very least, not blithely barrel into the intersection. This presumption was not unreasonable. A left-turning driver is entitled to proceed on the assumption that oncoming traffic will act in accordance with the law, and in particular will stop for a red light, absent any reasonable indication to the contrary: </w:t>
      </w:r>
      <w:r>
        <w:rPr>
          <w:rFonts w:ascii="arial" w:eastAsia="arial" w:hAnsi="arial" w:cs="arial"/>
          <w:i/>
          <w:color w:val="000000"/>
          <w:sz w:val="20"/>
          <w:lang w:val="en-US" w:eastAsia="en-US" w:bidi="ar-SA"/>
        </w:rPr>
        <w:t>Kokkinis v. Hall</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(1996), 19 BCLR (3d) 273</w:t>
        </w:r>
      </w:hyperlink>
      <w:r>
        <w:rPr>
          <w:rFonts w:ascii="arial" w:eastAsia="arial" w:hAnsi="arial" w:cs="arial"/>
          <w:color w:val="000000"/>
          <w:sz w:val="20"/>
          <w:lang w:val="en-US" w:eastAsia="en-US" w:bidi="ar-SA"/>
        </w:rPr>
        <w:t xml:space="preserve"> (CA)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To summarize, while Mr Trelenberg was lawfully entitled to turn in the intersection, he knew as he drove down the dedicated left-turn lane that the advance turn arrow was about to turn yellow, which it indeed did. At that point, he knew that it was unlikely that he would complete his turn before the southbound light turned green. He could have slowed down and stopped at the left-turn line, in anticipation of the yellow. Instead, he proceeded towards the intersection. When the arrow turned yellow he now knew that it was highly unlikely that he would complete the turn before the southbound light turned green. He could have slowed and stopped. He could then have waited in the middle lanes, and completed the turn on the solid yellow light after the southbound through traffic. Instead, he proceeded with the turn. A collision with an inattentive southbound through driver blindly obeying the green light was unlikely but wholly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fact that his view was blocked by the transport truck does not change the analysis. Under s. 130(2)(b), he was required to proceed with caution. Whether guided by s. 174 or a general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analysis, the left-turning driver must confirm before starting the turn that there is no traffic approaching from the opposite direction that poses an immediate hazard. If the turning driver is unable to confirm the absence of an immediate hazard, he or she must stay put and not start the turn. In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xml:space="preserve">, the view of the left-turning driver could not see the approaching through-driver as her view was blocked by a van opposite in the intersection: para. 7. Similarly, in </w:t>
      </w:r>
      <w:r>
        <w:rPr>
          <w:rFonts w:ascii="arial" w:eastAsia="arial" w:hAnsi="arial" w:cs="arial"/>
          <w:i/>
          <w:color w:val="000000"/>
          <w:sz w:val="20"/>
          <w:lang w:val="en-US" w:eastAsia="en-US" w:bidi="ar-SA"/>
        </w:rPr>
        <w:t>Burgess v. Fisher</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2009 BCSC 1766</w:t>
        </w:r>
      </w:hyperlink>
      <w:r>
        <w:rPr>
          <w:rFonts w:ascii="arial" w:eastAsia="arial" w:hAnsi="arial" w:cs="arial"/>
          <w:color w:val="000000"/>
          <w:sz w:val="20"/>
          <w:lang w:val="en-US" w:eastAsia="en-US" w:bidi="ar-SA"/>
        </w:rPr>
        <w:t xml:space="preserve"> at para. 32, Justice Barrow said of the left-turning driver (in an intersection with no advance left-turn lane):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obliged Mr. Karol to either remain at the stop sign or at least not to proceed into the westbound lane of through traffic on 43rd Avenue unless he could determine that approaching in that lane did not pose an immediate hazard. In order to make that determination, he had to be able to see far enough down the westbound lane to determine whether approaching traffic travelling at or near the speed limit would pose an immediate hazard. The hazard, it is to be recalled, is not just a collision but the immanent prospect of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Put in the framework of </w:t>
      </w:r>
      <w:r>
        <w:rPr>
          <w:rFonts w:ascii="arial" w:eastAsia="arial" w:hAnsi="arial" w:cs="arial"/>
          <w:i/>
          <w:color w:val="000000"/>
          <w:sz w:val="20"/>
          <w:lang w:val="en-US" w:eastAsia="en-US" w:bidi="ar-SA"/>
        </w:rPr>
        <w:t>Pacheco (Guardian ad litem) v. Robinson</w:t>
      </w:r>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(1993), 75 BCLR (2d) 273</w:t>
        </w:r>
      </w:hyperlink>
      <w:r>
        <w:rPr>
          <w:rFonts w:ascii="arial" w:eastAsia="arial" w:hAnsi="arial" w:cs="arial"/>
          <w:color w:val="000000"/>
          <w:sz w:val="20"/>
          <w:lang w:val="en-US" w:eastAsia="en-US" w:bidi="ar-SA"/>
        </w:rPr>
        <w:t xml:space="preserve"> (CA) at para. 18 (cited in </w:t>
      </w:r>
      <w:r>
        <w:rPr>
          <w:rFonts w:ascii="arial" w:eastAsia="arial" w:hAnsi="arial" w:cs="arial"/>
          <w:i/>
          <w:color w:val="000000"/>
          <w:sz w:val="20"/>
          <w:lang w:val="en-US" w:eastAsia="en-US" w:bidi="ar-SA"/>
        </w:rPr>
        <w:t>Julian</w:t>
      </w:r>
      <w:r>
        <w:rPr>
          <w:rFonts w:ascii="arial" w:eastAsia="arial" w:hAnsi="arial" w:cs="arial"/>
          <w:color w:val="000000"/>
          <w:sz w:val="20"/>
          <w:lang w:val="en-US" w:eastAsia="en-US" w:bidi="ar-SA"/>
        </w:rPr>
        <w:t xml:space="preserve"> at para. 91 and </w:t>
      </w:r>
      <w:r>
        <w:rPr>
          <w:rFonts w:ascii="arial" w:eastAsia="arial" w:hAnsi="arial" w:cs="arial"/>
          <w:i/>
          <w:color w:val="000000"/>
          <w:sz w:val="20"/>
          <w:lang w:val="en-US" w:eastAsia="en-US" w:bidi="ar-SA"/>
        </w:rPr>
        <w:t>Dawes v. Valadas</w:t>
      </w:r>
      <w:r>
        <w:rPr>
          <w:rFonts w:ascii="arial" w:eastAsia="arial" w:hAnsi="arial" w:cs="arial"/>
          <w:color w:val="000000"/>
          <w:sz w:val="20"/>
          <w:lang w:val="en-US" w:eastAsia="en-US" w:bidi="ar-SA"/>
        </w:rPr>
        <w:t xml:space="preserve"> at para. 31, I am satisfied that Ms McMullin has discharged her onus of proving that Mr Trelenberg was also negligent. Specifically, Mr Trelenberg had the opportunity to avoid the accident by exercising greater care: he should have waited instead of making his slow turn in the circumstances when he could not see the curbside lane that would likely soon be occupied by a southbound vehicle facing a green light.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Apportionment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parties provided no alternative submissions or authorities with respect to apportioning liability: each party argued liability as an all-or-nothing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RSBC 1996, c. 333, s. 1</w:t>
        </w:r>
      </w:hyperlink>
      <w:r>
        <w:rPr>
          <w:rFonts w:ascii="arial" w:eastAsia="arial" w:hAnsi="arial" w:cs="arial"/>
          <w:color w:val="000000"/>
          <w:sz w:val="20"/>
          <w:lang w:val="en-US" w:eastAsia="en-US" w:bidi="ar-SA"/>
        </w:rPr>
        <w:t xml:space="preserve"> and the test set out in </w:t>
      </w:r>
      <w:r>
        <w:rPr>
          <w:rFonts w:ascii="arial" w:eastAsia="arial" w:hAnsi="arial" w:cs="arial"/>
          <w:i/>
          <w:color w:val="000000"/>
          <w:sz w:val="20"/>
          <w:lang w:val="en-US" w:eastAsia="en-US" w:bidi="ar-SA"/>
        </w:rPr>
        <w:t>Alberta Wheat Pool v. Northwest Pile</w:t>
      </w:r>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2000 BCCA 505</w:t>
        </w:r>
      </w:hyperlink>
      <w:r>
        <w:rPr>
          <w:rFonts w:ascii="arial" w:eastAsia="arial" w:hAnsi="arial" w:cs="arial"/>
          <w:color w:val="000000"/>
          <w:sz w:val="20"/>
          <w:lang w:val="en-US" w:eastAsia="en-US" w:bidi="ar-SA"/>
        </w:rPr>
        <w:t xml:space="preserve"> at paras. 45-46, "the Court's task is to assess the respective blameworthiness of the parties, rather than the extent to which the loss may be said to have been caused by the conduct of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Alberta Wheat Pool</w:t>
      </w:r>
      <w:r>
        <w:rPr>
          <w:rFonts w:ascii="arial" w:eastAsia="arial" w:hAnsi="arial" w:cs="arial"/>
          <w:color w:val="000000"/>
          <w:sz w:val="20"/>
          <w:lang w:val="en-US" w:eastAsia="en-US" w:bidi="ar-SA"/>
        </w:rPr>
        <w:t xml:space="preserve"> at para. 46 explains that blameworthiness for the purpose of apportionment covers a wide moral spectrum: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Fault or blameworthiness evaluates the parties' conduct in the circumstances, and the extent or degree to which it may be said to depart from the standard of reasonable care. Fault may vary from extremely careless conduct, by which the party shows a reckless indifference or disregard for the safety of person or property, whether his own or others, down to a momentary or minor lapse of care in conduct which, nevertheless, carries with it the risk of foreseeable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Groberman JA in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at para. 21 offers further guidance for the apportionment exercise: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end, a court must determine whether, and to what extent, each of the players in an accident met their common law duties of care to other users of the road. In making that determination, a court will be informed by the rules of the road, but those rules do not eliminate the need to consider the reasonableness of the actions of the parties. This is both because the rules of the road cannot comprehensively cover all possible scenarios, and because users of the road are expected to exercise reasonable care, even when others have failed to respect their right of way. While s. 175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and other rules of the road are important in determining whether the standard of care was met, they are not the exclusive measures of that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As indicated in the outset of these reasons, both the plaintiff and the defendant made mistakes that many drivers commit every day, in most cases with no consequences. Their actions fall closer to the "momentary or minor lapse of care in conduct" pole of misconduct referred to in </w:t>
      </w:r>
      <w:r>
        <w:rPr>
          <w:rFonts w:ascii="arial" w:eastAsia="arial" w:hAnsi="arial" w:cs="arial"/>
          <w:i/>
          <w:color w:val="000000"/>
          <w:sz w:val="20"/>
          <w:lang w:val="en-US" w:eastAsia="en-US" w:bidi="ar-SA"/>
        </w:rPr>
        <w:t>Alberta Wheat Pool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As set out above, Mr Trelenberg could have waited to make his turn, either in the left-turn lane, or in the middle of the intersection, rather than turning when he knew he could not see the curbside lane that he knew would soon enjoy a green light, at which point his truck would still be in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As to Ms McMullin, it was wholly foreseeable that traffic turning on the advance left might still be in the intersection completing their turns when her light turned green, and that she would have to slow down or wait to avoid a collision. Ms McMullin was familiar with the intersection, and specifically would have been familiar with the abundance of trucks in the area. Had Ms McMullin paid the attention and care that Ms Wallin did, there would have been no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Viewing all of the evidence, I attribute 50 percent liability to each of the two individual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In addition to considering the relative fault of the parties in this case, I have also considered the apportionment in the two other cases in the jurisprudence concerning dedicated left-arrow turns. The </w:t>
      </w:r>
      <w:r>
        <w:rPr>
          <w:rFonts w:ascii="arial" w:eastAsia="arial" w:hAnsi="arial" w:cs="arial"/>
          <w:i/>
          <w:color w:val="000000"/>
          <w:sz w:val="20"/>
          <w:lang w:val="en-US" w:eastAsia="en-US" w:bidi="ar-SA"/>
        </w:rPr>
        <w:t>Walker</w:t>
      </w:r>
      <w:r>
        <w:rPr>
          <w:rFonts w:ascii="arial" w:eastAsia="arial" w:hAnsi="arial" w:cs="arial"/>
          <w:color w:val="000000"/>
          <w:sz w:val="20"/>
          <w:lang w:val="en-US" w:eastAsia="en-US" w:bidi="ar-SA"/>
        </w:rPr>
        <w:t xml:space="preserve"> through driver was apportioned 80%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while the </w:t>
      </w:r>
      <w:r>
        <w:rPr>
          <w:rFonts w:ascii="arial" w:eastAsia="arial" w:hAnsi="arial" w:cs="arial"/>
          <w:i/>
          <w:color w:val="000000"/>
          <w:sz w:val="20"/>
          <w:lang w:val="en-US" w:eastAsia="en-US" w:bidi="ar-SA"/>
        </w:rPr>
        <w:t>Matheson</w:t>
      </w:r>
      <w:r>
        <w:rPr>
          <w:rFonts w:ascii="arial" w:eastAsia="arial" w:hAnsi="arial" w:cs="arial"/>
          <w:color w:val="000000"/>
          <w:sz w:val="20"/>
          <w:lang w:val="en-US" w:eastAsia="en-US" w:bidi="ar-SA"/>
        </w:rPr>
        <w:t xml:space="preserve"> through driver was apportioned 10%. Those apportionment exercises largely reflect the more obvious culpability of the opposite parties in those cases: apportionment is a relative exercise. In </w:t>
      </w:r>
      <w:r>
        <w:rPr>
          <w:rFonts w:ascii="arial" w:eastAsia="arial" w:hAnsi="arial" w:cs="arial"/>
          <w:i/>
          <w:color w:val="000000"/>
          <w:sz w:val="20"/>
          <w:lang w:val="en-US" w:eastAsia="en-US" w:bidi="ar-SA"/>
        </w:rPr>
        <w:t>Walker</w:t>
      </w:r>
      <w:r>
        <w:rPr>
          <w:rFonts w:ascii="arial" w:eastAsia="arial" w:hAnsi="arial" w:cs="arial"/>
          <w:color w:val="000000"/>
          <w:sz w:val="20"/>
          <w:lang w:val="en-US" w:eastAsia="en-US" w:bidi="ar-SA"/>
        </w:rPr>
        <w:t xml:space="preserve">, the speed and blood alcohol content of the through driver exceeded legal limits. In </w:t>
      </w:r>
      <w:r>
        <w:rPr>
          <w:rFonts w:ascii="arial" w:eastAsia="arial" w:hAnsi="arial" w:cs="arial"/>
          <w:i/>
          <w:color w:val="000000"/>
          <w:sz w:val="20"/>
          <w:lang w:val="en-US" w:eastAsia="en-US" w:bidi="ar-SA"/>
        </w:rPr>
        <w:t>Matheson</w:t>
      </w:r>
      <w:r>
        <w:rPr>
          <w:rFonts w:ascii="arial" w:eastAsia="arial" w:hAnsi="arial" w:cs="arial"/>
          <w:color w:val="000000"/>
          <w:sz w:val="20"/>
          <w:lang w:val="en-US" w:eastAsia="en-US" w:bidi="ar-SA"/>
        </w:rPr>
        <w:t>, the turning driver had likely started his turn while through traffic already had a green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defendants did not seriously dispute the plaintiff's claims as to the extent of her injury. They acknowledge that the accident caused the plaintiff soft-tissue injuries to her neck and low back, and resultant headaches, all of which have become chronic. In this regard, the evidence of the plaintiff and the medical experts called on her behalf were not seriously undermined through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Further, the defendants did not adduce any expert medical evidence to refute the evidence of the plaintiff or her medical witnesses. The following analysis will thus be brief.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injuries and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plaintiff adduced an expert report from Dr Michael Negraeff, an anesthesiologist and pain specialist. He concluded that the following conditions were directly caused by the accident:</w:t>
      </w:r>
      <w:r>
        <w:rPr>
          <w:rFonts w:ascii="arial" w:eastAsia="arial" w:hAnsi="arial" w:cs="arial"/>
          <w:sz w:val="20"/>
          <w:lang w:val="en-US" w:eastAsia="en-US" w:bidi="ar-SA"/>
        </w:rPr>
        <w:cr/>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Myofascial pain of the head and neck;</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Possible cervical facet joint mediated pain;</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Mechanical low back pain;</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Persistent (chronic) headache attributable to whiplash;</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Pain related disability and other factors, including:</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Sleep interference secondary to pain;</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Mood disorder (depression) secondary to pain;</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Low self efficacy;</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Functional impairment secondary to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worst pain has been in her neck, which she describes as being in a state of constant tension. Even light pressure will cause her neck pain to flare up: a guitar strap or even a swimsuit strap causes unbearable pain. The neck pain also causes constant chronic headaches, which can flare up to cause acute pain. She also feels unrelenting pain in her lower back and waist, particularly at the centre of her spine. If she moves the wrong way, the pains sharpens: it feels like she is being stabbed with a knife. The pain then radiates outwards. She suffers from these three conditions all day and all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These conditions have plagued the plaintiff since the accident. They likely will plague her all her life. As Dr Negraeff states, "...her pain is likely to remain as it is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only medications that have provided relief for the plaintiff's pain have been strong narcotics, with potential long-term harmful effects, including the potential for addiction. These medications include fentanyl and OxyContin. The risks posed by these medications cause the plaintiff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addition to a wide range of medications, she has tried a wide range of treatments for her conditions, including physiotherapy, chiropractics (both conventional and active release therapy), radiofrequency ablation, acupuncture, and stretching, as well as treatment at a pain clinic: none has brought significant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Before the accident, the plaintiff suffered from two pre-existing conditions. An accident in her youth left her with chronic pelvic pain. She also suffered from occasional headaches. These conditions sometimes affected her sleep and certain activities, but they were manageable before the accident, and had only a minor effect on her daily life. Her chronic pain after the accident was of an entirely different intensity and consistency.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Effect of the plaintiff's injuries on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plaintiff's ongoing chronic pain has deprived her of most of the pleasures and independence in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Since the accident, the plaintiff has been unable to do shopping or housework. Even applying shampoo to her hair causes pain after a few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She is plagued by sleeplessness, and usually wakes up five times a night. She often sleeps in a 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plaintiff is an artistic person who has raised her children with a love of the arts. She had a lifelong passion for music and painting. The accident forced her to give up entirely playing bass guitar, as the weight of the instrument and the strap causes excruciating pain. She is only able to play the piano occasionally and, even then, only briefly.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Music was not only a hobby for her: she often led the congregation at her church in worship by playing musical instruments. That has now 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Her church is a very important part of her life. It is a church with a physically exuberant form of worship: parishioners will often raise their hands and move as part of the service. That is now gone. Even sitting for the length of the service is usually too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She has almost entirely given up her other main passion: painting. She and other family members testified that she only paints rarely and can only paint on a small canvas for short periods, as it hurts her back and neck. Photography, which was also a source of income, has also 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Before the accident, she enjoyed sporting activities such as hiking, biking, boating, and jet-skiing with her immediate and extended family. She was also an enthusiastic cook. She can no longer do those activities. She feels anxiety that she is letting down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Even her ability to engage in sedentary activities is limited. While she formerly enjoyed reading, she now finds it difficult due to her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Her accident has also strained the family's relationships with their friends. When they make arrangements to meet friends, they must cancel 90 percent of the time because of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accident, and her present limitations, have led the plaintiff to feelings of depression and hopelessness. The accident has also caused her anxiety. It has made her a nervous driver, while she previously enjoyed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Finally, the accident, with Ms McMullin's resultant loss of employment opportunities and independence, partly contributed to the family's decision to move from the Lower Mainland to Steinbach, Manitoba.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Non-pecuniary damages are awarded to compensate a plaintiff for pain, suffering, loss of enjoyment of life, and loss of amenities. The compensation awarded should be fair to all parties, and fairness is measured against awards made in comparable cases. That said, such cases serve only as a rough guide.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188-189;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435"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oft-cited case of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sets out a non-exhaustive list of factors to be considered when assessing non-pecuniary damages:</w:t>
      </w:r>
      <w:r>
        <w:rPr>
          <w:rFonts w:ascii="arial" w:eastAsia="arial" w:hAnsi="arial" w:cs="arial"/>
          <w:sz w:val="20"/>
          <w:lang w:val="en-US" w:eastAsia="en-US" w:bidi="ar-SA"/>
        </w:rPr>
        <w:cr/>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4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w:t>
      </w:r>
    </w:p>
    <w:p>
      <w:pPr>
        <w:numPr>
          <w:numId w:val="4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4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stoicism.</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defendants acknowledge that the plaintiff has been injured in her neck, and low back, with resultant headaches, and acknowledge that she is entitled to some non-pecuniary damages for loss of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They argue that in attempting to return the plaintiff to the position she would have been in but for the accident, the court must take into account the plaintiff's pre-existing pelvic pain and headaches. The defendants suggest non-pecuniary damages of $80,000, and cite cases in the range of $50,000 to $115,000 as appropriate comparators.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Discussion and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agree that the Court must assess non-pecuniary damages on the basis that she would be suffering pain on a daily basis regardless of the accident. But, as observed above, the plaintiff's pre-accident pain and headaches were largely manageable, and did not significantly affect her life. She raised three children, was a leader in her church, earned an income, and enjoyed regular artistic and outdoors activities. In contrast, the post-accident pain has been debilitating in every aspect of her life. The medical evidence is that she will likely suffer from these effects for the rest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That lifetime prognosis, coupled with the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factors, all indicate that a generous non-pecuniary award is appropriate. She is only 40 years old. The pain is severe and persistent. It has deprived her of most of life's enjoyments. It has impaired her family and social relationships.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The cases provided by the plaintiff more closely resemble her facts. Specifically, in </w:t>
      </w:r>
      <w:r>
        <w:rPr>
          <w:rFonts w:ascii="arial" w:eastAsia="arial" w:hAnsi="arial" w:cs="arial"/>
          <w:i/>
          <w:color w:val="000000"/>
          <w:sz w:val="20"/>
          <w:lang w:val="en-US" w:eastAsia="en-US" w:bidi="ar-SA"/>
        </w:rPr>
        <w:t>Hollyer v. Gaston</w:t>
      </w:r>
      <w:r>
        <w:rPr>
          <w:rFonts w:ascii="arial" w:eastAsia="arial" w:hAnsi="arial" w:cs="arial"/>
          <w:color w:val="000000"/>
          <w:sz w:val="20"/>
          <w:lang w:val="en-US" w:eastAsia="en-US" w:bidi="ar-SA"/>
        </w:rPr>
        <w:t xml:space="preserve">, </w:t>
      </w:r>
      <w:hyperlink r:id="rId618" w:history="1">
        <w:r>
          <w:rPr>
            <w:rFonts w:ascii="arial" w:eastAsia="arial" w:hAnsi="arial" w:cs="arial"/>
            <w:i/>
            <w:color w:val="0077CC"/>
            <w:sz w:val="20"/>
            <w:u w:val="single"/>
            <w:shd w:val="clear" w:color="auto" w:fill="FFFFFF"/>
            <w:lang w:val="en-US" w:eastAsia="en-US" w:bidi="ar-SA"/>
          </w:rPr>
          <w:t>2016 BCSC 1401</w:t>
        </w:r>
      </w:hyperlink>
      <w:r>
        <w:rPr>
          <w:rFonts w:ascii="arial" w:eastAsia="arial" w:hAnsi="arial" w:cs="arial"/>
          <w:color w:val="000000"/>
          <w:sz w:val="20"/>
          <w:lang w:val="en-US" w:eastAsia="en-US" w:bidi="ar-SA"/>
        </w:rPr>
        <w:t xml:space="preserve"> ($125,000), </w:t>
      </w:r>
      <w:r>
        <w:rPr>
          <w:rFonts w:ascii="arial" w:eastAsia="arial" w:hAnsi="arial" w:cs="arial"/>
          <w:i/>
          <w:color w:val="000000"/>
          <w:sz w:val="20"/>
          <w:lang w:val="en-US" w:eastAsia="en-US" w:bidi="ar-SA"/>
        </w:rPr>
        <w:t>Clayton v. Barefoot</w:t>
      </w:r>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2018 BCSC 239</w:t>
        </w:r>
      </w:hyperlink>
      <w:r>
        <w:rPr>
          <w:rFonts w:ascii="arial" w:eastAsia="arial" w:hAnsi="arial" w:cs="arial"/>
          <w:color w:val="000000"/>
          <w:sz w:val="20"/>
          <w:lang w:val="en-US" w:eastAsia="en-US" w:bidi="ar-SA"/>
        </w:rPr>
        <w:t xml:space="preserve"> ($130,000), </w:t>
      </w:r>
      <w:r>
        <w:rPr>
          <w:rFonts w:ascii="arial" w:eastAsia="arial" w:hAnsi="arial" w:cs="arial"/>
          <w:i/>
          <w:color w:val="000000"/>
          <w:sz w:val="20"/>
          <w:lang w:val="en-US" w:eastAsia="en-US" w:bidi="ar-SA"/>
        </w:rPr>
        <w:t>Ferguson v. Watt</w:t>
      </w:r>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2018 BCSC 1587</w:t>
        </w:r>
      </w:hyperlink>
      <w:r>
        <w:rPr>
          <w:rFonts w:ascii="arial" w:eastAsia="arial" w:hAnsi="arial" w:cs="arial"/>
          <w:color w:val="000000"/>
          <w:sz w:val="20"/>
          <w:lang w:val="en-US" w:eastAsia="en-US" w:bidi="ar-SA"/>
        </w:rPr>
        <w:t xml:space="preserve"> ($140,000), </w:t>
      </w:r>
      <w:r>
        <w:rPr>
          <w:rFonts w:ascii="arial" w:eastAsia="arial" w:hAnsi="arial" w:cs="arial"/>
          <w:i/>
          <w:color w:val="000000"/>
          <w:sz w:val="20"/>
          <w:lang w:val="en-US" w:eastAsia="en-US" w:bidi="ar-SA"/>
        </w:rPr>
        <w:t>Redmond v. Krider</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2015 BCSC 178</w:t>
        </w:r>
      </w:hyperlink>
      <w:r>
        <w:rPr>
          <w:rFonts w:ascii="arial" w:eastAsia="arial" w:hAnsi="arial" w:cs="arial"/>
          <w:color w:val="000000"/>
          <w:sz w:val="20"/>
          <w:lang w:val="en-US" w:eastAsia="en-US" w:bidi="ar-SA"/>
        </w:rPr>
        <w:t xml:space="preserve"> ($150,000), and </w:t>
      </w:r>
      <w:r>
        <w:rPr>
          <w:rFonts w:ascii="arial" w:eastAsia="arial" w:hAnsi="arial" w:cs="arial"/>
          <w:i/>
          <w:color w:val="000000"/>
          <w:sz w:val="20"/>
          <w:lang w:val="en-US" w:eastAsia="en-US" w:bidi="ar-SA"/>
        </w:rPr>
        <w:t>Cumpf v. Barbuta</w:t>
      </w:r>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2014 BCSC 1898</w:t>
        </w:r>
      </w:hyperlink>
      <w:r>
        <w:rPr>
          <w:rFonts w:ascii="arial" w:eastAsia="arial" w:hAnsi="arial" w:cs="arial"/>
          <w:color w:val="000000"/>
          <w:sz w:val="20"/>
          <w:lang w:val="en-US" w:eastAsia="en-US" w:bidi="ar-SA"/>
        </w:rPr>
        <w:t xml:space="preserve"> ($150,000) the plaintiffs were women in their 30s and 40s who suffered similar injuries to their necks and backs, resulting in chronic pain that considerably disrupted their pre-accident lifestyles; at the same time, they suffered pre-existing injuries before their accidents. If anything, the present plaintiff's life disruption, pain, and medication are more serious than those suffered in these comparator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The cases advanced by the defendants are readily distinguishable in terms of the severity of the injuries and pain, and the impact on the plaintiff's life. For example, in </w:t>
      </w:r>
      <w:r>
        <w:rPr>
          <w:rFonts w:ascii="arial" w:eastAsia="arial" w:hAnsi="arial" w:cs="arial"/>
          <w:i/>
          <w:color w:val="000000"/>
          <w:sz w:val="20"/>
          <w:lang w:val="en-US" w:eastAsia="en-US" w:bidi="ar-SA"/>
        </w:rPr>
        <w:t>Dennison v. Jensen</w:t>
      </w:r>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2019 BCSC 725</w:t>
        </w:r>
      </w:hyperlink>
      <w:r>
        <w:rPr>
          <w:rFonts w:ascii="arial" w:eastAsia="arial" w:hAnsi="arial" w:cs="arial"/>
          <w:color w:val="000000"/>
          <w:sz w:val="20"/>
          <w:lang w:val="en-US" w:eastAsia="en-US" w:bidi="ar-SA"/>
        </w:rPr>
        <w:t xml:space="preserve"> ($50,000) and </w:t>
      </w:r>
      <w:r>
        <w:rPr>
          <w:rFonts w:ascii="arial" w:eastAsia="arial" w:hAnsi="arial" w:cs="arial"/>
          <w:i/>
          <w:color w:val="000000"/>
          <w:sz w:val="20"/>
          <w:lang w:val="en-US" w:eastAsia="en-US" w:bidi="ar-SA"/>
        </w:rPr>
        <w:t>Juelfs v. McCue</w:t>
      </w:r>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2019 BCSC 1195</w:t>
        </w:r>
      </w:hyperlink>
      <w:r>
        <w:rPr>
          <w:rFonts w:ascii="arial" w:eastAsia="arial" w:hAnsi="arial" w:cs="arial"/>
          <w:color w:val="000000"/>
          <w:sz w:val="20"/>
          <w:lang w:val="en-US" w:eastAsia="en-US" w:bidi="ar-SA"/>
        </w:rPr>
        <w:t xml:space="preserve"> ($65,000), the injuries and pain were minor compared to those of the plaintiff, and they were able to do most of their pre-activities, albeit at a less intense level. The defendants' cases at the upper end of their range are also distinguishable. For example, the plaintiff in </w:t>
      </w:r>
      <w:r>
        <w:rPr>
          <w:rFonts w:ascii="arial" w:eastAsia="arial" w:hAnsi="arial" w:cs="arial"/>
          <w:i/>
          <w:color w:val="000000"/>
          <w:sz w:val="20"/>
          <w:lang w:val="en-US" w:eastAsia="en-US" w:bidi="ar-SA"/>
        </w:rPr>
        <w:t>Elpel v. Glover</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2018 BCSC 1404</w:t>
        </w:r>
      </w:hyperlink>
      <w:r>
        <w:rPr>
          <w:rFonts w:ascii="arial" w:eastAsia="arial" w:hAnsi="arial" w:cs="arial"/>
          <w:color w:val="000000"/>
          <w:sz w:val="20"/>
          <w:lang w:val="en-US" w:eastAsia="en-US" w:bidi="ar-SA"/>
        </w:rPr>
        <w:t xml:space="preserve"> ($115,000), is 16 years older than Ms McMullin, and treatment before the trial had stabilized the plaintiff's chronic pain and had substantially reduced her anxiety and symptoms of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Based on the evidence as a whole and the governing principles, a fair and reasonable award for the plaintiff's non-pecuniary damages is $150,000.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Kim v. Lin</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2018 BCCA 77</w:t>
        </w:r>
      </w:hyperlink>
      <w:r>
        <w:rPr>
          <w:rFonts w:ascii="arial" w:eastAsia="arial" w:hAnsi="arial" w:cs="arial"/>
          <w:color w:val="000000"/>
          <w:sz w:val="20"/>
          <w:lang w:val="en-US" w:eastAsia="en-US" w:bidi="ar-SA"/>
        </w:rPr>
        <w:t xml:space="preserve"> at para. 31 sets out the principles governing whether to make an award for loss of housekeeping: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Loss of housekeeping capacity [is] just that, a loss of capacity, or the loss of an asset that should be compensated as a pecuniary loss regardless of whether the replacement services which are used to value the loss and determine the quantum of the award are actually purchased...Therefore, where a plaintiff suffers an injury which would make a reasonable person in the plaintiff's circumstances unable to perform usual and necessary household work - i.e., where the plaintiff has suffered a true loss of capacity - that loss may be compensated by a pecuniary damages award. Where the plaintiff suffers a loss that is more in keeping with a loss of amenities, or increased pain and suffering, that loss may instead be compensated by a non-pecuniary damages award. However, I do not wish to create an inflexible rule for courts addressing these awards, and as this Court said in </w:t>
      </w:r>
      <w:r>
        <w:rPr>
          <w:rFonts w:ascii="arial" w:eastAsia="arial" w:hAnsi="arial" w:cs="arial"/>
          <w:i/>
          <w:color w:val="000000"/>
          <w:sz w:val="20"/>
          <w:lang w:val="en-US" w:eastAsia="en-US" w:bidi="ar-SA"/>
        </w:rPr>
        <w:t>Liu</w:t>
      </w:r>
      <w:r>
        <w:rPr>
          <w:rFonts w:ascii="arial" w:eastAsia="arial" w:hAnsi="arial" w:cs="arial"/>
          <w:color w:val="000000"/>
          <w:sz w:val="20"/>
          <w:lang w:val="en-US" w:eastAsia="en-US" w:bidi="ar-SA"/>
        </w:rPr>
        <w:t>, "it lies in the trial judge's discretion whether to address such a claim as part of the non-pecuniary loss or as a segregated pecuniary head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Whichever option a court chooses, when valuing these different types of awards, courts should pay heed to the differing rationales behind them. In particular, when valuing the pecuniary damages for the loss of capacity suffered by a plaintiff, the court may look to the cost of hiring replacement services, but should ensure that any award for that loss, and any deduction to that award, be tied to the actual loss of capacity which justifies the award in the first place: </w:t>
      </w:r>
      <w:r>
        <w:rPr>
          <w:rFonts w:ascii="arial" w:eastAsia="arial" w:hAnsi="arial" w:cs="arial"/>
          <w:i/>
          <w:color w:val="000000"/>
          <w:sz w:val="20"/>
          <w:lang w:val="en-US" w:eastAsia="en-US" w:bidi="ar-SA"/>
        </w:rPr>
        <w:t>Kim</w:t>
      </w:r>
      <w:r>
        <w:rPr>
          <w:rFonts w:ascii="arial" w:eastAsia="arial" w:hAnsi="arial" w:cs="arial"/>
          <w:color w:val="000000"/>
          <w:sz w:val="20"/>
          <w:lang w:val="en-US" w:eastAsia="en-US" w:bidi="ar-SA"/>
        </w:rPr>
        <w:t xml:space="preserve"> at paras. 33-34.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plaintiff struggles with all housekeeping chores. Vacuuming and cleaning cause her considerable neck and back pain. The pain caused by lifting makes it near-impossible for her to do the laundry or shop for groceries. Cooking is difficult, and she is reduced to preparing foods that require a minimal amount of time and effort.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Before the accident, the plaintiff was largely a stay-at-home mother for her three children, and did most of the housework, with assistance from her children and husband. After the accident she has been almost entirely dependent on an outside housekeeper, at $35 an hour, along with the almost full-time assistance of her 20-year-old daughter, who has taken over the primary roles of caring for the youngest child, as well as cooking. That daughter is soon to leave home to attend university, like the second-oldest child, and this assistance will be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plaintiff submits that the appropriate award for loss of housekeeping capacity is $50,000. The defendants raise no arguments in opposition. This lifetime amount is reasonable, and so ordered.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plaintiff's claims with respect to loss of past ($480) and future ($0) earning capacity are modest. Her injuries made her unable to complete her occasional work for her church working on its newsletter and website.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defendant does not dispute this head of damages, and it is ordered in the amount sought.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Costs of future care</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The plaintiff is entitled to compensation for the cost of future care based on what is reasonably necessary to restore her to her pre-accident condition insofar as that is possible. When full restoration cannot be achieved, the court must strive to assure full compensation through the provision of adequate future care.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Williams v. Low</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Spehar v. Beazley</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Gignac v. Rozylo</w:t>
      </w:r>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The test for determining the appropriate award under the heading of cost of future care is an objective one based on medical evidence. For an award of future care: (1) there must be a medical justification for claims for cost of future care and (2) the claims must be reasonable: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84;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An assessment of damages for cost of future care is not a precise accounting exercise: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The extent, if any, to which a future care costs award should be adjusted for contingencies depends on the specific care needs of the plaintiff. In some cases negative contingencies are offset by positive contingencies and, therefore, a contingency adjustment is not required. In other cases, however, the award is reduced based on the prospect of improvement in the plaintiff's condition or increased based on the prospect that additional care will be required. Each case falls to be determined on its particular facts: </w:t>
      </w:r>
      <w:r>
        <w:rPr>
          <w:rFonts w:ascii="arial" w:eastAsia="arial" w:hAnsi="arial" w:cs="arial"/>
          <w:i/>
          <w:color w:val="000000"/>
          <w:sz w:val="20"/>
          <w:lang w:val="en-US" w:eastAsia="en-US" w:bidi="ar-SA"/>
        </w:rPr>
        <w:t>Ferguson v. Watt</w:t>
      </w:r>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2018 BCSC 1587</w:t>
        </w:r>
      </w:hyperlink>
      <w:r>
        <w:rPr>
          <w:rFonts w:ascii="arial" w:eastAsia="arial" w:hAnsi="arial" w:cs="arial"/>
          <w:color w:val="000000"/>
          <w:sz w:val="20"/>
          <w:lang w:val="en-US" w:eastAsia="en-US" w:bidi="ar-SA"/>
        </w:rPr>
        <w:t xml:space="preserve"> at paras. 160-163.</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Position of parties and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plaintiff testified as to the actual costs she incurs in relation to her treatment:</w:t>
      </w:r>
      <w:r>
        <w:rPr>
          <w:rFonts w:ascii="arial" w:eastAsia="arial" w:hAnsi="arial" w:cs="arial"/>
          <w:sz w:val="20"/>
          <w:lang w:val="en-US" w:eastAsia="en-US" w:bidi="ar-SA"/>
        </w:rPr>
        <w:cr/>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Fentanyl patches at $200 per month ($2,400 annually);</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Massage treatment $85 per visit, every 3 weeks ($1,473 annually);</w:t>
      </w:r>
    </w:p>
    <w:p>
      <w:pPr>
        <w:numPr>
          <w:numId w:val="4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Cannabis CBD and THC oils for creams, $250 per month ($3,000 annually);</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Flexeril, $20 per month ($240 annually)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Each of these treatments can be tied to recommendations from the plaintiff's past or present treating doctors post-accident, as well as Dr Negraeff. The defendants did not provide any contrary medical evidence to refute the appropriateness of these treatments or the amounts or costs of this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defendants' primary objection to the claimed costs of future care focused on the fentanyl patches. They argue that there was no medical opinion that the plaintiff would be able to tolerate that prescription for the rest of her life. The plaintiff notes that she has safely taken and tolerated that medication for several years, and that regardless of whether she specifically obtains pain relief through the fentanyl patch or another medication, the cost will likely be long-term and high. Further, the fentanyl patch seems to be the only medication that consistently helps her deal with the pain. These points were supported by the evidence of the three physicians. I am satisfied that the fentanyl patch, either as a continued medication, or as a proxy for future substitutional strong pain medication, is appropriately compensable.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plaintiff provided the expert opinion of an economist, Mark Szekely, with respect to the present value of future care costs. Specifically, for every $1000 of annual costs assessed at the time of trial, the appropriate multiplier is $29,166.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Applying Mr Szekely's recommended multiplier, the recommended treatments have the following corresponding costs over the expected lifetime of an average person of Mrs. McMullin's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900"/>
        <w:gridCol w:w="25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7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Item</w:t>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Costs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7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Mid cervical facet block injections;</w:t>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$nil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7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 Counselling</w:t>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$unknown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7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Massage</w:t>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$42,961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7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 Chiropractic</w:t>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$unknown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7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 Pain science education</w:t>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$nil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7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 Gentle restorative yoga stress reduction</w:t>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$nil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7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 Cannabis Clinic</w:t>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$87,498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7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 Fentanyl</w:t>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$69,998</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total lifetime claim comes to $200,457, not including provision for heating pads, general analgesic medication or alternative analgesic medication, or counselling. I am satisfied on the medical evidence that on a balance of probabilities the plaintiff will likely need such treatments for the rest of her life, having suffered acute chronic pain requiring substantial medical relief for the past seven years.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plaintiff provided a summary of her special damages claim based on chiropractic, massage treatments, and driving costs to those treatments). These totalled $12,047.10 as of November 5, 2018. The plaintiff further claimed:</w:t>
      </w:r>
      <w:r>
        <w:rPr>
          <w:rFonts w:ascii="arial" w:eastAsia="arial" w:hAnsi="arial" w:cs="arial"/>
          <w:sz w:val="20"/>
          <w:lang w:val="en-US" w:eastAsia="en-US" w:bidi="ar-SA"/>
        </w:rPr>
        <w:cr/>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additional year of massage therapy at $1,473 (based on $85 per treatment, once every 3 weeks)</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Medication costs, including:</w:t>
      </w:r>
    </w:p>
    <w:p>
      <w:pPr>
        <w:numPr>
          <w:numId w:val="5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Fentanyl for 2015, 2016, 2017, 2018, 2019 at $2,400 per year = $12,000</w:t>
      </w:r>
    </w:p>
    <w:p>
      <w:pPr>
        <w:numPr>
          <w:numId w:val="5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Flexeril for 2013 - 2019 at $240 per year = $1,680</w:t>
      </w:r>
    </w:p>
    <w:p>
      <w:pPr>
        <w:numPr>
          <w:numId w:val="5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Cannabis and THC oils at $250 per month since August 2017 = $6,750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special damages claim thus totals $32,477.10.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defendants' primary argument against these special damages was that they were not all supported by invoices.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Each of these medical costs have been recommended or prescribed by one or more of the plaintiff's treating doctors or Dr Negraeff. They are proportionate to the pain that she has suffered over the past seven years. They are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CONCLUSION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 summary, damages are awarded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855"/>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7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Non-pecuniary damages: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7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 Loss of earning capacity:</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$480.00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7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Loss of housekeeping capacity:</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7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 Cost of future care: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$200,457.00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7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 Special damages: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$32,477.10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7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$433,414.10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Reflecting apportionment, the defendants are ordered to pay the plaintiff 50% of that amount: $216,707.05.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CRERAR J.</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A</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43" type="#_x0000_t75" style="width:371.25pt;height:473.25pt">
            <v:imagedata r:id="rId627" o:title=""/>
          </v:shape>
        </w:pict>
      </w:r>
      <w:r>
        <w:rPr>
          <w:rFonts w:ascii="arial" w:eastAsia="arial" w:hAnsi="arial" w:cs="arial"/>
          <w:sz w:val="20"/>
          <w:lang w:val="en-US" w:eastAsia="en-US" w:bidi="ar-SA"/>
        </w:rPr>
        <w:t xml:space="preserve">  </w:t>
      </w:r>
    </w:p>
    <w:p>
      <w:pPr>
        <w:spacing w:after="240"/>
        <w:rPr>
          <w:rFonts w:ascii="arial" w:eastAsia="arial" w:hAnsi="arial" w:cs="arial"/>
          <w:sz w:val="20"/>
          <w:lang w:val="en-US" w:eastAsia="en-US" w:bidi="ar-SA"/>
        </w:rPr>
      </w:pPr>
      <w:r>
        <w:pict>
          <v:line id="_x0000_s1144" style="position:absolute;z-index:251898880"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168"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168"/>
      <w:r>
        <w:rPr>
          <w:rFonts w:ascii="arial" w:eastAsia="arial" w:hAnsi="arial" w:cs="arial"/>
          <w:sz w:val="20"/>
          <w:lang w:val="en-US" w:eastAsia="en-US" w:bidi="ar-SA"/>
        </w:rPr>
        <w:tab/>
      </w:r>
      <w:r>
        <w:rPr>
          <w:rFonts w:ascii="arial" w:eastAsia="arial" w:hAnsi="arial" w:cs="arial"/>
          <w:color w:val="6D6E71"/>
          <w:sz w:val="18"/>
          <w:lang w:val="en-US" w:eastAsia="en-US" w:bidi="ar-SA"/>
        </w:rPr>
        <w:t>At the scene of the accident another person offered to serve as a witness for Ms McMullin. At the end of the day, that potential witness refused to testify; no subpoena was issued as neither party could trace his physical whereabouts.</w:t>
      </w:r>
    </w:p>
    <w:p>
      <w:pPr>
        <w:spacing w:before="120" w:after="20" w:line="240" w:lineRule="atLeast"/>
        <w:ind w:left="720" w:hanging="360"/>
        <w:jc w:val="both"/>
        <w:rPr>
          <w:rFonts w:ascii="arial" w:eastAsia="arial" w:hAnsi="arial" w:cs="arial"/>
          <w:sz w:val="20"/>
          <w:lang w:val="en-US" w:eastAsia="en-US" w:bidi="ar-SA"/>
        </w:rPr>
      </w:pPr>
      <w:bookmarkStart w:id="169"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169"/>
      <w:r>
        <w:rPr>
          <w:rFonts w:ascii="arial" w:eastAsia="arial" w:hAnsi="arial" w:cs="arial"/>
          <w:sz w:val="20"/>
          <w:lang w:val="en-US" w:eastAsia="en-US" w:bidi="ar-SA"/>
        </w:rPr>
        <w:tab/>
      </w:r>
      <w:r>
        <w:rPr>
          <w:rFonts w:ascii="arial" w:eastAsia="arial" w:hAnsi="arial" w:cs="arial"/>
          <w:color w:val="6D6E71"/>
          <w:sz w:val="18"/>
          <w:lang w:val="en-US" w:eastAsia="en-US" w:bidi="ar-SA"/>
        </w:rPr>
        <w:t>The facts in Julian v. Joyce differ from the present: there was no dedicated left-turn light. The defendant started her left turn on the yellow light that was about to turn red. In effect, the defendant had to turn left, or else be stranded in the middle of the intersection and block traffic that was about to flow in the perpendicular lanes. The through-driving plaintiff ran a stale yellow light and struck the defendant's vehicl:</w:t>
      </w:r>
    </w:p>
    <w:p>
      <w:pPr>
        <w:spacing w:before="120" w:after="20" w:line="240" w:lineRule="atLeast"/>
        <w:ind w:left="720" w:hanging="360"/>
        <w:jc w:val="both"/>
        <w:rPr>
          <w:rFonts w:ascii="arial" w:eastAsia="arial" w:hAnsi="arial" w:cs="arial"/>
          <w:sz w:val="20"/>
          <w:lang w:val="en-US" w:eastAsia="en-US" w:bidi="ar-SA"/>
        </w:rPr>
      </w:pPr>
      <w:bookmarkStart w:id="170" w:name="Forward_fnref_fnr-3"/>
      <w:hyperlink w:anchor="Backward_fnref_fnr-3" w:history="1">
        <w:r>
          <w:rPr>
            <w:rFonts w:ascii="arial" w:eastAsia="arial" w:hAnsi="arial" w:cs="arial"/>
            <w:b/>
            <w:color w:val="BE161D"/>
            <w:sz w:val="18"/>
            <w:shd w:val="clear" w:color="auto" w:fill="FFFFFF"/>
            <w:lang w:val="en-US" w:eastAsia="en-US" w:bidi="ar-SA"/>
          </w:rPr>
          <w:t>3</w:t>
        </w:r>
      </w:hyperlink>
      <w:bookmarkEnd w:id="170"/>
      <w:r>
        <w:rPr>
          <w:rFonts w:ascii="arial" w:eastAsia="arial" w:hAnsi="arial" w:cs="arial"/>
          <w:sz w:val="20"/>
          <w:lang w:val="en-US" w:eastAsia="en-US" w:bidi="ar-SA"/>
        </w:rPr>
        <w:tab/>
      </w:r>
      <w:r>
        <w:rPr>
          <w:rFonts w:ascii="arial" w:eastAsia="arial" w:hAnsi="arial" w:cs="arial"/>
          <w:color w:val="6D6E71"/>
          <w:sz w:val="18"/>
          <w:lang w:val="en-US" w:eastAsia="en-US" w:bidi="ar-SA"/>
        </w:rPr>
        <w:t>While people often take care to use the term "amber" with respect to traffic lights, the British Columbia Motor Vehicle Act in its present and past iterations has always use the term "yellow." The term "amber" does not appear in the MVA itself. The term only appears in its regulations, and then only with respect to the colour of vehicle turn signals and emergency vehicle flashing lights, not traffic lights.</w:t>
      </w:r>
    </w:p>
    <w:p>
      <w:pPr>
        <w:spacing w:before="120" w:after="20" w:line="240" w:lineRule="atLeast"/>
        <w:ind w:left="720" w:hanging="360"/>
        <w:jc w:val="both"/>
        <w:rPr>
          <w:rFonts w:ascii="arial" w:eastAsia="arial" w:hAnsi="arial" w:cs="arial"/>
          <w:sz w:val="20"/>
          <w:lang w:val="en-US" w:eastAsia="en-US" w:bidi="ar-SA"/>
        </w:rPr>
      </w:pPr>
      <w:bookmarkStart w:id="171" w:name="Forward_fnref_fnr-4"/>
      <w:hyperlink w:anchor="Backward_fnref_fnr-4" w:history="1">
        <w:r>
          <w:rPr>
            <w:rFonts w:ascii="arial" w:eastAsia="arial" w:hAnsi="arial" w:cs="arial"/>
            <w:b/>
            <w:color w:val="BE161D"/>
            <w:sz w:val="18"/>
            <w:shd w:val="clear" w:color="auto" w:fill="FFFFFF"/>
            <w:lang w:val="en-US" w:eastAsia="en-US" w:bidi="ar-SA"/>
          </w:rPr>
          <w:t>4</w:t>
        </w:r>
      </w:hyperlink>
      <w:bookmarkEnd w:id="171"/>
      <w:r>
        <w:rPr>
          <w:rFonts w:ascii="arial" w:eastAsia="arial" w:hAnsi="arial" w:cs="arial"/>
          <w:sz w:val="20"/>
          <w:lang w:val="en-US" w:eastAsia="en-US" w:bidi="ar-SA"/>
        </w:rPr>
        <w:tab/>
      </w:r>
      <w:r>
        <w:rPr>
          <w:rFonts w:ascii="arial" w:eastAsia="arial" w:hAnsi="arial" w:cs="arial"/>
          <w:color w:val="6D6E71"/>
          <w:sz w:val="18"/>
          <w:lang w:val="en-US" w:eastAsia="en-US" w:bidi="ar-SA"/>
        </w:rPr>
        <w:t>As in Joyce, the Nerval intersection had no dedicated left-turn signal. Lights were only on the north-south road on which the parties travelled; the perpendicular road was controlled by stop signs.</w:t>
      </w:r>
    </w:p>
    <w:p>
      <w:pPr>
        <w:spacing w:before="120" w:after="20" w:line="240" w:lineRule="atLeast"/>
        <w:ind w:left="720" w:hanging="360"/>
        <w:jc w:val="both"/>
        <w:rPr>
          <w:rFonts w:ascii="arial" w:eastAsia="arial" w:hAnsi="arial" w:cs="arial"/>
          <w:sz w:val="20"/>
          <w:lang w:val="en-US" w:eastAsia="en-US" w:bidi="ar-SA"/>
        </w:rPr>
      </w:pPr>
      <w:bookmarkStart w:id="172" w:name="Forward_fnref_fnr-5"/>
      <w:hyperlink w:anchor="Backward_fnref_fnr-5" w:history="1">
        <w:r>
          <w:rPr>
            <w:rFonts w:ascii="arial" w:eastAsia="arial" w:hAnsi="arial" w:cs="arial"/>
            <w:b/>
            <w:color w:val="BE161D"/>
            <w:sz w:val="18"/>
            <w:shd w:val="clear" w:color="auto" w:fill="FFFFFF"/>
            <w:lang w:val="en-US" w:eastAsia="en-US" w:bidi="ar-SA"/>
          </w:rPr>
          <w:t>5</w:t>
        </w:r>
      </w:hyperlink>
      <w:bookmarkEnd w:id="172"/>
      <w:r>
        <w:rPr>
          <w:rFonts w:ascii="arial" w:eastAsia="arial" w:hAnsi="arial" w:cs="arial"/>
          <w:sz w:val="20"/>
          <w:lang w:val="en-US" w:eastAsia="en-US" w:bidi="ar-SA"/>
        </w:rPr>
        <w:tab/>
      </w:r>
      <w:r>
        <w:rPr>
          <w:rFonts w:ascii="arial" w:eastAsia="arial" w:hAnsi="arial" w:cs="arial"/>
          <w:color w:val="6D6E71"/>
          <w:sz w:val="18"/>
          <w:lang w:val="en-US" w:eastAsia="en-US" w:bidi="ar-SA"/>
        </w:rPr>
        <w:t>In contrast to most of the cases surveyed, where the parties to the litigation are the left-turning driver and the through driver, the plaintiff in Matheson was the passenger of the defendant Fichten.</w:t>
      </w:r>
    </w:p>
    <w:p>
      <w:pPr>
        <w:spacing w:before="120" w:after="20" w:line="240" w:lineRule="atLeast"/>
        <w:ind w:left="720" w:hanging="360"/>
        <w:jc w:val="both"/>
        <w:rPr>
          <w:rFonts w:ascii="arial" w:eastAsia="arial" w:hAnsi="arial" w:cs="arial"/>
          <w:sz w:val="20"/>
          <w:lang w:val="en-US" w:eastAsia="en-US" w:bidi="ar-SA"/>
        </w:rPr>
      </w:pPr>
      <w:bookmarkStart w:id="173" w:name="Forward_fnref_fnr-6"/>
      <w:hyperlink w:anchor="Backward_fnref_fnr-6" w:history="1">
        <w:r>
          <w:rPr>
            <w:rFonts w:ascii="arial" w:eastAsia="arial" w:hAnsi="arial" w:cs="arial"/>
            <w:b/>
            <w:color w:val="BE161D"/>
            <w:sz w:val="18"/>
            <w:shd w:val="clear" w:color="auto" w:fill="FFFFFF"/>
            <w:lang w:val="en-US" w:eastAsia="en-US" w:bidi="ar-SA"/>
          </w:rPr>
          <w:t>6</w:t>
        </w:r>
      </w:hyperlink>
      <w:bookmarkEnd w:id="173"/>
      <w:r>
        <w:rPr>
          <w:rFonts w:ascii="arial" w:eastAsia="arial" w:hAnsi="arial" w:cs="arial"/>
          <w:sz w:val="20"/>
          <w:lang w:val="en-US" w:eastAsia="en-US" w:bidi="ar-SA"/>
        </w:rPr>
        <w:tab/>
      </w:r>
      <w:r>
        <w:rPr>
          <w:rFonts w:ascii="arial" w:eastAsia="arial" w:hAnsi="arial" w:cs="arial"/>
          <w:color w:val="6D6E71"/>
          <w:sz w:val="18"/>
          <w:lang w:val="en-US" w:eastAsia="en-US" w:bidi="ar-SA"/>
        </w:rPr>
        <w:t>Neither party referred Lightbown to the Court. It is nominally unreported but readily available on Quicklaw. I do not ascribe any ethical lapse on the part of counsel for its omission. But it should have been located and provided to the Court. In a memorandum, the Court invited the parties' written submissions on the case. APPENDIX A:</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5" style="position:absolute;z-index:2518999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28"/>
          <w:headerReference w:type="default" r:id="rId629"/>
          <w:footerReference w:type="even" r:id="rId630"/>
          <w:footerReference w:type="default" r:id="rId631"/>
          <w:headerReference w:type="first" r:id="rId632"/>
          <w:footerReference w:type="first" r:id="rId63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34" w:history="1">
        <w:r>
          <w:rPr>
            <w:rFonts w:ascii="arial" w:eastAsia="arial" w:hAnsi="arial" w:cs="arial"/>
            <w:b/>
            <w:bCs/>
            <w:i/>
            <w:color w:val="0077CC"/>
            <w:kern w:val="32"/>
            <w:sz w:val="28"/>
            <w:szCs w:val="32"/>
            <w:u w:val="single"/>
            <w:shd w:val="clear" w:color="auto" w:fill="FFFFFF"/>
            <w:lang w:val="en-US" w:eastAsia="en-US" w:bidi="ar-SA"/>
          </w:rPr>
          <w:t>Moulton Contracting Ltd. v. British Columbia, [2014] I.L.R. para. G-2556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Saunders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December 23,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S067611</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[2014] I.L.R. para. G-2556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[2013] B.C.J. No. 2818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2013 BCSC 2348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Moulton Contracting Ltd. Plaintiff v. Her Majesty the Queen in Right of the Province of British Columbia, Sally Behn, Susan Behn, George Behn, Richard Behn, Greg Behn, Rupert Behn, Lovey Behn, Mary Behn, Chief Liz Logan on behalf of herself and all other members of the Fort Nelson First Nation and the same Fort Nelson First Nation Defendants v. Her Majesty the Queen in Right of the Province of British Columbia Third Party</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6"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4" w:name="Keywords_23"/>
      <w:bookmarkEnd w:id="174"/>
      <w:r>
        <w:rPr>
          <w:rFonts w:ascii="arial" w:eastAsia="arial" w:hAnsi="arial" w:cs="arial"/>
          <w:b/>
          <w:color w:val="000000"/>
          <w:sz w:val="20"/>
          <w:lang w:val="en-US" w:eastAsia="en-US" w:bidi="ar-SA"/>
        </w:rPr>
        <w:t>Tort — Negligent misrepresentation — Defendant province issued logging licences to plaintiff — Plaintiff logging company was unable to gain access to licensed areas due to blockade by First Nations group — Plaintiff commenced action against province and First Nations defendants — Court dismissed majority of claim against province but found province liable for breach of implied term in contract — Court found province concurrently liable in tort for breach of continuing representation in failing to warn plaintiff of First Nation's intent to deprive it of access to logging area — Court awarded plaintiff $1.75 million in damages for loss of opportunity — Court dismissed claims against First Nations defendants — Action allowed in part.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5" w:name="Case Summary_22"/>
            <w:bookmarkEnd w:id="175"/>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was a logging contractor that alleged it was precluded from accessing certain areas of land where it held timber licences from the defendant province by the actions of certain members of the defendant Fort Nelson First Nation ("FNFN"). One of these actions included the blockade of a road to the logging areas. The licensed areas included areas where the FNFN exercised their traditional rights, including running traplines. Apparently, the FNFN expressed concerns over logging prior to the plaintiff beginning its logging operations in the area, but the province did not inform the plaintiff of these issues. The plaintiff sued the province for breach of contract and negligent misrepresentation and sued the FNFN defendants for intentional interference with contractual rights, mischief, and conspiracy.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6" w:name="Holdings of Court_22"/>
            <w:bookmarkEnd w:id="176"/>
            <w:r>
              <w:rPr>
                <w:rFonts w:ascii="arial" w:eastAsia="arial" w:hAnsi="arial" w:cs="arial"/>
                <w:color w:val="000000"/>
                <w:sz w:val="20"/>
                <w:lang w:val="en-US" w:eastAsia="en-US" w:bidi="ar-SA"/>
              </w:rPr>
              <w:t>HELD: The action was allowed in part against the province, and dismissed against the FNFN defendants.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found no liability with respect to most of the allegations made by the plaintiff. However, it did find the province liable for breach of an implied term of the licences, the implied term being that the province was not aware of any First Nations being dissatisfied with the consultation undertaken by the province. On the contrary, the province knew or ought to have known that the FNFN defendants were threatening to block access to the timber areas. Further, it did not advise the plaintiff of this threat. In addition to contract law, the Court held that this finding could also be made on the basis of concurrent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based on an implied continuing representation. The province clearly owed a duty of care to the plaintiff to pass on information that was fundamental to its ability to perform under its licences. Had the province advised the plaintiff of the threat of blockades, the plaintiff would have pursued other opportunities. As such, the province was liable to the plaintiff for the loss of these opportunities. The Court awarded the plaintiff $1.75 million.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7" w:name="Counsel_24"/>
      <w:bookmarkEnd w:id="17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7"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C.F. Willms, K. Grist for the plaintiff; K. Phillips and J. Oliphant for the defendant HMTQ; R. Janes and S. Sharp for the defendants Behn; A. Rana and A. Russell for the defendants Chief L. Logan and Fort Nelson First Nation.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8" w:name="Judgment_24"/>
      <w:bookmarkEnd w:id="178"/>
      <w:r>
        <w:pict>
          <v:line id="_x0000_s1148" style="position:absolute;z-index:251786240" from="0,12pt" to="512pt,12pt" strokecolor="#009ddb" strokeweight="1.5pt">
            <v:stroke linestyle="single"/>
          </v:line>
        </w:pict>
      </w:r>
    </w:p>
    <w:p>
      <w:p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601"/>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Table of Contents</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Paragraph Range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SYNOPSIS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 [3]</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PROCEDURAL HISTORY</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 - [18]</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III.</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PARTIES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 - [26]</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IV.</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FACTS</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 - [170]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496"/>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Background</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 - [48]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3869"/>
        <w:gridCol w:w="3555"/>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MOF and BCTS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 - [32]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FNFN Lands Department</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 - [40]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3869"/>
        <w:gridCol w:w="3555"/>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Relationship between BCTS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 FNFN</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[41] - [48]</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496"/>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Pre-TSL Consultation</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[49] - [73]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3869"/>
        <w:gridCol w:w="3555"/>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November 2004 Meeting</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[52] - [58]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3869"/>
        <w:gridCol w:w="3555"/>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Approval of the FDP</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Amendment</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[59] - [73]</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496"/>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Issuance of the TSLs to</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Moulton Contracting</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[74] - [90]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3869"/>
        <w:gridCol w:w="3555"/>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Road Permits</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[86] - [90]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496"/>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Post-TSL Consultation and</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Dealings with Mr. Behn</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[91] - [108]</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496"/>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Commencement of Harvesting,</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 the Blockade</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[109] - [170]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3869"/>
        <w:gridCol w:w="3555"/>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Participation of FNFN</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 the Blockade</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[117] - [145]</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3869"/>
        <w:gridCol w:w="3555"/>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Erection and Operation</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the Blockade</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[146] - [170]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PLAINTIFF'S CLAIM</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[171] - [171]</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VI.</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DISCUSSION</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[172] - [311]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496"/>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Liability of the Behn</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Defendants, FNFN and Chief Logan</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[172] - [271]</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3869"/>
        <w:gridCol w:w="3555"/>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Unlawful Act - Mischief</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[186] - [210]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3869"/>
        <w:gridCol w:w="3555"/>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Unlawful Act - Unauthorized</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Blockade</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[211] - [228]</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3869"/>
        <w:gridCol w:w="3555"/>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Civil Conspiracy</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[229] - [234]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3869"/>
        <w:gridCol w:w="3555"/>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Alternative Findings as to</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Liability of Individual</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Defendants</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[235] - [239]</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3869"/>
        <w:gridCol w:w="3555"/>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Alternative Findings as to</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Liability of FNFN</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[240] - [271]</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496"/>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Liability of the Province</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[272] - [311]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3869"/>
        <w:gridCol w:w="3555"/>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"Access Promise"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[272] - [279]</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"Consultation Promise"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[280] - [303]</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Failure to Mitigate</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[304] - [311]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VII.</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DAMAGES</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[312] - [320]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019"/>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VIII.</w:t>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CONCLUSION</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[321] - [323]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9" w:name="A. SAUNDERS J."/>
            <w:bookmarkEnd w:id="179"/>
            <w:r>
              <w:rPr>
                <w:rFonts w:ascii="arial" w:eastAsia="arial" w:hAnsi="arial" w:cs="arial"/>
                <w:b/>
                <w:color w:val="000000"/>
                <w:sz w:val="30"/>
                <w:lang w:val="en-US" w:eastAsia="en-US" w:bidi="ar-SA"/>
              </w:rPr>
              <w:t>A. SAUNDERS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SYNOPSIS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concerns liability for economic losses alleged to have been sustained by the plaintiff, a logging contractor, when it was prevented by the actions of certain members of the Fort Nelson First Nation ("FNFN") from gaining access to certain areas of land outside Fort Nelson, B.C. The plaintiff had obtained the right to log the areas through the purchase of two Timber Sales Licenses ("TSLs") from the Province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impugned actions of the defendant members of the Behn Family consisted of erecting a camp across a road (the "Canfor Road"), which it was necessary to traverse in order to travel from the nearest resource road into the subject TSL blocks. The camp was erected on October 2, 2006; at that point, a small amount of timber had already been harvested by the plaintiff, though the logs had not been removed from the area. No further logging took place after that date. After some period of time, the plaintiff was permitted to remove the logs that had been harvested. FNFN is also alleged to have taken part in the blockade. The Province of British Columbia is alleged to have been in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 the reasons set out herein, I rule as follows:</w:t>
      </w:r>
      <w:r>
        <w:rPr>
          <w:rFonts w:ascii="arial" w:eastAsia="arial" w:hAnsi="arial" w:cs="arial"/>
          <w:sz w:val="20"/>
          <w:lang w:val="en-US" w:eastAsia="en-US" w:bidi="ar-SA"/>
        </w:rPr>
        <w:cr/>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Behn Defendants, Chief Logan and FNFN did not commit the torts of intentional interference with economic relations or conspiracy, and the action as against them is dismissed;</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was in breach of its duty to consult with FNFN, and in breach of an implied term of the TSLs that it had taken all necessary steps to discharge its duty to consult with FNFN before issuing the TSLs. It would be liable to the plaintiff in damages for loss flowing from that breach; however, by reason of the lack of evidence as to a clear causal connection between the Province's breach and the blockade, and by reason of the wording of an exemption clause in the TSLs, the damages claimed for the loss flowing from the blockading of the Canfor Road are not recoverable;</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was also in breach of an implied contractual term, and, concurrently, liable in tort for breach of a continuing representation, in failing to have warned the plaintiff of the defendant George Behn's intent to deprive the plaintiff of access to the TSL blocks, soon after Mr. Behn advised the Province of his intention to do so on July 31, 2006. The Province therefore is liable to the plaintiff for the loss of its opportunity to secure other contracts for the 2006-2007 winter logging season;</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is liable to the plaintiff for damages in the amount of $1,750,000.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PROCEDURAL HISTORY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action was commenced by way of a Writ of Summons and Statement of Claim issued November 23, 2006. Following the close of pleadings, a thirty-day trial was booked to commence March 8,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January 7 and 8, and March 15, 2010, Hinkson J. (as he then was) heard two applications: an application by the plaintiff to strike paragraphs of the Statement of Defence of the Behn Defendants in which the TSLs were alleged to have interfered with the ability of FNFN to exercise its rights under Treaty 8; and an application by the Province to strike the third party claim filed against it by Chief Logan and FNFN.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March 2010 trial date was adjourned by consent, pending determination of those applications. The trial was rescheduled to commence September 20,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By way of an Order made April 15, 2010 (Reasons for Judgment indexed at </w:t>
      </w:r>
      <w:hyperlink r:id="rId636" w:history="1">
        <w:r>
          <w:rPr>
            <w:rFonts w:ascii="arial" w:eastAsia="arial" w:hAnsi="arial" w:cs="arial"/>
            <w:i/>
            <w:color w:val="0077CC"/>
            <w:sz w:val="20"/>
            <w:u w:val="single"/>
            <w:shd w:val="clear" w:color="auto" w:fill="FFFFFF"/>
            <w:lang w:val="en-US" w:eastAsia="en-US" w:bidi="ar-SA"/>
          </w:rPr>
          <w:t>2010 BCSC 506</w:t>
        </w:r>
      </w:hyperlink>
      <w:r>
        <w:rPr>
          <w:rFonts w:ascii="arial" w:eastAsia="arial" w:hAnsi="arial" w:cs="arial"/>
          <w:color w:val="000000"/>
          <w:sz w:val="20"/>
          <w:lang w:val="en-US" w:eastAsia="en-US" w:bidi="ar-SA"/>
        </w:rPr>
        <w:t>), Hinkson J. granted the applications. The basis of the decisions, generally, was that the impugned pleadings constituted a collateral attack on the TSLs that could only properly have been heard by way of judicial review; and further, with respect to the defence of the Behn Defendants, that they lacked standing to assert defences based on aboriginal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June 14, 2010, the parties appeared before me on the application of the Behn Defendants for a further adjournment of the trial, in order to allow for an appeal of the decision of Hinkson J. Judgment on that application was reserved, pending disposition of an application to the Court of Appeal for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June 18, 2010, Frankel J.A. of the B.C. Court of Appeal ruled that the Behn Defendants would not require leave to appeal the decision of Hinkson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June 24, 2010 I ordered that the trial be adjourned.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appeal of the decision of Hinkson J. was heard by the B.C. Court of Appeal in November 2010. Supplemental written briefs addressing new case law were filed in February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By way of Orders made July 6, 2011 (reasons for judgment indexed respectively at </w:t>
      </w:r>
      <w:hyperlink r:id="rId637" w:history="1">
        <w:r>
          <w:rPr>
            <w:rFonts w:ascii="arial" w:eastAsia="arial" w:hAnsi="arial" w:cs="arial"/>
            <w:i/>
            <w:color w:val="0077CC"/>
            <w:sz w:val="20"/>
            <w:u w:val="single"/>
            <w:shd w:val="clear" w:color="auto" w:fill="FFFFFF"/>
            <w:lang w:val="en-US" w:eastAsia="en-US" w:bidi="ar-SA"/>
          </w:rPr>
          <w:t>2011 BCCA 311</w:t>
        </w:r>
      </w:hyperlink>
      <w:r>
        <w:rPr>
          <w:rFonts w:ascii="arial" w:eastAsia="arial" w:hAnsi="arial" w:cs="arial"/>
          <w:color w:val="000000"/>
          <w:sz w:val="20"/>
          <w:lang w:val="en-US" w:eastAsia="en-US" w:bidi="ar-SA"/>
        </w:rPr>
        <w:t xml:space="preserve"> and </w:t>
      </w:r>
      <w:hyperlink r:id="rId638" w:history="1">
        <w:r>
          <w:rPr>
            <w:rFonts w:ascii="arial" w:eastAsia="arial" w:hAnsi="arial" w:cs="arial"/>
            <w:i/>
            <w:color w:val="0077CC"/>
            <w:sz w:val="20"/>
            <w:u w:val="single"/>
            <w:shd w:val="clear" w:color="auto" w:fill="FFFFFF"/>
            <w:lang w:val="en-US" w:eastAsia="en-US" w:bidi="ar-SA"/>
          </w:rPr>
          <w:t>2011 BCCA 312</w:t>
        </w:r>
      </w:hyperlink>
      <w:r>
        <w:rPr>
          <w:rFonts w:ascii="arial" w:eastAsia="arial" w:hAnsi="arial" w:cs="arial"/>
          <w:color w:val="000000"/>
          <w:sz w:val="20"/>
          <w:lang w:val="en-US" w:eastAsia="en-US" w:bidi="ar-SA"/>
        </w:rPr>
        <w:t>), the Court of Appeal upheld the decision of Hinkson J. with respect to the Statement of Defence of the Behn Defendants, but allowed the appeal of Chief Logan and FNFN and reinstated their third party notice against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Behn Defendants applied to the Supreme Court of Canada for leave to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a Trial Management Conference held August 22 and 26, 2011, the Behn Defendants applied for a further adjournment of the trial to allow for a possible appeal to the Supreme Court of Canada. I dismissed the application and ruled that the trial would proceed, if necessary in two phases: a first phase dealing with evidence germane to the pleadings in their current form, such that a decision could be rendered if the appeal did not succeed; and, if leave were granted and the Behn Defendants succeeded in reinstating the defences, a second phase dealing with evidence germane to those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first phase of this trial commenced on September 12, 2011. Argument concluded with the receipt of written submissions on December 8, 2011. Judgment was reserved, pending the disposition of the proceedings before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Leave to appeal was granted to the Behn Defendants on April 5, 2012, </w:t>
      </w:r>
      <w:hyperlink r:id="rId639" w:history="1">
        <w:r>
          <w:rPr>
            <w:rFonts w:ascii="arial" w:eastAsia="arial" w:hAnsi="arial" w:cs="arial"/>
            <w:i/>
            <w:color w:val="0077CC"/>
            <w:sz w:val="20"/>
            <w:u w:val="single"/>
            <w:shd w:val="clear" w:color="auto" w:fill="FFFFFF"/>
            <w:lang w:val="en-US" w:eastAsia="en-US" w:bidi="ar-SA"/>
          </w:rPr>
          <w:t>[2011] S.C.C.A. No. 360</w:t>
        </w:r>
      </w:hyperlink>
      <w:r>
        <w:rPr>
          <w:rFonts w:ascii="arial" w:eastAsia="arial" w:hAnsi="arial" w:cs="arial"/>
          <w:color w:val="000000"/>
          <w:sz w:val="20"/>
          <w:lang w:val="en-US" w:eastAsia="en-US" w:bidi="ar-SA"/>
        </w:rPr>
        <w:t>. The appeal of the Behn Defendants was heard December 11,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May 9, 2013 the Supreme Court of Canada pronounced judgment, dismissing the appeal (</w:t>
      </w:r>
      <w:r>
        <w:rPr>
          <w:rFonts w:ascii="arial" w:eastAsia="arial" w:hAnsi="arial" w:cs="arial"/>
          <w:i/>
          <w:color w:val="000000"/>
          <w:sz w:val="20"/>
          <w:lang w:val="en-US" w:eastAsia="en-US" w:bidi="ar-SA"/>
        </w:rPr>
        <w:t>sub nom. Behn v. Moulton Contracting Ltd.</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2013 SCC 26</w:t>
        </w:r>
      </w:hyperlink>
      <w:r>
        <w:rPr>
          <w:rFonts w:ascii="arial" w:eastAsia="arial" w:hAnsi="arial" w:cs="arial"/>
          <w:color w:val="000000"/>
          <w:sz w:val="20"/>
          <w:lang w:val="en-US" w:eastAsia="en-US" w:bidi="ar-SA"/>
        </w:rPr>
        <w:t>). Affirming the decision of Hinkson J., the Court held that, on the facts alleged in the pleadings, the raising of a breach of the duty to consult and of treaty rights as a defence was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appeal of the Behn Defendants having been dismissed, this court is now able to pronounce on the merits of the plaintiff's claims, on the basis of the evidence heard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PARTIES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Moulton Contracting Ltd., was a logging contracting business, headed by its principal Mr. Kevin Moulton. I refer herein to the plaintiff as "Moulton Contracting", and to Kevin Moulton as "Mr. Moulton".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Fort Nelson First Nation is an Indian Band, as defined by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w:t>
      </w:r>
      <w:hyperlink r:id="rId641" w:history="1">
        <w:r>
          <w:rPr>
            <w:rFonts w:ascii="arial" w:eastAsia="arial" w:hAnsi="arial" w:cs="arial"/>
            <w:i/>
            <w:color w:val="0077CC"/>
            <w:sz w:val="20"/>
            <w:u w:val="single"/>
            <w:shd w:val="clear" w:color="auto" w:fill="FFFFFF"/>
            <w:lang w:val="en-US" w:eastAsia="en-US" w:bidi="ar-SA"/>
          </w:rPr>
          <w:t>R.S.C. 1985, c.I-5</w:t>
        </w:r>
      </w:hyperlink>
      <w:r>
        <w:rPr>
          <w:rFonts w:ascii="arial" w:eastAsia="arial" w:hAnsi="arial" w:cs="arial"/>
          <w:color w:val="000000"/>
          <w:sz w:val="20"/>
          <w:lang w:val="en-US" w:eastAsia="en-US" w:bidi="ar-SA"/>
        </w:rPr>
        <w:t>, and is a signatory to Treaty 8 with the Crown, originally signed June 21, 1899. Among other things, Treaty 8 provided that the aboriginals who were surrendering their lands under the treaty would have the right to hunt, trap and fish throughout their surrendered tracts, save and except for such tracts as might be required or taken up from time to time for settlement, mining, lumbering, trading or other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 Elizabeth Logan was at all material times the elected Chief of the FNFN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Defendants George, Mary, Sally, Richard, Greg, Rupert, and Lovey Bain are aboriginal persons and members of FNFN. George Behn is the "headman" of the extended Behn Family. Mary Behn is George Behn's wife; Sally, Richard, Greg, Rupert and Lovey are five of their thirteen children. The Defendant Susan Behn is the wife of Richard Behn. They are collectively referred to herein as the "Behn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subject TSLs fell within areas in which members of the Behn Family exercised their traditional rights. George Behn was also the holder of registered traplines that ran through the TSL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 Sally Behn was, at all material times, also a member of the FNFN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None of the Behn Defendants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are two key Crown actors. The government ministry responsible is the Ministry of Forests and Range; I refer herein to it and its predecessor, the Ministry of Forests, as "MOF". B.C. Timber Sales ("BCTS") was a department of MOF which, as of about 2002, had become an autonomous organization within MOF in some respects.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FACTS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am obliged to all counsel for the thorough and balanced summaries of the facts prepared in their written arguments. Most of the facts are not in dispute, and in articulating the following findings of fact I have adopted substantial portions of those summaries.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Background</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MOF and BCTS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2004-2005, MOF was the responsible provincial ministry with respect to forestry matters. District Managers of MOF had responsibility for reviewing and approving amendments to each district's Forest Development Plan ("FDP"). It is the Province's evidence that the performance of a District Manager is measured by how quickly FDP amendments are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According to the witness Mr. Brian Wesleyson, a BCTS Timber Sales Manager, BCTS has had a dual mandate: to generate revenue for the provincial Crown, and to manage forestry resources sustainably in British Columbia. The business goals of BCTS include providing a reliable supply of timber to the market through open and competitive auctions, and maximizing net revenue for the Province. The manner in which BCTS operates is very similar to a private sector organization. BCTS generated $430 million in net revenue for the Province in its first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BCTS also manages and leads the consultation process on proposed FDP amendments on behalf of the Crown. It organizes meetings and site visits with First Nations, arranges for the provision of relevant information to First Nations, and follows up on information requests made by First Nations. Ultimately, it reports to MOF on the status of the consultation process when it applies for approval of an FDP Amendment, and it expects MOF to consider and rely on that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BCTS has an advisory council - the Timber Sales Advisory Council (TSAC) - that reflects its business focus. TSAC provides policy advice to BCTS and reviews and comments on BCTS policy. There has never been First Nations or Aboriginal representative on TSAC.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respect of the subject TSLs, BCTS acted in two capacities. First, it acted as an applicant or proponent in seeking approval of FDP Major Amendment #6 (the "FDP Amendment") from the MOF District Manager of the Fort Nelson Forest District, Mr. Dave Hails. Once the FDP Amendment was approved, BCTS also acted as a decision-maker, with full discretion to post the cutblocks identified in the FDP for sale as TSLs, or to cancel or amend the cutblocks.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FNFN Lands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Crown consultations with FNFN as to issues surrounding resource extraction from traditional aboriginal lands were handled through the FNFN Lands Department (the "Lands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From the fall of 2004 to the fall of 2005, the Lands Department consisted of five staff members - the Land Manager, the Assessor, a clerk, a receptionist, and a GIS Technician. The GIS Technician was assigned exclusively to an oral history project and was not involved in the consultation-related work of the Lands Department. The Lands Department's main responsibility was to review and assess all applications referred to the First Nation (referrals) for activities related to land use within the FNFN's traditional territory (outside of its reserve lands) and to make recommendations to Chief and Council as to how to respond to referrals, including setting out any concerns raised by the application. The Lands Manager acted as a liaison to Chief and Council on these matters and had no decision-making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Lands Department dealt with referrals from the Province's Oil and Gas Commission ("OGC") and various provincial ministries - including the Ministries of Energy, of Forestry and of the Environment - as well as matters before the National Energy Board. The Lands Department also conducted pre-consultation discussions with various oil and gas companies; as part of this process the Lands Department arranged pre-consultation meetings with industry and land users, and facilitated ongoing communication between them to ensure the concerns of land users were addressed. The Lands Department also managed ongoing relationships with large forestry harvesters. At the material time, the Lands Department was also conducting an oral history project funded through the OGC.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From August 2004 to December 2005, the Lands Department was managed by Ms. Vera Nicholson. Ms. Nicholson had a diploma in natural resource management. She had worked for the OGC as Aboriginal liaison to the Blueberry and Halfway River First Nations in respect of oil and gas referrals, and immediately prior to joining FNFN had served in a consultation-related role at Westcoast Energy and it successor, Duke Energy.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At that time, the Lands Department was receiving approximately 2,500 - 3,000 referrals annually. Ninety-five percent of the referrals related to oil and gas activities, with the remainder being primarily forestry-related referrals, including FDP amendments and pesticide management plans. Its high season commenced in the late summer/early fall when the oil and gas industry began preparing for work during the fall/winter freeze-up, and ended in February. During the month of November, referrals from the OGC would be in the range of 125 to 170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Consultation-related work was labour-intensive, and included multiple meetings with land users, oil and gas proponents, and government agencies and departments. Consultation-related work included desktop reviews by the Lands Clerk and assessments by the Assessor or the Lands Manager. Desktop reviews by the Lands Clerk of referrals of oil and gas development plans, as well as actual referrals stemming from those plans, required the Lands Clerk to cull in-house information on cumulative impacts and to review the contents of each referral package (the application and supporting documents). Once each desktop review was completed, the Assessor or the Lands Manager conducted an assessment of the Lands Clerk's review, including an examination of the materials to identify any information gaps and to obtain any missing information, including information from affected land users.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This work required multiple meetings, often on the same day. These would include pre-consultation meetings, organized by the Lands Department Assessor or the Lands Manager, with oil and gas proponents and with those FNFN land users potentially affected by a proposed oil and gas development plan; meetings with FNFN land users to assist the Lands Assessor or Lands Manager in gathering information on land user concerns about potential impacts on their traditional land use and exercise of their Treaty rights; and meetings with government agencies or departments and, ideally, the land users themselves, to assess potential impacts on land use and Treaty rights and to develop mitigation or avoidance measures.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Lands Department was able to undertake the work of reviewing oil and gas referrals only because it had received funding directed to that purpose through a Memorandum of Understanding ("MOU") with the OGC. The MOU had been formalized in 1998. Even with that funding, however, it is apparent from the evidence that the Lands Department was challenged by the volume and complexity of the referrals it received.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Relationship between BCTS and FNFN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model of funding provided by the OGC and the consultation that resulted stands in stark contrast to the structure of the Province's consultation with FNFN over forestry matters. No funding was provided by BCTS, MOF or any other arm of government. Consequently, the Lands Department did not have sufficient capacity to undertake meaningful evaluation of MOF proposals. FNFN's concerns with respect to capacity had been communicated to the Ministry at least as early as 1997, in the context of development of the MOF's FDP for the district. In a letter dated December 1, 1997, addressed to the BCTS District Manager - then a Mr. Dave Lawson - Sally Behn, who was then serving as Chief Councillor of FNFN, summarized their concerns with MOF's consultation process, including the following:</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short deadline for review of the FDP is unreasonable and we proposed a process for meaningful consultation (a proposal you continue to ignore)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Your staff has made no attempt to understand our concerns. They think that notification equals consultation. It does not and we dispute whether the environmental and archeological assessments meet the intended requirements of the FDP</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need time and resources to review the environmental and archeological reviews once they have been completed; after which the Band will be in a position to consult meaningfully.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Ms. Behn's letter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Simply explaining your process to us does not constitute consultation. Simply sending us copies of your documents is not sufficient notice. What good is it to send us this material, (the environmental assessment, the archeological assessment, and the wildlife assessment), if we cannot understand it? Therefore, attached herein, we are returning to you the assessments until financial resources are provided to us for us to have a satisfactory assessment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By way of a letter dated October 14, 1998, FNFN submitted a formal request to MOF for funding to review forest district plans. The letter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limited funds to meet the basic needs of our band members. We are daily inundated with provincially supported projects that intrude into our traditional Treaty territory. We rarely have advance or adequate notice of these activities, which contribute to the cumulative and long-term erosion of our Treaty rights. Every intrusion into our ceded Treaty area erodes our ability to continue our "mode of life" as specifically promised in Treaty 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Province support forest development for an economic purpose yet expects the Band to pay its own cost, from money it doesn't have, to respond to your economic objectives. To add insult to injury, if we do not or can not respond to the Ministry's consultation guidelines, we are deemed to have consented. This is unfair, unjust and unethical.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Dissatisfaction with the Province's lack of meaningful consultation led, in or about 2003, to members of FNFN who exercised trapping rights unilaterally imposing a moratorium on further logging in their traditional lands. That moratorium was not recognized by MOF.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January 2004, the seven signatory Nations to Treaty 8 (the "Seven First Nations") developed a written policy covering all aspects of consultation pertaining to Crown and private activities that could impact aboriginal rights, or treaty rights in particular. The document - entitled "A Framework for Relations with Governments and Industry within Treaty 8 Territory in British Columbia" (the "Framework") - set out, among other things, a model of consultation in three phases: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Phase 1, Pre-Consultation, involves the Crown and interested third parties assembling all relevant project information, including impacts on the rights of the particular First Nations and including cumulative impacts, and providing it to the First Nations for review. There are to be sufficient time and resources to enable the First Nations to undertake proper analysis and processing, including where necessary funding by the Crown or the project proponents of studies of bio-physical, socio-economic, and archaeological impacts, and traditional land 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Phase 2 is the applicable public regulatory process, if any;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Phase 3 involves First Nations-specific processes, including ongoing consultation to ensure that the requirements of accommodating the First Nations' unique rights, interests and concerns, as required by </w:t>
      </w:r>
      <w:r>
        <w:rPr>
          <w:rFonts w:ascii="arial" w:eastAsia="arial" w:hAnsi="arial" w:cs="arial"/>
          <w:i/>
          <w:color w:val="000000"/>
          <w:sz w:val="20"/>
          <w:lang w:val="en-US" w:eastAsia="en-US" w:bidi="ar-SA"/>
        </w:rPr>
        <w:t>Sparrow</w:t>
      </w:r>
      <w:r>
        <w:rPr>
          <w:rFonts w:ascii="arial" w:eastAsia="arial" w:hAnsi="arial" w:cs="arial"/>
          <w:color w:val="000000"/>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[1990] 1 S.C.R. 1075</w:t>
        </w:r>
      </w:hyperlink>
      <w:r>
        <w:rPr>
          <w:rFonts w:ascii="arial" w:eastAsia="arial" w:hAnsi="arial" w:cs="arial"/>
          <w:color w:val="000000"/>
          <w:sz w:val="20"/>
          <w:lang w:val="en-US" w:eastAsia="en-US" w:bidi="ar-SA"/>
        </w:rPr>
        <w:t>. Where impacts on aboriginal rights cannot be avoided, the parties are to agree on a Mitigation, Accommodation and Compensation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evidence given on discovery by Mr. Wesleyson, District Manager of BCTS, was that the Framework was not adopted, approved, or endorsed by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day-to-day nature of the relationship between FNFN and MOF and the consequences of the lack of resources were described by Ms. Nicholson in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I want to get an understanding of what kind of work was involved with the land office in dealing with these referrals. We've talked about oil and gas and what happens with oil and gas referral. But how are Forestry referrals dealt with at the land department when you were manager?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They were reactive. It was -- you know, I know a review was taken of risk, and more or less -- I lost my word to exactly describe it. It was more like definitely reactive and in a sense, is that how could we deal with this? We do -- you know, it's an added responsibility on us. We did not have the expertise or capacity within our department to deal with it. But yet we were expected to provide information.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said you would look at it in terms of risk. What do you mean by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Risk and in a sense of who's involved; what was the history. That sort of -- just a quick overview. And a lot of it was based on -- on our own personal knowledge or the oral history within -- within the area.</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I'm just trying to understand what you mean by the word "risk". Risk of something.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risk of impact. What were the risks of this -- of this application. We would do a quick review of it. And a lot -- well, we would call a meeting of Forestry -- Ministry of Forests to come in and explain their percentage. Because we -- with forestry we, like I say, we were in a reactive mode with them. It was -- they had a timeline that was pre-determined. And they expected us to -- to deal with it within those timelines. However, our-- our concerns were never -- I mean I'm just going to go back on history of the Nation, there were many letters sent from council to Ministry of Forests on lack of capacity and the Nation's capability of dealing with that type of application. They did not have the technical expertise in-house to deal with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what type of capacity would you hire if you had the funding? Who would you have needed?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Someone in that -- you know, that had a forestry background. Possibly a RPF, a registered forester. Someone that dealt with environmental issues on a large -- on large tracts of land, possibly a biologist. You know, those types of individuals. And maybe not hire them, but also -- having the means to contract those -- those expertise in order to review on our behalf -- or the Nation's behalf.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Can you explain or provide us any more information on what was being asked of the First Nation and what you would typically provide in response to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Like I had said earlier, is that Ministry of Forests -- I want to say added to -- it was their culture that -- believe us; this is what it is; believe it; take it at face value. However, the Nation's -- the history with Forestry with the nation has always been, or has always been very controversial in -- issues had not been addressed. There was always the issue of capacity. Capacity to review their applications. There was always the issue of them not sharing the information or the data they had collected. It was never a two-way relationship or communication between the Ministry of Forests and the Fort Nelson First Nation.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what sort of data are you referring to when you said that they are not sharing?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am thinking what, you know, they may have had done a habitat study in the area. Or they may have done a -- they may have done their own ground proof thing. But it was never -- it was never -- that detailed information, not provided to us. They said, "Well, we've done this and believe us that we've done it, and there is -- there is no concern for you". And it's just the relationship. There was no relationship between the Nation and Ministry of Forests to build that trust. And there was no relationship between Ministry of Forests and the land users to gain that trust either.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Province, in its defence at trial, did not tender any documents in which FNFN's evidence of its position regarding consultation issues, capacity in particular, was refuted. Ms. Nicholson was not cross-examined on her evidence as to the character of the relationship between FNFN and MOF. No witnesses called on behalf of the Province gave a different account. Consequently, I accept in its entirety Ms. Nicholson's evidence as to the character of the relationship with MOF, the limited extent of consultation, the lack of capacity with the Lands Department and the effects of that lack of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is apparent, to say the least, that the relationship between BCTS and FNFN was not one of equals. And - not to say that this was legally required of the parties - there was nothing like a harmonious working towards a common goal of resource stewardship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Pre-TSL Consultation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August 11, 2004, Mr. Bob Phipps, a Planning Forester with BCTS, wrote to Chief Liz Logan of the FNFN advising of a proposed major amendment to the Small Business Forest Enterprise Program Forest Development Plan (the "FDP Amendment") for the Fort Nelson Timber Supply Area. Included in the proposed FDP Amendment was a general description of two proposed blocks that eventually became the blocks licensed to Moulton Contracting as TSL A66572 and TSL A66573.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August 12, 2004, Mr. Phipps wrote to Mr. Dave Hails, the MOF District Manager of the Fort Nelson Forest District, to inform him of the proposed FDP Amendment for the Fort Nelson Timber Supply Area. The FDP Amendment needed the approval of the District Manager in order for BCTS to sell the timber harvest blocks being proposed to be added through the FDP Amendment, including the subject TSLs. However, once the FDP Amendment was approved, the time frame for posting the TSLs for public bidding was entirely within BCTS'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September 16, 2004, Mr. Phipps wrote to Mr. Behn, providing an overview map at 1:200,000 scale showing the approximate locations of proposed cutblocks within the FDP Amendment and requesting Mr. Behn to submit to him any concerns or comments. The map showed the approximate locations of proposed harvest blocks (including the areas for harvest subsequently granted to Moulton Contracting under the TSLs). The maps did not identify specific locations relevant to aboriginal hunting or trapping. A table accompanying the map did not identify which cutblocks were on Mr. Behn's trap line. BCTS possessed smaller-scale maps but they were not provided to Mr. Behn.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November 2004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Behn brought Mr. Phipps' letter to the attention of Ms. Vera Nicholson of FNFN, and on November 22, 2004, representatives of BCTS, Ms. Angela Thomas and Mr. Bob Phipps, together with Ms. Mary Viszlai-Beale of the MOF met with Ms. Nicholson to discuss the proposed FDP Amendment. Ms. Nicholson raised a number of concerns with respect to the potential habitat and cultural impacts. She also advised the Crown of the FNFN's expectations for the consultation process and noted the FNFN's lack of capacity to provide site-specific information in relation to the Amendment. (These discussions were recorded in a November 25, 2004 BCTS File Memorandum. The following description of what transpired at this meeting is not chronological, but is organized by subject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During this meeting, Ms. Nicholson provided the Crown representatives with a copy of the Framework. She stated that FNFN considered the parties to be at Phase 1 of the consultation process, the "pre-consultation" phase. Ms. Nicholson told BCTS that she would only go to Council for a decision on the FDP Amendment once she could identify what the impacts were. Mr. Phipps responded that BCTS could not deal with "higher level government issues" and would require site-specific comments.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Nicholson raised several concerns with the proposed FDP Amendment. She noted that the area covered by the proposal was a critical use area for FNFN members, as it was proximate to the First Nation's reserve and there were trails that historically had been used by the First Nations peoples in the area. She also noted the moratorium on timber harvesting on trapline areas that had been pronounced in 2003. Ms. Viszlai-Beale stated that they had legal advice that until there were specific impacts identified on-the-ground, "harvesting would continue as usual." BCTS would require "site-specific" information. They requested a letter with site-specific concerns regarding cultural heritage, archaeological sites, and the concerns of trappers.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Nicholson indicated that she would be unable to provide site-specific information, and could provide only very general information (information on "rough areas") instead, due to capacity issues. BCTS responded that it could not provide capacity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Nicholson raised concerns with respect to cultural heritage impacts. There was a detailed discussion of the need for and availability of different types of archaeological assessments. Ms. Nicholson noted that portions of the Amendment would require more than an Archaeological Overview Assessment (which is only a desktop/paper assessment), and would instead require Impact Assessment studies ("AIAs"). AIAs contain information relevant to cultural concerns. They do not deal with hunting, trapping, or harvesting. BCTS asked if it would be acceptable if BCTS were to commit to undertaking AIAs on two of the areas covered by the proposed Amendment (including the "Sierra" area, within which the lands covered by the subject TSLs would be located), and to guarantee that no further development would occur on these areas until the AIAs were completed. Ms. Nicholson stated that she would take this to Council for their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Nicholson inquired as to Habitat Impact Assessments, i.e. with respect to the impact of logging on habitat of fur-bearing animals. Ms. Viszlai-Beale stated that that habitat assessment was the responsibility of the Ministry of Water, Land and Air Protection ("WLAP", predecessor to the current Ministry of Environment), and that amendments were sent to WLAP for referral. Mr. Phipps stated that WLAP no longer responded to MOF's FDP referrals.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Nicholson stated that she would provide BCTS with a letter containing general information as to FNFN's concerns. She also explained that because she was extremely busy with a high volume of referrals at that time, and that since oil and gas referrals were given priority, as they were funded, Mr. Phipps should follow up with her if he did not receive her letter within two weeks.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Approval of the FDP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December 17, 2004, Mr. Phipps called Ms. Vera Nicholson and they discussed the FDP Amendment. Ms. Nicholson indicated she had been too busy to write the letter she had intended to provide regarding FNFN's general concerns with the Amendment. It was agreed that BCTS would proceed with the AIAs, and would schedule a helicopter flyover of the area for the trappers in the new year. During this call, Ms. Nicholson reiterated the concerns she had raised at the November 22, 2004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January 31, 2005, Mr. Phipps wrote to the FNFN, confirming BCTS' agreement to conduct the AIAs.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BCTS will consult and seek input from FNFN regarding the assessment results and recommendations prior to the commencement of harvest development on these areas.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remaining series of blocks in this amendment ... AIAs will not be conducted ... . Thank you for your agreement with BCTS' decision regarding these AIAs during our recent telephone conversation of December 17, 2004. Based on our communications, I understand there are no other significant issues with this amendment.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trust that the foregoing addresses your concerns and clarifies our management intent regarding this amendment. BCTS will be seeking approval of this amendment from the Ministry of Forests Fort Nelson District Manager. If you have any questions or require a further clarification on any of the items above, please feel free to contact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Nicholson testified that she understood this letter to be a confirmation that BCTS would be proceeding with the AIAs, as agreed, and that BCTS would seek approval of the FDP Amendment once the FNFN's concerns were mitigated or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By way of a written submission dated February 24, 2005, addressed to Mr. Hails of MOF, Mr. Phipps sought approval of the FDP Amendment.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Consultation with First Nations has been an ongoing part of the amendment process. First Nation groups (i.e. Fort Nelson and Prophet River) affected by the plan were initially invited to participate in the amendment process via letters dated August 11, 2004. In response to a verbal request made by Fort Nelson First Nation (FNFN), BCTS provided a written commitment to conduct field oriented Archaeological Impact Assessments (AIA) specific to the Sierra YoYo and Milo series of blocks in this amendment. Prophet River First Nation (PRFN) identified several concerns with the amendment that were related to the forest practices ... . FNFN and PRFN identified no other significant concerns and BCTS considers its consultation process complete for this amendment. A summary of the First Nations consultation, supported by a chronology of events is included with this submission. Note the AIAs will be completed prior to completion of a site plan for these blocks as required by Section 36.1 of the </w:t>
      </w:r>
      <w:r>
        <w:rPr>
          <w:rFonts w:ascii="arial" w:eastAsia="arial" w:hAnsi="arial" w:cs="arial"/>
          <w:i/>
          <w:color w:val="000000"/>
          <w:sz w:val="20"/>
          <w:lang w:val="en-US" w:eastAsia="en-US" w:bidi="ar-SA"/>
        </w:rPr>
        <w:t>Operational and Site Planning Regulation.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submission stated that the proposed harvest blocks were "consistent with the general management direction of the Fort Nelson land and resources management plan" ("LRMP"). Mr. Wesleyson's evidence on discovery was that the LRMP would have provided general direction in terms of biodiversity issues. There is no evidence that FNFN had ever been consulted with respect to the LRMP.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Attached to this ten-page submission was a three-page "Tracking Ledger" summarizing consultation with the affected First Nations. The note of the November 22, 2004 meeting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Tentative agreement reached regarding site specific FNFN concerns with the amendment including BCTS' commitment to conduct Archaeological Impact Assessments (AIA) on the Milo and Sierra YoYo blocks in spring 2005 (snow free conditions). Results and recommendations of the AIA will be discussed with FNFN and will guide any actions taken by BCTS to address cultural heritage values/archaeological sites identified through the AIA process. Vera Nicholson to meet with the band council and consolidate the FNFN concerns/issues with the amendment in a written response to BCTS within two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Tracking Ledger also summarized subsequent communications with Ms. Nicholson in which she had advised of her difficulties completing the requested letter, and in which the helicopter flyover had been agreed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This submission to Mr. Hails, who was the District Manager responsible for approving the FDP Amendment, made no reference to the range of concerns raised by Ms. Nicholson in the November 22 meeting. There was no mention of the Framework consultation model, nor of FNFN's position that the parties were considered to be in "Phase 1" of the Framework; no mention of the need for capacity funding, nor of the constraints that the lack of capacity imposed on FNFN's ability to provide BCTS with the site-specific information the latter was demanding; and no mention of FNFN's concern with habitat assessment, nor of difficulties in obtaining referral responses from WLAP. Furthermore, no provision was made for any response to concerns that might be raised by participants in the flyovers.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FNFN was not advised that the FDP Amendment had been submitted to the District Manager for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On March 11, 2005, Ms. Angela Thomas of BCTS accompanied Ms. Nicholson and Mr. Behn on a helicopter flight over the proposed TSLs. Mr. Behn told Ms. Thomas that he was opposed to logging. Ms. Thomas asked for site-specific concerns; Mr. Behn referred to trails that had been damaged in the past, and Ms. Thomas advised that there would be an AIA and that trails would be protected.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During her examination-in-chief, counsel for FNFN put to Ms. Nicholson a memorandum written by Ms. Thomas in October 2006, in which Ms. Thomas asserted that Ms. Nicholson had agreed, during the flyover, to prepare a photo montage and review it with Mr. Behn. Ms. Nicholson had no recollection of having made any such statement. The only photo montages she is familiar with, in the context of consultations, are done on the ground, for inclusion in AIA reports. She did not take any photos in the air. She testified that she received no follow-up inquiries from MOF as to a photo montage. Ms. Nicholson was not cross-examined on this subject, and Ms. Thomas did not testify. I do not find there to have been an agreement by Ms. Nicholson to prepare a photo montage, nor to review one with Mr. Behn.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Ms. Nicholson understood that after the flyover, consultations would continue; that once the snow melted, and the AIAs were completed, there would be further discussions with the trappers, and further communication between FNFN and MOF.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There is no evidence of Mr. Hails having been advised of Mr. Behn's opposition to logging.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April 13, 2005, Mr. Hails advised Mr. Wesleyson that the FDP Amendment was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FNFN was not advised that the FDP Amendment had been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On September 21, 2005, Mr. Phipps and Ms. Thomas of BCTS met with Ms. Nicholson and Mr. James (Manny) Gairdner of the FNFN concerning another TSL. Ms. Nicholson stated that she would like to have affected parties consulted with prior to a TSL being sold. Mr. Phipps explained that this was not how BCTS did things; the logging blocks had "gone through the consultation process already", and unless a new, significant feature was brought to their attention they had no obligation to engage in further consultation regarding TSLs as re-opening the process could be "very onerous".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C.</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Issuance of the TSLs to Moulton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Contracting</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On June 2, 2006, BCTS posted the two subject TSLs for sale. As noted above, the timing of TSL sales was entirely at the discretion of BCTS. Prior to the posting, neither BCTS nor anyone at the MOF advised the FNFN or Mr. Behn that BCTS was offering to sell the TSLs.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posting of the TSL sales came to the attention of Kevin Moulton, the principal of the plaintiff, Moulton Contracting. The plaintiff had been in business as a logging contractor for several years, engaging in stump-to-dump contracting for Canadian Forest Products Ltd. ("Canfor") and a predecessor corporation, Slocan Forest Products (acquired by Canfor in or about 2004), and in clearing right-of-ways for oil and gas companies. Moulton Contracting had also, in one prior season, logged under a TSL it purchased directly from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Moulton obtained an information package from BCTS. One of his foremen was familiar with the area, and the two of them discussed matters such as the quality of the wood and drainage. Mr. Moulton contacted Canfor and confirmed that it would purchase timber logged from the TSL areas. Canfor provided Mr. Moulton with the unit prices it would pay for each species, and on the basis of that information Mr. Moulton prepared a bid.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If Moulton Contracting had not bid on the TSLs, or if its bid had not been successful, it would, in all likelihood, have contracted for work with Canfor for the coming season by participating in the Canfor Contractors' Meeting in August. Moulton Contracting was one of Canfor's regular contractors in the Fort Nelson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information package for bidders that Mr. Moulton had obtained, and which he reviewed, included a document entitled "Particulars of the Invitation for Applications". That bid document contained two written disclaimers, one as to access rights and the other as to the accuracy of the timber cruise and estimated timber volumes. The access disclaimer (referred to herein as the "Bid Access Disclaimer")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DISCLAIMERS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Access: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Despite access rights and obligations which may be conferred through a timber sale license or associated road permits or road use permit, applicants are advised that BC Timber Sales does not warrant nor has it ever warranted the Licensee's right of unfettered access to the cutting authority area which may be impeded by the actions of third parties including acts of disobedience or natural occurrences.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Moulton testified that he read this document, including the Bid Access Disclaimer, when he prepared his bid, just as he had when participating in previous timber sales. It was suggested to Mr. Moulton, in cross-examination by counsel for the Province, that in previous situations when he had obtained Timber Sales Licences he had not been blockaded or had problems gaining access, and that based on that prior experience he was not worried, despite the disclaimer. Mr. Moulton agreed with that suggestion.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On June 26, 2006, Moulton Contracting submitted an Application and Tender for each of the two TSLs, along with two Bid Deposits in the amount of $3,000 each. The Application document contained the following clause: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I/We: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Hereby apply for a road permit if this application is approved and if it will be necessary for me/us to construct one or more roads to access the cutting authority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Province and Moulton Contracting entered into the TSLs on June 27, 2006. Under the TSLs, Moulton Contracting was given the right to harvest timber in a defined area (the "Cutting Authority Area"), and the right to enter on to the area to be logged. It was not obliged to harvest, and would have the discretion not to harvest, subject to payment of a waste assessment (which could be waived). Moulton Contracting could not restrict the right of an "authorized entrant, user, or occupier" of the area to be harvested. No rights of exclusive possession or ownership were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TSLs provided that they were to be subject to the </w:t>
      </w:r>
      <w:r>
        <w:rPr>
          <w:rFonts w:ascii="arial" w:eastAsia="arial" w:hAnsi="arial" w:cs="arial"/>
          <w:i/>
          <w:color w:val="000000"/>
          <w:sz w:val="20"/>
          <w:lang w:val="en-US" w:eastAsia="en-US" w:bidi="ar-SA"/>
        </w:rPr>
        <w:t>Forest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157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Forest Practices Code of British Columbia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159</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Forest and Range Practices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69</w:t>
      </w:r>
      <w:r>
        <w:rPr>
          <w:rFonts w:ascii="arial" w:eastAsia="arial" w:hAnsi="arial" w:cs="arial"/>
          <w:color w:val="000000"/>
          <w:sz w:val="20"/>
          <w:lang w:val="en-US" w:eastAsia="en-US" w:bidi="ar-SA"/>
        </w:rPr>
        <w:t>, and all regulations thereto and standards made thereunder. Moulton Contracting, as licensee, was explicitly placed under an obligation to comply with those Acts, regulations and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TSLs each contained a clause entitling the Province to suspend or vary the TSL in case of an interlocutory or permanent injunction being granted on account of an alleged or proven infringement of an aboriginal right, including a treaty right (referred to herein as the "TSL Aboriginal Right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9.01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Notwithstanding any other provision of this Licence, if a court of competent jurisdiction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determines that activity or operations under or associated with this Licence will unjustifiably infringe an aboriginal right or title, or a treaty right;</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grants an injunction further to a determination referred to in subparagraph (a), or</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grants an injunction pending a determination of whether activities or operations under or associated with this Licence will unjustifiably infringe an aboriginal right or title, or a treaty right,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Timber Sales Manager, in a notice given to a Licensee, may vary or suspend this License, in whole or in part, or refuse to issue a Road Permit or other permit given to the Licensee, to be consistent with the court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TSLs also explicitly exempted the Province from liability for losses arising out of Moulton Contracting's access to the Cutting Authority Areas being impeded by third parties (referred to herein as the "TSL Blockade Exemption"):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14.01</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government is not liable to the Licensee for injuries, losses, expenses, or costs incurred or suffered by the Licensee as a result, directly or indirectly, of an act or omission of a person who is not a party to this Licence, including but not restricted to an act or omission of a person disrupting, stopping or otherwise interfering with the Licensee's operations under this Licence by road blocks or other means.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As with the Bid Access Disclaimer, Mr. Moulton read the TSL Aboriginal Right Clause and the TSL Blockade Exemption, but assumed on the basis of his past experience that there would be no issues involving aboriginal rights.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Road Permits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By an agreement of the same date, the Province also granted to Moulton Contracting, Road Permit No. R15359 (the "RP"). It granted a right to construct or use roads,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1.00 GRANT OF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consideration of the Permittee's right to harvest timber under Licence A66573 and to provide access to that timber, subject to all Ministry of Forests legislation and regulations as amended from time to time, the Ministry Official grants to the Permittee a non-exclusive right to enter on and construct within the Permit Area a road, ... and the right to use and maintain that road, or to use and maintain a road, within the Permit Area described in paragraph 2.01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Access into the Cutting Authority Areas covered by the TSLs from Fort Nelson was eastwards along a resource road, the "Sierra-YoYo-Desan Access Road" (also known as the "Sierra High Grade Road", and referred to herein as "SYD"), and then northwards up an access road (also referred to in documents as a "petroleum development road", and referred to throughout the evidence by a variety of names, including "SY1000", the "Access Road", the "Chopsticks Road", and - wrongly - the "Sierra High Grade"; I refer to it herein by another name by which it was known, the "Canfor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 short length of the Canfor Road fell within the Permit Area under Moulton Contracting's RP. The RP gave Moulton Contracting the right to use that short length of the Canfor Road, and the right to construct and use a new road, leading from the Canfor Road into the Cutting Authority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Road Permit for the Canfor Road (the "Canfor Road Permit)" was held by Canfor. BCTS expected that its TSL licensees would enter into a road use agreement with the holder of the Road Permit for any road they would need to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Moulton Contracting did not enter into a road use agreement with Canfor until January 12,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Post-TSL Consultation and Dealings with Mr. Behn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By way of a letter dated June 28, 2006, BCTS informed Mr. Behn that TSLs had been awarded to Moulton Contracting for locations within Mr. Behn's licensed trapping area. The letter stressed the importance of Mr. Behn contacting Moulton Contracting directly to confirm Moulton Contracting's proposed start date so that Mr. Behn would have sufficient opportunity to remove his traps and caches from the cutblock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On July 6, 2006, Ms. Laurie Montour, who had assumed the position of Lands Department Manager for the FNFN, signed and faxed a letter on behalf of then-Chief of the FNFN, Sally Behn, to the Minister of Forests and Range, the Honourable Rich Coleman. It read,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RE: </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BC Timber Sales - Major Amendment to SBFEP Forest Development Plan; Canfor Forest Stewardship Plan; Pesticide Plans; Heritage Conservation Act AIA permit requests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Ft. Nelson First Nation is being asked to participate in numerous consultations without being provided the financial or other resources to do so. This is not meaningful consultation by any standard of measurement. Yet we are being asked to review the above-noted plans; to provide comments and information on traditional land use; and to identify potential infringements to rights protected by Treaty #8 as well as unextinguished Aboriginal rights.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Ft. Nelson First Nation Lands &amp; Resources Department is already inundated with over a thousand referrals from the BC Oil and Gas Commission, for which we receive insufficient funding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local staff are saying their hands are tied. Thus, this letter to you. You do not need to be reminded that the spirit and intent of the very Supreme Court of Canada decisions compelling meaningful consultation by government; and the New Relationship with First Nations in BC agreed to by your premier, do not distinguish between treaty and non-treaty groups for funding.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On July 17, 2006, Mr. Jason Smith of BCTS wrote to Mr. Behn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be advised that harvesting is planned to commence in the Timber Sale Licence's A66572 and A55573 on August 1, 2006. These TSL's are located within you [sic] trap line area at approximately 5.5 kilometre on the Sierra-YoYo-Desan Mainline. The attached maps show the layout and location of the blocks.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Should you have any questions or comments, please fell [sic] free to call me ... or drop by during office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This letter of July 17 was the first time that maps of the subject TSLs showing the final block boundaries along with harvesting prescriptions had been given to Mr. Behn. BCTS did not provide these maps, which showed the layout and location of the TSLs, directly to FNFN. The maps did not cover other TSLs impacting on Mr. Behn's traplines. The maps did not delineate any previous forestry activities, nor any old-growth or intact forest areas. They did not show oil and gas activities. They did not show any sacred sites or other areas of cultural significance. They did not contain any information as to cumulative impacts on aboriginal hunting, trapping or harvesting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On July 31, 2006, Mr. Behn telephoned Mr. Smith. He acknowledged that he had received notice of the impending logging of the TSLs. He expressed opposition to the logging and said, according Mr. Smith's notes, that "he would be going out to stop it". (Mr. Smith testified that he typed up his notes on August 10, 2006; I have no reason to believe that the typed notes in evidence do not accurately reflect what was said.) Mr. Smith advised Mr. Behn that there had been an AIA but said he would check his files to verify that there had been consultation.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Smith reviewed the files with Ms. Thomas, and noted the fact that Mr. Behn had participated in the flyover. He then called Mr. Behn back and discussed the consultation BCTS had done. Mr. Behn stated that the efforts of MOF had not been acceptable, and he restated his intention to stop logging. They discussed ways in which consultation could be improved upon. Mr. Behn made the following suggestions: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 Personal consultation with maps and air photos at the development phase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site, on the ground visits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Personal copy of the archaeological assessments to see what can be done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100 mile radius around Fort Nelson as a no-harvest zone.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Smith commented in his file note that most of these suggestions were fair and reasonable, and that he committed to doing the first three.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Smith testified that when Mr. Behn had told him that he would stop the logging, he assumed Mr. Behn meant that he would seek an injunction, or seek to publicize his opposition to the logging. This assumption, however, was not based on any specific information from Mr. Behn: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an injunction is one way to stop logging; that's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another way is to put up a blockade;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if I understand, it was your assumption that Mr. Behn was referencing an injunction when he said he intended to stop the logging; is that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figured he was either going to do an injunction or start mailing a whole bunch of letters to the region or he would go to the media. That was how I figured he would try and stop the logging.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note the specific phrase use by Mr. Behn, as recorded by Mr. Smith in his note, was that he "would be going out to stop it". It is a reasonable inference that "going out" would have meant going out to the site. One does not obtain an injunction by going out to a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find that as a result of these July 31 telephone conversations, Mr. Smith knew of Mr. Behn's opposition to logging of the Cutting Authority Areas covered by Moulton Contracting's TSLs; knew of Mr. Behn's determination to take steps to prevent the logging; and knew or ought to have known that Mr. Behn was threatening to block physical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Smith told Mr. Wesleyson of these conversations with Mr. Behn. He also informed Mr. Jeremy Sellors, a local contractor who had a contract with BCTS to keep the Canfor Road clear, and whom he believed to be working in the area; Mr. Smith wanted to make sure that Mr. Sellors did not "hassle" Mr. Behn.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Smith, however, did not inform Moulton Contracting of these conversations with Mr. Behn.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Also on July 31, 2006, Ms. Montour, the Lands Department Manager, telephoned Mr. Smith to let him know of FNFN's continuing need of capacity in order properly to consult. She then wrote to Mr. Smith advising,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Ft. Nelson First Nation is being asked to participate in numerous consultations without being provided with the financial or other resources to do so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same time, trappers and other harvesters like George Behn are increasingly frustrated. There is a clear link between the Crown's non-fulfillment of legal steps and practises owed to First Nations; and the resulting deterioration to the lands &amp; natural resources which provide for treaty rights.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May I suggest that your decision-makers examine ways to ensure consistency with provincial policies and legal obligations that apply province-wide, and with Supreme Court of Canada decisions, nation-wide. Or, they can rationalize non-consultation all they want, and bear the consequences which cost more in the long run.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Smith did not inform Moulton Contracting about this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 pre-work meeting concerning the TSLs was held at the BCTS office on August 2, 2006. In attendance for Moulton Contracting were Mr. Travis Booker and Mr. Kevin Moulton. Jason Smith attended for the MOF. No First Nations issues or consultation issues were discussed at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or around mid-August, Canfor held its annual Contractors' Meeting. Moulton Contracting did not participate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On August 25, 2006, Moulton Contracting provided to BCTS a security deposit in the amount of $20,867.98 for TSL A66572 and a security deposit in the amount of $18,762.65 for TSL A66573.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On August 31, Mr. Behn sent a letter to Mr. Bill Warner, the Regional Executive Director of the Ministry of Forests, cc'd to Mr. Smith of BCTS, with a subject line that read: "Cancelling BC Timber Sales A66572 and A66573". The letter explained that Mr. Behn had raised his concerns about "the plan to cut more timber on the part of my traditional family territory covered by our Registered Trapline ... with your staff, and with the Fort Nelson First Nation office, and want to forcibly bring this situation to your personal attention." The letter asserted that there had already been harm suffered by the area in question. Mr. Behn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area in question has already suffered serious physical harm from previous encroachments by industry. The area covered by these two Timber Sales is part of the last remaining pristine areas which can be used in my family territory. The damage already caused by various industrial activities is so extensive, that it is going to take years before the territory can used [sic], the impacts go far beyond the immediate area.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further cutting of timber in this area will constitute a deliberate infringement on our families Treaty and Aboriginal Rights to these lands and resources. To date you or your government have made no attempt on behalf to accommodate our interests as they still exist on the land.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proceed [sic] with these Timber Sales, the Ministry of Forests must complete an assessment of the cumulative impacts of previous work, plus a complete and detailed assessment of the additional impacts on our rights that this Timber Sale would create, so that you know, and can explain fully to me and my family, the degree of infringement you are contemplating.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Until these studies are completed, and the agreement negotiated, myself and my family take the position that our Aboriginal and Treaty Rights are being infringed. We could now apply for an injunction to stop the work, since there has been no effort from government to show that the Ministry of Forests was attempting to accommodate our Aboriginal and Treaty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Neither MOF nor BCTS informed Moulton Contracting of this letter. Mr. Behn did not copy Moulton Contracting with the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Commencement of Harvesting, and the Blockade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On August 21 and 22, 2006, Mr. Shawn Sullivan of BCTS sent the completed copies of the TSLs and the Road Permit to Moulton Contracting. The cover letter for the Road Permit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completed copy of Road Permit R15359, to access A66573 is enclosed.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also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document does not necessarily constitute authority to cut. Please ensure that all other required plans and agreements are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Kevin Moulton believed that the Road Permit enclosed with the letter gave Moulton Contracting the right to access the TSLs from the SYD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Between September 19 and 22, 2006, Moulton Contracting moved its equipment via the Canfor Road to TSL A66573.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On September 22, Mr. Smith met with Mr. Moulton at the TSLs to conduct ground checks. No mention was made of traplines. Mr. Smith provided Mr. Moulton with written confirmation that the TSLs were released for road building and harvesting.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Moulton Contracting and Canfor entered into two Log Purchase Agreements, one for each of the TSLs, dated September 26, 2006. These written agreements confirmed Canfor's previous representations to Moulton Contracting that it would purchase timber from the two TSLs at prevailing prices and on Canfor's usual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Timber was harvested on the TSLs between September 22 and 28, although no logs were removed from the TSLs during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On September 28, 2006, Mr. Behn, Ms. Montour of the Lands Department, and representatives of MOF, including Mr. Smith, met at the FNFN offices. Mr. Behn complained of the lack of consultation and advised Mr. Smith that he was going to blockade the logging of the TSLs. Mr. Smith, Mr. Behn and Ms. Montour agreed to meet again on-site on the morning of September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following day, September 29, 2006, Mr. Smith advised Mr. Moulton that there was a potential problem with a trapper. At Mr. Smith's request, Mr. Moulton agreed to suspend logging until October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Smith met with Ms. Montour and Mr. Behn on the site of one of the TSLs, on September 30, as planned. Mr. Smith's notes record discussion of the location of Mr. Behn's trap boxes, the location of two trails, and a sacred rock that had been moved several hundred feet, possibly during original construction of the Canfor Road. Mr. Smith offered to have a buffer built around a trail, or to have other mitigation measures taken. He also offered to cancel another TSL, as a gesture of good faith. Mr. Behn indicated that he would only accept the cessation of all activities, pending an environmental impact assessment, and that he wanted the two TSLs cancelled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255"/>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1.</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Participation of FNFN in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 </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Blockade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On October 1, 2006, Mr. Behn telephoned Chief Liz Logan, and advised he was going to go out later that day to block the Canfor Road. Chief Logan asked him to meet with the FNFN Council. Mr. Behn's evidence is that he erected a camp on the Canfor Road on October 1, although he did not stop anyone from using the Canfor Road on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Behn agreed to meet with the FNFN Council. It was suggested to him on examination for discovery that he did so because it was traditional to seek the blessing of the community leadership for what he was about to undertake; Mr. Behn answered that it was his "policy"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On October 2, 2006, Mr. Behn met with Chief Logan and the Council. Mr. Behn's evidence is that by this point, a blockade had been erected on the Canfor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will return, below, to a narrative of events surrounding the erection and operation of the blockade, but I digress at this point to deal with evidence regarding the scope of FNFN's knowledge of and participation in the blockade.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Behn was examined for discovery as to what transpired during the meeting with Chief Logan and the Council, and at least some of his evidence was read-in by the plaintiff. That evidence, however, was only admissible against Mr. Behn, not against FNFN or Chief Logan.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Chief Logan took contemporaneous notes of the October 2 meeting. The notes do not indicate any explicit approval of Mr. Behn's plans. There is a notation towards the end of Chief Logan's notes, emphasized with a circled asterisk and lines drawn around it; it reads, "FNFN to draft ltr &amp; talk to </w:t>
      </w:r>
      <w:r>
        <w:rPr>
          <w:rFonts w:ascii="arial" w:eastAsia="arial" w:hAnsi="arial" w:cs="arial"/>
          <w:color w:val="000000"/>
          <w:sz w:val="20"/>
          <w:u w:val="single"/>
          <w:lang w:val="en-US" w:eastAsia="en-US" w:bidi="ar-SA"/>
        </w:rPr>
        <w:t>legal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Minutes of Council meetings were to have been kept by the Clerk to Council, a Ms. Christman. She had been the band's community health clerk from 2001 to March 2005, and then became Clerk to Council. Ms. Christman was in attendance at the October 2 meeting. She took notes on a laptop, as people were speaking, using a template. Her object was not to take a verbatim record of everything that was said, but to record actual decisions made and any documents signed. She would later review her notes, and would then circulate a draft of the minutes to Councillors, either by email or hard copy, so that changes could be made. When changes suggested by Councillors were incorporated into a final draft, the minutes could then be presented to Council for formal acceptance.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Ms. Christman testified that timely completion of the minutes had not been a priority under the former Chief, Sally Behn. When Liz Logan became Chief, she emphasized that minutes needed to get done. However, Ms. Christman struggled to get the minutes finalized in a timely manner. The difficulties lay primarily in getting timely responses from the Councillors. The minutes for a meeting held on October 10, 2006 indicate that there was an issue with respect to Ms. Christman's preparation and circulation to Councillors of draft minutes for the previous six meetings. However, the minutes for a subsequent meeting held on October 30, 2006 contain a note of the backlog of previous minutes, and the "Action" note is that Councillors were to "review all the minutes and forward immediately to Denise for updating". This direction was repeated in the minutes for the meeting of November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previous council minutes are pending until Council has reviewed and forwarded to Denise.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Consequently, the minutes of the October 2 meeting were not approved until a Council meeting held on December 19, 2006. Chief Logan testified to having a clear recollection of what transpired on December 19; the Councillors expressed some frustration that a number of meeting minutes - nine sets in total - were still outstanding, and Ms. Christman was asked to leave the meeting, retrieve the minutes and return with them. Those sets of minutes, including the minutes for October 2, were passed quickly, without being read, so that Council could start afresh. The minutes of the December 19 meeting disclose that only one minute of time was taken to deal with the two motions by which the minutes of the nine separate meetings were all adopted.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Ms. Christman had no specific recollection of the December 19 meeting. She confirmed that it was unusual to have so many minutes approved at one time, and that this reflected Council's desire to "clean the slate".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pertinent excerpts of the minutes of the October 2, 2006 meeting, as adopted by the Council,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ELDER CONCERN</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9:25 AM - 10:55 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George Behn joined meeting concerned of logging on his trapline without his consent. Darryl read out letter received by Bill Warner, Northern Interior Forest Region regarding canceling timber sales. George explained that there is some work being continued on his land. George Behn and Laurie, Director of Lands and Resources are to visit the area of where the work is being done and stop the logging. Chief and Council are in support to stop the work being done on his land. George explains that he wants studies done. He has trails and some spiritual rocks on his land.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ACTION: </w:t>
      </w:r>
      <w:r>
        <w:rPr>
          <w:rFonts w:ascii="arial" w:eastAsia="arial" w:hAnsi="arial" w:cs="arial"/>
          <w:color w:val="000000"/>
          <w:sz w:val="20"/>
          <w:lang w:val="en-US" w:eastAsia="en-US" w:bidi="ar-SA"/>
        </w:rPr>
        <w:t xml:space="preserve"> Chief Liz Logan will draft letter and get some legal advice as to what his rights are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Ms. Christman testified that she only has a limited recollection of what transpired at the October 2 meeting. She does recall Mr. Behn being at the meeting and being distraught at the rocks and the land being disturbed. She recalls a discussion that Mr. Behn's family was camping "out there" but has no recollection of a "blockade" being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 am unable to determine from Ms. Christman's testimony the extent to which the minutes, in the form in which they were adopted, reflected or embodied the notes taken by her contemporaneously on October 2, as opposed to those minutes being the product of later editing or revision. There was no evidence as to whether any Councillors suggested changes to the minutes between October 2 and December 19. The minutes for a meeting held on November 30, 2006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Chief Liz and Roberta Dendys returned draft council minutes from September 08 - October 23, 2006 with any comments and additions to Denise to prepare all remaining minutes on hard copy for Councillors review for next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Those minutes returned to Ms. Christman would presumably have included the minutes for October 2; if changes to Ms. Christman's initial draft were suggested at that time, there is no evidence that such changes were not incorporated into the final 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Chief Logan, in her testimony, denied the accuracy of these October 2 minutes, specifically with respect to the statement that Ms. Montour was to "stop the logging", and the statement that she and the Council were "in support". She testified that Mr. Behn did not come to the meeting to seek the Council's approval, and that no approval was given; they did not take a position. Chief Logan was directed by the Council to obtain legal advice. She testified that they said to Mr. Behn that they were not in support of MOF clear cutting and spraying pesticide, but did not say that they were in support of Mr. Behn's position. That may have been Ms. Christman's interpretation, but if so it was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On cross-examination, however, Chief Logan conceded that her notes of the October 2 meeting disclose no discussion regarding clear cutting or pesticide spraying.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Chief Logan pointed to a couple of other inaccuracies in the minutes. The meeting with Mr. Behn lasted for only half an hour; it should have read 9:25 - 9:55. She understood there was one rock being disturbed, not "rocks". She also said in her evidence-in-chief that there was only one trail in issue, not the plural "trails" referred to in the minutes, but on cross-examination she relented and acknowledged that Mr. Behn had concerns with respect to two trails.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Chief Logan also denied that Mr. Behn was told during the meeting that Ms. Montour would assist in stopping the logging. She testified that Mr. Behn was told Ms. Montour would be sent out to check on what was happening. Ms. Montour's role as Lands Manager required her to undertake such site visits and investigations.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Ms. Montour was not at the meeting. Chief Logan testified that she cannot recall how the results of the meeting were communicated to Ms. Montour.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Following the meeting of October 2, Ms. Montour had email and telephone communications with several individuals indicating that FNFN was supporting Mr. Behn's blockade, as follows:</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Montour left a voicemail message with Gerry MacDougall stating that the FNFN Chief and Council would support a blockade. Jason Smith testified that he listened to the voicemail message. His note of it stated in part: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Laurie Montour left a message with Gerry MacDougall. The FNFN Chief and Council will be supporting his blockade because timber sales had "Violated a sacred site" and was "Destroying a well known trail."</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response to that voicemail, Mr. Smith telephoned Ms. Montour. He explained that MOF had not been responsible for damage to a sacred site or to a trail. Ms. Montour said she would go to the Chief and Council and try to get them to intervene with Mr. Behn, but she expressed doubt that it would do any good, as those items were the straw that broke the camel's back. Mr. Smith then sent an email to several persons within BCTS, advising: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Well, the blockade of TSL A66572 and 73 in ON! With the chief and councils blessing and approval.</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Susan Behn, the wife of Mr. Behn's son Richard, had emailed Ms. Montour earlier that morning, indicating that she had been trying to reach Mr. Behn to see how the meeting had gone. Ms. Montour replied: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He's still here at band office, having lunch with elders. Got the go-ahead from chief and council to shut down timber cutting on trapline. I'll be there to support him.</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copy of that email made its way to the defendant Richard Behn. Richard Behn, according to Chief Logan, had a past history of coming to Council meetings and "ranting and raving" about "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Council". Richard Behn then sent a reply to Susan Behn and Ms. Montour, stating that his father did not need the go-ahead from anyone in protecting his traditional family territory, and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Councils had no say concerning such territory. Ms. Montour replied to Richard Behn, indicating her agreement with his remarks, and stating: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Indian Act chief Liz Logan gave me the go-ahead to provide support at the camp.</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 am preparing giant logo and sign and hand-outs for the roadside protest at your dad's camp. He made me spokesperson.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Chief Logan testified that when she first saw this email, during discovery, she was very angered by its disrespectful tone. Ms. Montour's statement that she was going to prepare a sign and handouts was a total shock and surprise to her, because that was not what she had been directed to do. She was also surprised to see that Ms. Montour had been made a spokesperson. I accept that testimony of Chief Logan.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Ms. Montour was at the blockade on October 3, 2006; Mr. Smith of BCTS gave evidence that he encountered her there on that morning. A daytimer kept by Ms. Montour also indicates she was at the "camp" on October 5th. There is no evidence as to what she did on those occasions, or how long she stayed there. There is no evidence of her having attended on other dates.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Sometime thereafter - by no later than November 10, 2006 - Ms. Montour was put under a "no communication" order. Chief Logan testified that this was an effort to "rein her in", and prevent unauthorized communications. When asked who would have communicated this order to Ms. Montour, Chief Logan stated, "Council would have done it, not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Ms. Montour did not testify at the trial. She was subpoenaed by FNFN but refused to attend. FNFN did not ask for the subpoena to be enforced by way of a bench warrant; I draw no adverse inference from its failure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Chief Logan visited the site of the blockade briefly on the morning of October 3, in the company of a Councillor, Mr. Darryl Michel. She explained to Mr. Behn that she had come to see his camp and the cutblocks. Mr. Behn accompanied the two of them up to the TSLs, where Chief Logan observed that some trees had been harvested. Contrary to the submission of the plaintiff, I do not infer that Chief Logan or Councillor Michel were there on that occasion to take part in the blockade.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As noted, a Council meeting was held on October 10, 2006. The minutes, which again were prepared by Ms. Christman, state, under the heading "Council Business":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Roadblock by Behn's = concerns are supporting [sic] by chief and council but need to get legal advice so that we do it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October 10 minutes were approved at the December 19 meeting, in the same manner as the other minutes dealt with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comment below, in the "Discussion" portion of these reasons, on the circumstances in which the minutes of the October Council meetings came to light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By no later than October 16, 2006, Council meetings were being attended by legal counsel for FNFN. Thereafter, FNFN communications with interested parties drew a clear distinction between FNFN and the Behn family. For example, on October 24, 2006 all interested parties, including representatives of MOF and BCTS, representatives of the Treaty Eight Tribal Association, Kevin Moulton, and members of the Behn family attended a meeting held on the FNFN reserve. Chief Logan was asked by one of the meeting participants whether FNFN supported the blockade. In response, she read from an answer that, with the advice of counsel, had been prepared in anticipation of such a question: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Nation understands the Behn Family's frustrations and shares their concern about the legality of the permits. The Nation will not interfere with the Behn Family's commitment to protect their Treaty rights in the way that they have chosen.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A similar sentiment was expressed in a letter sent by Chief Logan to Mr. Wesleyson of BCTS on November 30, 2006. Responding to points raised by Mr. Wesleyson in an earlier letter, she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the heading "Follow up Action Points" you also stated: "In response to the BCTS proposals to end the blockade as referred to above, the Behn family again said that they want no logging to occur within the trapline area. We assume that the FNFN supports this position." I have always made it clear to the province that the question of whether the Behn's camp stays in place or if any cutting can occur on the trapline if the camp is taken down is entirely up to George Behn. If the FNFN were to take a position on this matter, it would not be respectful of George Behn's personal connection to his family traplline.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1135"/>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Erection and Operation of the Blockade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By the evening of October 2, 2006, a blockade was set up on the Canfor Road, approximately 100 metres north of the intersection with SYD, some distance south of the Cutting Authority Areas of the TSLs and south of the Permit Area under the RP. (The RP, in other words, did not encompass the area of the Canfor Road where the blockade was erected).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Mr. Behn gave evidence on discovery that he set the camp up to blockade the road before he attended the October 2 meeting with the FNFN Council, but that he did not stop anyone from using the road until later that day. Initially, there was a barricade consisting of a 2 x 4, supported at either end and placed across the road, and one or more pickup trucks. Several days later, tents were erected, and a fire was built off to the side of the road. The blockade was erected by Mr. Behn, assisted by his daughter Sally Behn. The defendant Greg Behn, one of Mr. Behn's sons, has admitted that he assisted his father in erecting the tents. Another son, the defendant Rupert Behn, has admitted that he assisted in setting up the blockade in early October, by bringing a generator on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On the evening of October 2, a Moulton Contracting crew was allowed to leave the TSLs along the Canfor Road, but Moulton Contracting's logging equipment remained on-site. Kevin Moulton's brother, Mr. Barry Moulton, was one of the day shift crew; he gave evidence that he passed through the blockade and saw four or five people, but did not identify them. The night crew encountered the blockade and elected not to attempt to pass; the Behns offered to allow the equipment out, but would not allow any more cutting.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following day, October 3, Kevin and Barry Moulton attended at the blockade and decided not to try to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After October 3, the Moulton Contracting crew members were sent back to Fort Nelson; there is no evidence that they ever returned to the site. Kevin Moulton testified that he released his workers over the next two weeks or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Each of the Behn Defendants has admitted to being present at camp site from time to time up until January 1, 2007. Lovey Behn admits to attending at the camp approximately three times. Mary Behn admits to attending at the camp on more than one occasion. Richard Behn admits to attending at the camp on more than one occasion, and to spending the night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Barry Moulton attended at the blockade on October 5, 2006, and took a videotape. Sally Behn and Rupert Behn were observed sitting around the fire. George Behn was also seated near the fire, on a folding chair placed in the roadway. Rupert Behn admits that his pickup truck was parked in the middle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There is no specific evidence of Susan Behn, Richard Behn, Greg Behn, Lovey Behn, or Mary Behn ever interfering with Moulton Contracting's operations. There is no evidence that they were physically on the Canfor Road at the blockade location, as opposed to being positioned off to the side of the Canfor Road, at any time when Moulton Contracting personnel were there. The evidence at trial was that the only Behn Defendants who were present at the blockade when anyone from Moulton Contracting attempted to use the Canfor Road, or came to the blockade for discussions, were George Behn and Sally Behn, with Rupert Behn also being present on October 5. Further, there is no evidence of any of the Behn Defendants doing anything within the TSL Cutting Authority Areas to block or obstruct Moulton Contracting's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It is undisputed that the blockade was peaceful. The participants did not resort to disguises or camouflage. There was no violence. Nor were there threats of violence. There was no vandalism to Moulton Contracting's machinery.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On October 13, 2006, counsel for Moulton Contracting sent a letter to George Behn and Sally Behn. It asserted that the blockade was unlawful. It warned that unless the blockade was removed immediately, Moulton Contracting would sue for damages and would seek an 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That letter quickly came to the attention of FNFN, and by way of a letter dated October 16, 2006 from counsel for FNFN, counsel for Moulton Contracting were asked to advise if litigation were commenced, so that FNFN could attempt to intervene.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an attempt to resolve the situation, there then followed, over the months of October, November and December, a series of correspondence and meetings, including the aforementioned meeting of October 16. Mr. Behn made it clear throughout that his grievance was not with Moulton Contracting but with MOF, and that he regretted the losses being sustained by Moulton Contracting.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On October 31, 2006 Mr. Moulton, concerned that there might be vandalism done to his machines because of Halloween, drove out to the blockade with one of his employees to see if anyone was camped out. When they arrived they saw a barricade across by the first tent and a pickup truck in the middle of the Canfor Road. There was no one in the first tent, and they did not check in the second 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On November 21, 2006, Barry and Kevin Moulton went back out to the blockade to see if they could remove the remainder of the equipment from the cutblocks. When they approached the blockade site Mr. Behn and another person were there on their snow machines. Kevin Moulton asked Mr. Behn if they could take out the remaining equipment, and he agreed. Kevin Moulton asked if they were going to let him harvest or if the blockade was still up. Mr. Behn said the blockade was still up. Kevin Moulton and Barry Moulton then brought the skidder and buncher out from the TSL, and then low-bedded the machines out the next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In November, 2006, a log-loader meant to be used by Moulton Contracting on the TSLs was repossessed by Brandt Tractor. Moulton Contracting had been current on its monthly payments to Brandt Tractor until the blockade prevented Moulton Contracting from delivering timber to Canfor and earning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Counsel for Moulton Contracting wrote to counsel for the Behn Defendants on January 8, 2007, seeking confirmation as to whether further harvesting would be prevented. There then followed an inconclusive exchange of letters between counsel. On the afternoon of January 10, Mr. Moulton hauled his buncher into the TSL; there were no visible signs of the blockade on the Canfor Road. He then proceeded to grade the Canfor Road with his grader, followed by his brother, in a pickup truck. That evening, they attempted to bring the processor up the Canfor Road into the TSL, but a tent had again been erected at the blockade site, and their way was blocked by a pickup truck. They were confronted by two men, one an unidentified Caucasian, the other another son of George Behn (not a defendant in this proceeding). They were told by these two individuals that they would not be permitted to bring the harvester up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following morning Mr. Moulton spoke with Mr. Behn and Sally Behn. The Behns agreed that he could take machinery into the TSLs to process the logs that had already been harvested. Mr. Moulton agreed that he would not harvest any other timber, and said he understood that if he tried to do so, they would shut him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On January 12, 2007, Canfor and Moulton Contracting concluded a Road Use Agreement, stating the terms upon which Canfor would permit its use of the Canfor Road. As a term thereof, Canfor waived its right to collect a Road Use Agreement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Thereafter, Moulton Contracting used the Canfor Road for the limited purpose of accessing TSL A66573 and processing and removing the previously harvested timber. Moulton Contracting made over 200 trips for this purpose, none of which were interrupted. From the sale of that timber, Moulton Contracting earned $67,971.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On January 22, 2007, John Deere Credit Inc. wrote a letter to Moulton Contracting stating that two feller bunchers, two skidders, and a feller head, all of which had been intended to be used on the TSLs, were being repossessed for failure to comply with the conditions of their Commercial Lease Agreement. The letter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be advised that in view of the fact that you have not conformed with the conditions of the Commercial Lease Agreement (the "Security Agreement") dated February 22, 2006 between Moulton Contracting Ltd. and Brandt Tractor Ltd., Fort Nelson, BC, which contract has been duly assigned to John Deere Credit Inc., we have repossessed on January 17, 2007.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equipment will be held for 21 days from the date of repossession. If we do not receive payment of $719,184.77 by February 12, 2007, we shall sell this equipment by private sale or advertise and sell by public auction.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In April 2007, Moulton Contracting was required to sell all of its remaining equipment as a result of its inability to harvest the TSLs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Sometime after learning of the blockade, and realizing that he would not be able to work the TSL cutblocks, Mr. Moulton testified that he contacted someone from Canfor - he believed it was either Mr. Bill McKenzie or Mr. Shannon Wylie. He testified that he "asked them for volume", but this was after the contractor's meeting had been held, and he was told that the volume for the year had already been handed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Another major source of work for Moulton Contracting in the past had been Encana, who would hire them to clear pipeline right-of-ways. Mr. Moulton said that he was one of Encana's primary clearing contractors. Mr. Moulton made inquiries of Encana. He was told they had pipeline work coming up, but the person he dealt with felt that it would not be wise to contract with someone involved in a First Nations blockade.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Mr. Moulton testified that he made inquiries of a number of other local companies as to available work, after the blockade had been set up, but was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As noted above, the TSLs did not require Moulton Contracting to harvest the cutblocks. Moulton Contracting had the right not to harvest, subject to payment of a waste assessment, which could be waived by MOF. After a lengthy correspondence, MOF returned Moulton Contracting's deposit for TSL A66572, waived the waste assessment on A66573, and returned the deposit on A66572 net of an $8,500 deduction for slash piling and burning. In the end result, Moulton Contracting faced no penalties for having failed to complete logging on the TSLs.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causes of action asserted by the plaintiff by way of its Further Further Amended Statement of Claim may be summarized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As against the Crown</w:t>
      </w:r>
      <w:r>
        <w:rPr>
          <w:rFonts w:ascii="arial" w:eastAsia="arial" w:hAnsi="arial" w:cs="arial"/>
          <w:color w:val="000000"/>
          <w:sz w:val="20"/>
          <w:lang w:val="en-US" w:eastAsia="en-US" w:bidi="ar-SA"/>
        </w:rPr>
        <w:t>:</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contract, in failing to provide Moulton Contracting with access to the lands designated in the TSLs, contrary to an express term of the TSLs and of the Road Permit that such access would be provided;</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contract of an express or implied term of the TSLs and of the Road Permit, or breach of a condition precedent of same, that the Crown had consulted with all relevant aboriginal groups;</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continuing misrepresentations that access would be granted to the lands designated in the TSLs, and that consultation with aboriginal groups had taken place, in reliance on which Moulton Contracting mobilized its equipment to TSL A66573, and did not enter into any other contracts for the harvest of timber, for the fall of 2006 and the winter of 2006.2007;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As against the Behn Defendants, FNFN and Chief Liz Logan</w:t>
      </w:r>
      <w:r>
        <w:rPr>
          <w:rFonts w:ascii="arial" w:eastAsia="arial" w:hAnsi="arial" w:cs="arial"/>
          <w:color w:val="000000"/>
          <w:sz w:val="20"/>
          <w:lang w:val="en-US" w:eastAsia="en-US" w:bidi="ar-SA"/>
        </w:rPr>
        <w:t>:</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Intentional interference by the Behn Defendants and members of FNFN with Moulton Contracting's contractual rights under the TSLs and the RP, and intentional interference with Moulton Contracting's existing and prospective business interests;</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Wilful obstruction, interruption or interference by the Behn Defendants and members of FNFN with Moulton Contracting's lawful use, enjoyment, or operation of the Canfor Road, the TSLs, or the Road Permit, such as to constitute mischief, in contravention of s. 430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Conspiracy by the Behn Defendants, FNFN, and members of FNFN, and combining with each other, with the intent to commit mischief or the aforesaid intentional interference.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DISCUSSION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Liability of the Behn Defendants, FNFN and Chief Logan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Since at least as far back as the decision of the English Court of Queen's Bench in </w:t>
      </w:r>
      <w:r>
        <w:rPr>
          <w:rFonts w:ascii="arial" w:eastAsia="arial" w:hAnsi="arial" w:cs="arial"/>
          <w:i/>
          <w:color w:val="000000"/>
          <w:sz w:val="20"/>
          <w:lang w:val="en-US" w:eastAsia="en-US" w:bidi="ar-SA"/>
        </w:rPr>
        <w:t>Lumley v. Gye</w:t>
      </w:r>
      <w:r>
        <w:rPr>
          <w:rFonts w:ascii="arial" w:eastAsia="arial" w:hAnsi="arial" w:cs="arial"/>
          <w:color w:val="000000"/>
          <w:sz w:val="20"/>
          <w:lang w:val="en-US" w:eastAsia="en-US" w:bidi="ar-SA"/>
        </w:rPr>
        <w:t xml:space="preserve">, 118 E.R. 749, [1853] EWHC QB J73, 2 E&amp;B 216 the common law has come to recognize causes of action in tort for intentional interference with economic relations. Although initially confined to malicious inducement of breach of contract, the law has been expanded to encompass liability for economic losses where no actual breach occurs. In his text, </w:t>
      </w:r>
      <w:r>
        <w:rPr>
          <w:rFonts w:ascii="arial" w:eastAsia="arial" w:hAnsi="arial" w:cs="arial"/>
          <w:color w:val="000000"/>
          <w:sz w:val="20"/>
          <w:u w:val="single"/>
          <w:lang w:val="en-US" w:eastAsia="en-US" w:bidi="ar-SA"/>
        </w:rPr>
        <w:t>The Law of Torts in Canada</w:t>
      </w:r>
      <w:r>
        <w:rPr>
          <w:rFonts w:ascii="arial" w:eastAsia="arial" w:hAnsi="arial" w:cs="arial"/>
          <w:color w:val="000000"/>
          <w:sz w:val="20"/>
          <w:lang w:val="en-US" w:eastAsia="en-US" w:bidi="ar-SA"/>
        </w:rPr>
        <w:t xml:space="preserve"> (2nd ed., 2002), Professor Fridman writes at pages 808 - 809: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Canada, courts have eagerly embraced the idea propounded by Lord Denning [in </w:t>
      </w:r>
      <w:r>
        <w:rPr>
          <w:rFonts w:ascii="arial" w:eastAsia="arial" w:hAnsi="arial" w:cs="arial"/>
          <w:i/>
          <w:color w:val="000000"/>
          <w:sz w:val="20"/>
          <w:lang w:val="en-US" w:eastAsia="en-US" w:bidi="ar-SA"/>
        </w:rPr>
        <w:t>Torquay Hotel Co. Ltd. v. Cousins</w:t>
      </w:r>
      <w:r>
        <w:rPr>
          <w:rFonts w:ascii="arial" w:eastAsia="arial" w:hAnsi="arial" w:cs="arial"/>
          <w:color w:val="000000"/>
          <w:sz w:val="20"/>
          <w:lang w:val="en-US" w:eastAsia="en-US" w:bidi="ar-SA"/>
        </w:rPr>
        <w:t xml:space="preserve">, [1969] 2 Ch. 106 (C.A.)] that liability should not be confined to situations where the defendant has induced or brought about a breach of contract. With one exception [the Manitoba Court of Appeal in </w:t>
      </w:r>
      <w:r>
        <w:rPr>
          <w:rFonts w:ascii="arial" w:eastAsia="arial" w:hAnsi="arial" w:cs="arial"/>
          <w:i/>
          <w:color w:val="000000"/>
          <w:sz w:val="20"/>
          <w:lang w:val="en-US" w:eastAsia="en-US" w:bidi="ar-SA"/>
        </w:rPr>
        <w:t>Merchants Consolidated Ltd. (Receiver of) v. Canstar Sports Group Inc.</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(1994), 92 Man. R. (2d) 253</w:t>
        </w:r>
      </w:hyperlink>
      <w:r>
        <w:rPr>
          <w:rFonts w:ascii="arial" w:eastAsia="arial" w:hAnsi="arial" w:cs="arial"/>
          <w:color w:val="000000"/>
          <w:sz w:val="20"/>
          <w:lang w:val="en-US" w:eastAsia="en-US" w:bidi="ar-SA"/>
        </w:rPr>
        <w:t>)] various provincial courts have held that there can be liability even if no breach of contract has resulted from the acts of the defendant. Such liability has been referred to as "interference with contractual relations" or, perhaps more frequently, "interference with economic relations (or interests)", to distinguish this kind of liability from the original tort of inducing a breach of contract (a distinction the importance of which has been emphasised, since the original tort is narrower in scope than the newer 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 cases draw no sharp distinction, but speak generally of interference with contractual or economic relations or interests, it is possible to differentiate two kinds of situations. In one, the defendant interferes with an existing contract between the plaintiff and a third party without causing a breach in respect of which the third party could sue the plaintiff. In the other, the defendant acts in a manner that interferes with or disrupts the plaintiff's economic interests without reference to a particular contract already entered into by the plaintiff with a third party but by doing something that affects projected or intended contracts, or affects the plaintiff's economic situation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More recently, the English House of Lords, in </w:t>
      </w:r>
      <w:r>
        <w:rPr>
          <w:rFonts w:ascii="arial" w:eastAsia="arial" w:hAnsi="arial" w:cs="arial"/>
          <w:i/>
          <w:color w:val="000000"/>
          <w:sz w:val="20"/>
          <w:lang w:val="en-US" w:eastAsia="en-US" w:bidi="ar-SA"/>
        </w:rPr>
        <w:t>OBG Limited v Allan; Douglas v. Hello! Limited; Mainstream Properties Limited v. Young</w:t>
      </w:r>
      <w:r>
        <w:rPr>
          <w:rFonts w:ascii="arial" w:eastAsia="arial" w:hAnsi="arial" w:cs="arial"/>
          <w:color w:val="000000"/>
          <w:sz w:val="20"/>
          <w:lang w:val="en-US" w:eastAsia="en-US" w:bidi="ar-SA"/>
        </w:rPr>
        <w:t xml:space="preserve">, [2007] UKHL 21, has emphasized the desirability of maintaining the distinction between the torts of knowingly inducing breach of contract, and intentionally causing economic loss by unlawful means, while at the same time affirming that the latter has subsumed the tort of intentional interference with contractual relations. That approach to categorizing the economic torts was arrived at independently by the Ontario Court of Appeal in in </w:t>
      </w:r>
      <w:r>
        <w:rPr>
          <w:rFonts w:ascii="arial" w:eastAsia="arial" w:hAnsi="arial" w:cs="arial"/>
          <w:i/>
          <w:color w:val="000000"/>
          <w:sz w:val="20"/>
          <w:lang w:val="en-US" w:eastAsia="en-US" w:bidi="ar-SA"/>
        </w:rPr>
        <w:t>Drouillard v. Cogeco Cable Inc</w:t>
      </w:r>
      <w:r>
        <w:rPr>
          <w:rFonts w:ascii="arial" w:eastAsia="arial" w:hAnsi="arial" w:cs="arial"/>
          <w:color w:val="000000"/>
          <w:sz w:val="20"/>
          <w:lang w:val="en-US" w:eastAsia="en-US" w:bidi="ar-SA"/>
        </w:rPr>
        <w:t xml:space="preserve">., </w:t>
      </w:r>
      <w:hyperlink r:id="rId644" w:history="1">
        <w:r>
          <w:rPr>
            <w:rFonts w:ascii="arial" w:eastAsia="arial" w:hAnsi="arial" w:cs="arial"/>
            <w:i/>
            <w:color w:val="0077CC"/>
            <w:sz w:val="20"/>
            <w:u w:val="single"/>
            <w:shd w:val="clear" w:color="auto" w:fill="FFFFFF"/>
            <w:lang w:val="en-US" w:eastAsia="en-US" w:bidi="ar-SA"/>
          </w:rPr>
          <w:t>2007 ONCA 322</w:t>
        </w:r>
      </w:hyperlink>
      <w:r>
        <w:rPr>
          <w:rFonts w:ascii="arial" w:eastAsia="arial" w:hAnsi="arial" w:cs="arial"/>
          <w:color w:val="000000"/>
          <w:sz w:val="20"/>
          <w:lang w:val="en-US" w:eastAsia="en-US" w:bidi="ar-SA"/>
        </w:rPr>
        <w:t>, and, post-</w:t>
      </w:r>
      <w:r>
        <w:rPr>
          <w:rFonts w:ascii="arial" w:eastAsia="arial" w:hAnsi="arial" w:cs="arial"/>
          <w:i/>
          <w:color w:val="000000"/>
          <w:sz w:val="20"/>
          <w:lang w:val="en-US" w:eastAsia="en-US" w:bidi="ar-SA"/>
        </w:rPr>
        <w:t>OBG</w:t>
      </w:r>
      <w:r>
        <w:rPr>
          <w:rFonts w:ascii="arial" w:eastAsia="arial" w:hAnsi="arial" w:cs="arial"/>
          <w:color w:val="000000"/>
          <w:sz w:val="20"/>
          <w:lang w:val="en-US" w:eastAsia="en-US" w:bidi="ar-SA"/>
        </w:rPr>
        <w:t xml:space="preserve">, was followed by that same court in </w:t>
      </w:r>
      <w:r>
        <w:rPr>
          <w:rFonts w:ascii="arial" w:eastAsia="arial" w:hAnsi="arial" w:cs="arial"/>
          <w:i/>
          <w:color w:val="000000"/>
          <w:sz w:val="20"/>
          <w:lang w:val="en-US" w:eastAsia="en-US" w:bidi="ar-SA"/>
        </w:rPr>
        <w:t>Correia v. Canac Kitchens</w:t>
      </w:r>
      <w:r>
        <w:rPr>
          <w:rFonts w:ascii="arial" w:eastAsia="arial" w:hAnsi="arial" w:cs="arial"/>
          <w:color w:val="000000"/>
          <w:sz w:val="20"/>
          <w:lang w:val="en-US" w:eastAsia="en-US" w:bidi="ar-SA"/>
        </w:rPr>
        <w:t xml:space="preserve">, </w:t>
      </w:r>
      <w:hyperlink r:id="rId645" w:history="1">
        <w:r>
          <w:rPr>
            <w:rFonts w:ascii="arial" w:eastAsia="arial" w:hAnsi="arial" w:cs="arial"/>
            <w:i/>
            <w:color w:val="0077CC"/>
            <w:sz w:val="20"/>
            <w:u w:val="single"/>
            <w:shd w:val="clear" w:color="auto" w:fill="FFFFFF"/>
            <w:lang w:val="en-US" w:eastAsia="en-US" w:bidi="ar-SA"/>
          </w:rPr>
          <w:t>2008 ONCA 506</w:t>
        </w:r>
      </w:hyperlink>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Alleslev-Krofchak v. Valcom Limited</w:t>
      </w:r>
      <w:r>
        <w:rPr>
          <w:rFonts w:ascii="arial" w:eastAsia="arial" w:hAnsi="arial" w:cs="arial"/>
          <w:color w:val="000000"/>
          <w:sz w:val="20"/>
          <w:lang w:val="en-US" w:eastAsia="en-US" w:bidi="ar-SA"/>
        </w:rPr>
        <w:t xml:space="preserve">, </w:t>
      </w:r>
      <w:hyperlink r:id="rId646" w:history="1">
        <w:r>
          <w:rPr>
            <w:rFonts w:ascii="arial" w:eastAsia="arial" w:hAnsi="arial" w:cs="arial"/>
            <w:i/>
            <w:color w:val="0077CC"/>
            <w:sz w:val="20"/>
            <w:u w:val="single"/>
            <w:shd w:val="clear" w:color="auto" w:fill="FFFFFF"/>
            <w:lang w:val="en-US" w:eastAsia="en-US" w:bidi="ar-SA"/>
          </w:rPr>
          <w:t>2010 ONCA 557</w:t>
        </w:r>
      </w:hyperlink>
      <w:r>
        <w:rPr>
          <w:rFonts w:ascii="arial" w:eastAsia="arial" w:hAnsi="arial" w:cs="arial"/>
          <w:color w:val="000000"/>
          <w:sz w:val="20"/>
          <w:lang w:val="en-US" w:eastAsia="en-US" w:bidi="ar-SA"/>
        </w:rPr>
        <w:t xml:space="preserve"> (leave to appeal to SCC denied March 31, 2011, </w:t>
      </w:r>
      <w:hyperlink r:id="rId647" w:history="1">
        <w:r>
          <w:rPr>
            <w:rFonts w:ascii="arial" w:eastAsia="arial" w:hAnsi="arial" w:cs="arial"/>
            <w:i/>
            <w:color w:val="0077CC"/>
            <w:sz w:val="20"/>
            <w:u w:val="single"/>
            <w:shd w:val="clear" w:color="auto" w:fill="FFFFFF"/>
            <w:lang w:val="en-US" w:eastAsia="en-US" w:bidi="ar-SA"/>
          </w:rPr>
          <w:t>[2010] S.C.C.A. No. 403</w:t>
        </w:r>
      </w:hyperlink>
      <w:r>
        <w:rPr>
          <w:rFonts w:ascii="arial" w:eastAsia="arial" w:hAnsi="arial" w:cs="arial"/>
          <w:color w:val="000000"/>
          <w:sz w:val="20"/>
          <w:lang w:val="en-US" w:eastAsia="en-US" w:bidi="ar-SA"/>
        </w:rPr>
        <w:t xml:space="preserve">, 2011 CanLII 19613); and was approved by the New Brunswick Court of Appeal in </w:t>
      </w:r>
      <w:r>
        <w:rPr>
          <w:rFonts w:ascii="arial" w:eastAsia="arial" w:hAnsi="arial" w:cs="arial"/>
          <w:i/>
          <w:color w:val="000000"/>
          <w:sz w:val="20"/>
          <w:lang w:val="en-US" w:eastAsia="en-US" w:bidi="ar-SA"/>
        </w:rPr>
        <w:t>A.I. Enterprises Ltd. v. Bram Enterprises Ltd.</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2012 NBCA 33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(The House of Lords further held in </w:t>
      </w:r>
      <w:r>
        <w:rPr>
          <w:rFonts w:ascii="arial" w:eastAsia="arial" w:hAnsi="arial" w:cs="arial"/>
          <w:i/>
          <w:color w:val="000000"/>
          <w:sz w:val="20"/>
          <w:lang w:val="en-US" w:eastAsia="en-US" w:bidi="ar-SA"/>
        </w:rPr>
        <w:t>OBG</w:t>
      </w:r>
      <w:r>
        <w:rPr>
          <w:rFonts w:ascii="arial" w:eastAsia="arial" w:hAnsi="arial" w:cs="arial"/>
          <w:color w:val="000000"/>
          <w:sz w:val="20"/>
          <w:lang w:val="en-US" w:eastAsia="en-US" w:bidi="ar-SA"/>
        </w:rPr>
        <w:t xml:space="preserve"> that the tort of causing loss by unlawful means requires there to have been interference by the defendant with the actions of a third party in relation to the plaintiff. In such cases of tripartite economic interference - where plaintiff A has a contract with party B, and sues defendant C for having induced B to break its contract - A may only sue if C's conduct were also actionable at the suit of B. Lord Hoffman expressly declined to comment on situations where a defendant's conduct has intimidated a plaintiff into acting to its own detriment: see </w:t>
      </w:r>
      <w:r>
        <w:rPr>
          <w:rFonts w:ascii="arial" w:eastAsia="arial" w:hAnsi="arial" w:cs="arial"/>
          <w:i/>
          <w:color w:val="000000"/>
          <w:sz w:val="20"/>
          <w:lang w:val="en-US" w:eastAsia="en-US" w:bidi="ar-SA"/>
        </w:rPr>
        <w:t>OBG</w:t>
      </w:r>
      <w:r>
        <w:rPr>
          <w:rFonts w:ascii="arial" w:eastAsia="arial" w:hAnsi="arial" w:cs="arial"/>
          <w:color w:val="000000"/>
          <w:sz w:val="20"/>
          <w:lang w:val="en-US" w:eastAsia="en-US" w:bidi="ar-SA"/>
        </w:rPr>
        <w:t xml:space="preserve"> at para.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In the present case, Moulton Contracting has broadly pleaded intentional interference with its economic interests. At para. 38 of its Further Further Amended Statement of Claim, Moulton Contracting alleged:</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October 13, 2006, counsel for Moulton wrote to George Behn and Sally Behn to demand that they remove the Blockade. Counsel for Moulton advised George Behn and Sally Behn of Moulton's right to harvest timber under TSL A66572 and TSL A66573, that the Blockade </w:t>
      </w:r>
      <w:r>
        <w:rPr>
          <w:rFonts w:ascii="arial" w:eastAsia="arial" w:hAnsi="arial" w:cs="arial"/>
          <w:color w:val="000000"/>
          <w:sz w:val="20"/>
          <w:u w:val="single"/>
          <w:lang w:val="en-US" w:eastAsia="en-US" w:bidi="ar-SA"/>
        </w:rPr>
        <w:t>was interfering with Moulton's contractual relations with its employees, contractors, suppliers, and buyers, and had thrown people out of work and caused economic loss to Moulton.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para. 58, Moulton Contracting alleged: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Interference with contractual relations (Blockade Defendants)</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From on or about October 2, the Behns and members of the FNFN, including employees and councillors of the FNFN, with knowledge of Moulton's contractual rights, by erecting and maintaining the Blockade </w:t>
      </w:r>
      <w:r>
        <w:rPr>
          <w:rFonts w:ascii="arial" w:eastAsia="arial" w:hAnsi="arial" w:cs="arial"/>
          <w:color w:val="000000"/>
          <w:sz w:val="20"/>
          <w:u w:val="single"/>
          <w:lang w:val="en-US" w:eastAsia="en-US" w:bidi="ar-SA"/>
        </w:rPr>
        <w:t>intentionally interfered with Moulton's contractual rights under TSL A66572, TSL A66573, and the RP</w:t>
      </w:r>
      <w:r>
        <w:rPr>
          <w:rFonts w:ascii="arial" w:eastAsia="arial" w:hAnsi="arial" w:cs="arial"/>
          <w:color w:val="000000"/>
          <w:sz w:val="20"/>
          <w:lang w:val="en-US" w:eastAsia="en-US" w:bidi="ar-SA"/>
        </w:rPr>
        <w:t xml:space="preserve">. In addition, the conduct of these Defendants described herein </w:t>
      </w:r>
      <w:r>
        <w:rPr>
          <w:rFonts w:ascii="arial" w:eastAsia="arial" w:hAnsi="arial" w:cs="arial"/>
          <w:color w:val="000000"/>
          <w:sz w:val="20"/>
          <w:u w:val="single"/>
          <w:lang w:val="en-US" w:eastAsia="en-US" w:bidi="ar-SA"/>
        </w:rPr>
        <w:t>intentionally interfered with Moulton's existing and prospective business interests</w:t>
      </w:r>
      <w:r>
        <w:rPr>
          <w:rFonts w:ascii="arial" w:eastAsia="arial" w:hAnsi="arial" w:cs="arial"/>
          <w:color w:val="000000"/>
          <w:sz w:val="20"/>
          <w:lang w:val="en-US" w:eastAsia="en-US" w:bidi="ar-SA"/>
        </w:rPr>
        <w:t xml:space="preserve"> (collectively the "Tortious Conduct").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In its final submissions, the plaintiff asserted that the Blockade had interfered not only with its exercise of its contractual rights under the TSLs and the Road Permit, but also with its contractual relations with its employees and its subcontractors (e.g. with Kevin Moulton's brother Barry Moulton, who provided services to the plaintiff through his own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Behn Defendants, in their argument, objected to these submissions, taking the position that the plaintiff's pleadings were restricted to claims for intentional interference only with Moulton Contracting's contractual rights under the two TSLs and the RP. The Behn Defendants argued, for example, that para. 38 of the Statement of Claim alleged the contents of a letter that had been sent, not that the wrongdoing alleged in the letter had occurred. I find no merit in this argument. The pleadings as a whole, and in particular the explicit reference to interference with "Moulton's existing and prospective business interests" in para. 58, were sufficiently broad to lay the foundation for a generalized claim of economic loss having been caused through unlawful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case law has laid down a number of formulations as to the necessary elements of the tort. For example, in</w:t>
      </w:r>
      <w:r>
        <w:rPr>
          <w:rFonts w:ascii="arial" w:eastAsia="arial" w:hAnsi="arial" w:cs="arial"/>
          <w:i/>
          <w:color w:val="000000"/>
          <w:sz w:val="20"/>
          <w:lang w:val="en-US" w:eastAsia="en-US" w:bidi="ar-SA"/>
        </w:rPr>
        <w:t xml:space="preserve"> 671122 Ontario Ltd. v. Sagaz Industries Canada Inc.</w:t>
      </w:r>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(1998), 40 O.R. (3d) 229</w:t>
        </w:r>
      </w:hyperlink>
      <w:r>
        <w:rPr>
          <w:rFonts w:ascii="arial" w:eastAsia="arial" w:hAnsi="arial" w:cs="arial"/>
          <w:color w:val="000000"/>
          <w:sz w:val="20"/>
          <w:lang w:val="en-US" w:eastAsia="en-US" w:bidi="ar-SA"/>
        </w:rPr>
        <w:t xml:space="preserve">, var'd </w:t>
      </w:r>
      <w:hyperlink r:id="rId650" w:history="1">
        <w:r>
          <w:rPr>
            <w:rFonts w:ascii="arial" w:eastAsia="arial" w:hAnsi="arial" w:cs="arial"/>
            <w:i/>
            <w:color w:val="0077CC"/>
            <w:sz w:val="20"/>
            <w:u w:val="single"/>
            <w:shd w:val="clear" w:color="auto" w:fill="FFFFFF"/>
            <w:lang w:val="en-US" w:eastAsia="en-US" w:bidi="ar-SA"/>
          </w:rPr>
          <w:t>(2000), 46 O.R. (3d) 760</w:t>
        </w:r>
      </w:hyperlink>
      <w:r>
        <w:rPr>
          <w:rFonts w:ascii="arial" w:eastAsia="arial" w:hAnsi="arial" w:cs="arial"/>
          <w:color w:val="000000"/>
          <w:sz w:val="20"/>
          <w:lang w:val="en-US" w:eastAsia="en-US" w:bidi="ar-SA"/>
        </w:rPr>
        <w:t xml:space="preserve"> (C.A.), aff'd </w:t>
      </w:r>
      <w:hyperlink r:id="rId575" w:history="1">
        <w:r>
          <w:rPr>
            <w:rFonts w:ascii="arial" w:eastAsia="arial" w:hAnsi="arial" w:cs="arial"/>
            <w:i/>
            <w:color w:val="0077CC"/>
            <w:sz w:val="20"/>
            <w:u w:val="single"/>
            <w:shd w:val="clear" w:color="auto" w:fill="FFFFFF"/>
            <w:lang w:val="en-US" w:eastAsia="en-US" w:bidi="ar-SA"/>
          </w:rPr>
          <w:t>2001 SCC 59</w:t>
        </w:r>
      </w:hyperlink>
      <w:r>
        <w:rPr>
          <w:rFonts w:ascii="arial" w:eastAsia="arial" w:hAnsi="arial" w:cs="arial"/>
          <w:color w:val="000000"/>
          <w:sz w:val="20"/>
          <w:lang w:val="en-US" w:eastAsia="en-US" w:bidi="ar-SA"/>
        </w:rPr>
        <w:t xml:space="preserve">, Cumming J. suggested a test with six elements. In </w:t>
      </w:r>
      <w:r>
        <w:rPr>
          <w:rFonts w:ascii="arial" w:eastAsia="arial" w:hAnsi="arial" w:cs="arial"/>
          <w:i/>
          <w:color w:val="000000"/>
          <w:sz w:val="20"/>
          <w:lang w:val="en-US" w:eastAsia="en-US" w:bidi="ar-SA"/>
        </w:rPr>
        <w:t>Westcoast Landfill v CVRD</w:t>
      </w:r>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2009 BCSC 53</w:t>
        </w:r>
      </w:hyperlink>
      <w:r>
        <w:rPr>
          <w:rFonts w:ascii="arial" w:eastAsia="arial" w:hAnsi="arial" w:cs="arial"/>
          <w:color w:val="000000"/>
          <w:sz w:val="20"/>
          <w:lang w:val="en-US" w:eastAsia="en-US" w:bidi="ar-SA"/>
        </w:rPr>
        <w:t>, Shabbits J. boiled the number of elements down to three. Common to all of these various formulations are the requirements of the loss having been caused intentionally; and, having been caused by conduct that was unlawful or wrongful, independently of the intent to cause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The Behn Defendants argue that there was no intent to cause harm to Moulton Contracting, only an intent to force the MOF into proper consultation. As observed by Southin J.A. in </w:t>
      </w:r>
      <w:r>
        <w:rPr>
          <w:rFonts w:ascii="arial" w:eastAsia="arial" w:hAnsi="arial" w:cs="arial"/>
          <w:i/>
          <w:color w:val="000000"/>
          <w:sz w:val="20"/>
          <w:lang w:val="en-US" w:eastAsia="en-US" w:bidi="ar-SA"/>
        </w:rPr>
        <w:t>Verchere v. Greenpeace Canada</w:t>
      </w:r>
      <w:r>
        <w:rPr>
          <w:rFonts w:ascii="arial" w:eastAsia="arial" w:hAnsi="arial" w:cs="arial"/>
          <w:color w:val="000000"/>
          <w:sz w:val="20"/>
          <w:lang w:val="en-US" w:eastAsia="en-US" w:bidi="ar-SA"/>
        </w:rPr>
        <w:t xml:space="preserve">, </w:t>
      </w:r>
      <w:hyperlink r:id="rId652" w:history="1">
        <w:r>
          <w:rPr>
            <w:rFonts w:ascii="arial" w:eastAsia="arial" w:hAnsi="arial" w:cs="arial"/>
            <w:i/>
            <w:color w:val="0077CC"/>
            <w:sz w:val="20"/>
            <w:u w:val="single"/>
            <w:shd w:val="clear" w:color="auto" w:fill="FFFFFF"/>
            <w:lang w:val="en-US" w:eastAsia="en-US" w:bidi="ar-SA"/>
          </w:rPr>
          <w:t>2004 BCCA 242</w:t>
        </w:r>
      </w:hyperlink>
      <w:r>
        <w:rPr>
          <w:rFonts w:ascii="arial" w:eastAsia="arial" w:hAnsi="arial" w:cs="arial"/>
          <w:color w:val="000000"/>
          <w:sz w:val="20"/>
          <w:lang w:val="en-US" w:eastAsia="en-US" w:bidi="ar-SA"/>
        </w:rPr>
        <w:t xml:space="preserve"> at para. 29, this is to confuse intent with motive. The intent of the blockade was to stop the logging. Economic harm to Moulton Contracting was the direct, foreseeable consequence of this conduct. The harm may have been undesired, but as the natural consequence of the blockade it must be viewed as the participants'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real focus of the argument as to the liability of the blockade participants was as to whether their conduct was lawful. The test for what constitutes unlawful conduct has also been expressed by a number of formulations. Contrary to the concern expressed by the Behn Defendants in the course of argument, the test for an unlawful act is no more relaxed under the tort of causing economic loss through unlawful means than under the subsidiary tort of intentionally interfering with contractual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Verchere</w:t>
      </w:r>
      <w:r>
        <w:rPr>
          <w:rFonts w:ascii="arial" w:eastAsia="arial" w:hAnsi="arial" w:cs="arial"/>
          <w:color w:val="000000"/>
          <w:sz w:val="20"/>
          <w:lang w:val="en-US" w:eastAsia="en-US" w:bidi="ar-SA"/>
        </w:rPr>
        <w:t>, Southin J.A. proceeded on the basis that the torts of inducing or procuring breach of contract, interfering with contractual relations, and interfering with economic relations, are one and the same. She stated:</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her part, the learned judge put the principles of the tort thus: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[29] ... to succeed with their claim of interference in contractual relations, the personal Plaintiffs must prove: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Defendants definitely and unequivocally persuaded, induced or procured them to break their contracts;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state the third ingredient as "persuad[ing], induc[ing] or procur[ing] them to break their contracts" is to my mind too narrow, albeit generally the description suffices since in most of these cases the means used are words, whether written or oral (e.g. </w:t>
      </w:r>
      <w:r>
        <w:rPr>
          <w:rFonts w:ascii="arial" w:eastAsia="arial" w:hAnsi="arial" w:cs="arial"/>
          <w:i/>
          <w:color w:val="000000"/>
          <w:sz w:val="20"/>
          <w:lang w:val="en-US" w:eastAsia="en-US" w:bidi="ar-SA"/>
        </w:rPr>
        <w:t>Lumley v. Gye</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Daily Mirror Newspapers, Ltd. v. Gardner</w:t>
      </w:r>
      <w:r>
        <w:rPr>
          <w:rFonts w:ascii="arial" w:eastAsia="arial" w:hAnsi="arial" w:cs="arial"/>
          <w:color w:val="000000"/>
          <w:sz w:val="20"/>
          <w:lang w:val="en-US" w:eastAsia="en-US" w:bidi="ar-SA"/>
        </w:rPr>
        <w:t>,[1968] 2 All E.R. 163) or withdrawal of services by those not entitled to withdraw them (</w:t>
      </w:r>
      <w:r>
        <w:rPr>
          <w:rFonts w:ascii="arial" w:eastAsia="arial" w:hAnsi="arial" w:cs="arial"/>
          <w:i/>
          <w:color w:val="000000"/>
          <w:sz w:val="20"/>
          <w:lang w:val="en-US" w:eastAsia="en-US" w:bidi="ar-SA"/>
        </w:rPr>
        <w:t>Torquay Hotel Co., Ltd. v. Cousins</w:t>
      </w:r>
      <w:r>
        <w:rPr>
          <w:rFonts w:ascii="arial" w:eastAsia="arial" w:hAnsi="arial" w:cs="arial"/>
          <w:color w:val="000000"/>
          <w:sz w:val="20"/>
          <w:lang w:val="en-US" w:eastAsia="en-US" w:bidi="ar-SA"/>
        </w:rPr>
        <w:t>, [1969] 1 All E.R. 522 (C.A.)).</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would put the third ingredient as that the defendants, by unlawful (wrongful) means, caused the breach of the plaintiffs' contract.</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would include in "unlawful" doing any act which one has no lawful right to do. See </w:t>
      </w:r>
      <w:r>
        <w:rPr>
          <w:rFonts w:ascii="arial" w:eastAsia="arial" w:hAnsi="arial" w:cs="arial"/>
          <w:i/>
          <w:color w:val="000000"/>
          <w:sz w:val="20"/>
          <w:lang w:val="en-US" w:eastAsia="en-US" w:bidi="ar-SA"/>
        </w:rPr>
        <w:t>Crofter Hand Woven Harris Tweed Co., Ltd. v. Veitch</w:t>
      </w:r>
      <w:r>
        <w:rPr>
          <w:rFonts w:ascii="arial" w:eastAsia="arial" w:hAnsi="arial" w:cs="arial"/>
          <w:color w:val="000000"/>
          <w:sz w:val="20"/>
          <w:lang w:val="en-US" w:eastAsia="en-US" w:bidi="ar-SA"/>
        </w:rPr>
        <w:t>, [1942] A.C. 435 at 442.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Professor Lewis Klar Q.C., in his text </w:t>
      </w:r>
      <w:r>
        <w:rPr>
          <w:rFonts w:ascii="arial" w:eastAsia="arial" w:hAnsi="arial" w:cs="arial"/>
          <w:color w:val="000000"/>
          <w:sz w:val="20"/>
          <w:u w:val="single"/>
          <w:lang w:val="en-US" w:eastAsia="en-US" w:bidi="ar-SA"/>
        </w:rPr>
        <w:t>Tort Law</w:t>
      </w:r>
      <w:r>
        <w:rPr>
          <w:rFonts w:ascii="arial" w:eastAsia="arial" w:hAnsi="arial" w:cs="arial"/>
          <w:color w:val="000000"/>
          <w:sz w:val="20"/>
          <w:lang w:val="en-US" w:eastAsia="en-US" w:bidi="ar-SA"/>
        </w:rPr>
        <w:t xml:space="preserve"> (5th ed., 2012) suggests at page 743, n.295, that the dissenting judgment of Lambert J.A. in </w:t>
      </w:r>
      <w:r>
        <w:rPr>
          <w:rFonts w:ascii="arial" w:eastAsia="arial" w:hAnsi="arial" w:cs="arial"/>
          <w:i/>
          <w:color w:val="000000"/>
          <w:sz w:val="20"/>
          <w:lang w:val="en-US" w:eastAsia="en-US" w:bidi="ar-SA"/>
        </w:rPr>
        <w:t>No. 1 Collision Repair &amp; Painting (1982) Ltd. v. Ins. Corp. of British Columbia</w:t>
      </w:r>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2000 BCCA 463</w:t>
        </w:r>
      </w:hyperlink>
      <w:r>
        <w:rPr>
          <w:rFonts w:ascii="arial" w:eastAsia="arial" w:hAnsi="arial" w:cs="arial"/>
          <w:color w:val="000000"/>
          <w:sz w:val="20"/>
          <w:lang w:val="en-US" w:eastAsia="en-US" w:bidi="ar-SA"/>
        </w:rPr>
        <w:t xml:space="preserve"> provides a "very useful discussion". Lambert J.A. endorsed a test for the "unlawful act" requirement that had been formulated by Lord Denning: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w:t>
      </w:r>
      <w:r>
        <w:rPr>
          <w:rFonts w:ascii="arial" w:eastAsia="arial" w:hAnsi="arial" w:cs="arial"/>
          <w:i/>
          <w:color w:val="000000"/>
          <w:sz w:val="20"/>
          <w:lang w:val="en-US" w:eastAsia="en-US" w:bidi="ar-SA"/>
        </w:rPr>
        <w:t xml:space="preserve"> ... In Torquay Hotel Co. Ltd. v. Cousins, [1969] 2 Ch.D.106 (Eng. C.A.), Lord Denning said this, at p. 139: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have always understood that if one person </w:t>
      </w:r>
      <w:r>
        <w:rPr>
          <w:rFonts w:ascii="arial" w:eastAsia="arial" w:hAnsi="arial" w:cs="arial"/>
          <w:color w:val="000000"/>
          <w:sz w:val="20"/>
          <w:u w:val="single"/>
          <w:lang w:val="en-US" w:eastAsia="en-US" w:bidi="ar-SA"/>
        </w:rPr>
        <w:t>deliberately interferes</w:t>
      </w:r>
      <w:r>
        <w:rPr>
          <w:rFonts w:ascii="arial" w:eastAsia="arial" w:hAnsi="arial" w:cs="arial"/>
          <w:color w:val="000000"/>
          <w:sz w:val="20"/>
          <w:lang w:val="en-US" w:eastAsia="en-US" w:bidi="ar-SA"/>
        </w:rPr>
        <w:t xml:space="preserve"> with the trade or business of another, and does so </w:t>
      </w:r>
      <w:r>
        <w:rPr>
          <w:rFonts w:ascii="arial" w:eastAsia="arial" w:hAnsi="arial" w:cs="arial"/>
          <w:color w:val="000000"/>
          <w:sz w:val="20"/>
          <w:u w:val="single"/>
          <w:lang w:val="en-US" w:eastAsia="en-US" w:bidi="ar-SA"/>
        </w:rPr>
        <w:t>by unlawful means, that is, by an act which he is not at liberty to commit</w:t>
      </w:r>
      <w:r>
        <w:rPr>
          <w:rFonts w:ascii="arial" w:eastAsia="arial" w:hAnsi="arial" w:cs="arial"/>
          <w:color w:val="000000"/>
          <w:sz w:val="20"/>
          <w:lang w:val="en-US" w:eastAsia="en-US" w:bidi="ar-SA"/>
        </w:rPr>
        <w:t>, then he is acting unlawfully, even though he does not procure or induce any actual breach of contract.</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consider that test is entirely consistent with </w:t>
      </w:r>
      <w:r>
        <w:rPr>
          <w:rFonts w:ascii="arial" w:eastAsia="arial" w:hAnsi="arial" w:cs="arial"/>
          <w:i/>
          <w:color w:val="000000"/>
          <w:sz w:val="20"/>
          <w:lang w:val="en-US" w:eastAsia="en-US" w:bidi="ar-SA"/>
        </w:rPr>
        <w:t>Allen v. Flood</w:t>
      </w:r>
      <w:r>
        <w:rPr>
          <w:rFonts w:ascii="arial" w:eastAsia="arial" w:hAnsi="arial" w:cs="arial"/>
          <w:color w:val="000000"/>
          <w:sz w:val="20"/>
          <w:lang w:val="en-US" w:eastAsia="en-US" w:bidi="ar-SA"/>
        </w:rPr>
        <w:t xml:space="preserve"> [[1898] A.C. 1]; is not inconsistent, so far as I know, with any decision binding on me; and somewhat ameliorates the fortuitous nature of a test for unlawful acts based on whether the act is a civil or criminal wrong against someone entirely different from the person whose economic interests are harmed. What is more, it is a test which seems to me to enable the doctrine of restraint of trade to fit in with the economic torts. But I think that any definition of "unlawful means" should allow some flexibility for the over-riding interests of justice. Accordingly, I concur in the view that even where a person deliberately commits acts that he is not at liberty to commit, with the intention of causing economic harm to another person, he will not be liable if his acts were, in the circumstances,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Reid v. British Columbia (Egg Marketing Board)</w:t>
      </w:r>
      <w:r>
        <w:rPr>
          <w:rFonts w:ascii="arial" w:eastAsia="arial" w:hAnsi="arial" w:cs="arial"/>
          <w:color w:val="000000"/>
          <w:sz w:val="20"/>
          <w:lang w:val="en-US" w:eastAsia="en-US" w:bidi="ar-SA"/>
        </w:rPr>
        <w:t xml:space="preserve">, </w:t>
      </w:r>
      <w:hyperlink r:id="rId654" w:history="1">
        <w:r>
          <w:rPr>
            <w:rFonts w:ascii="arial" w:eastAsia="arial" w:hAnsi="arial" w:cs="arial"/>
            <w:i/>
            <w:color w:val="0077CC"/>
            <w:sz w:val="20"/>
            <w:u w:val="single"/>
            <w:shd w:val="clear" w:color="auto" w:fill="FFFFFF"/>
            <w:lang w:val="en-US" w:eastAsia="en-US" w:bidi="ar-SA"/>
          </w:rPr>
          <w:t>2007 BCSC 155</w:t>
        </w:r>
      </w:hyperlink>
      <w:r>
        <w:rPr>
          <w:rFonts w:ascii="arial" w:eastAsia="arial" w:hAnsi="arial" w:cs="arial"/>
          <w:color w:val="000000"/>
          <w:sz w:val="20"/>
          <w:lang w:val="en-US" w:eastAsia="en-US" w:bidi="ar-SA"/>
        </w:rPr>
        <w:t>, Madam Justice Holmes observed that the test is that the act be one which the defendant "was not at liberty to commit", or was one "without legal justification".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In cases where the defendant is a body alleged to have acted beyond the powers conferred by its enabling legislation or bylaws, the formula sometimes used is whether the defendant's acts were "unauthorized" or "without legal authority" (e.g. </w:t>
      </w:r>
      <w:r>
        <w:rPr>
          <w:rFonts w:ascii="arial" w:eastAsia="arial" w:hAnsi="arial" w:cs="arial"/>
          <w:i/>
          <w:color w:val="000000"/>
          <w:sz w:val="20"/>
          <w:lang w:val="en-US" w:eastAsia="en-US" w:bidi="ar-SA"/>
        </w:rPr>
        <w:t>Gershman v. Manitoba (Vegetable Producers' Marketing Board)</w:t>
      </w:r>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(1976), 69 D.L.R. (3d) 114</w:t>
        </w:r>
      </w:hyperlink>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[1976] 4 W.W.R. 406</w:t>
        </w:r>
      </w:hyperlink>
      <w:r>
        <w:rPr>
          <w:rFonts w:ascii="arial" w:eastAsia="arial" w:hAnsi="arial" w:cs="arial"/>
          <w:color w:val="000000"/>
          <w:sz w:val="20"/>
          <w:lang w:val="en-US" w:eastAsia="en-US" w:bidi="ar-SA"/>
        </w:rPr>
        <w:t xml:space="preserve"> (Man. C.A.); </w:t>
      </w:r>
      <w:r>
        <w:rPr>
          <w:rFonts w:ascii="arial" w:eastAsia="arial" w:hAnsi="arial" w:cs="arial"/>
          <w:i/>
          <w:color w:val="000000"/>
          <w:sz w:val="20"/>
          <w:lang w:val="en-US" w:eastAsia="en-US" w:bidi="ar-SA"/>
        </w:rPr>
        <w:t>Reach M.D. Inc. v. Pharmaceutical Manufacturers Assn of Canada</w:t>
      </w:r>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(2003), 65 O.R. (3d) 30</w:t>
        </w:r>
      </w:hyperlink>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227 D.L.R. (4th) 458</w:t>
        </w:r>
      </w:hyperlink>
      <w:r>
        <w:rPr>
          <w:rFonts w:ascii="arial" w:eastAsia="arial" w:hAnsi="arial" w:cs="arial"/>
          <w:color w:val="000000"/>
          <w:sz w:val="20"/>
          <w:lang w:val="en-US" w:eastAsia="en-US" w:bidi="ar-SA"/>
        </w:rPr>
        <w:t xml:space="preserve">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plaintiff says that the blockade was unlawful in two respects: it was an act of criminal mischief; and it was unauthorized interference with an authorized use.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Unlawful Act - Mischief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First, the plaintiff submits that the blockade was an act of criminal mischief, contrary to s. 430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i/>
          <w:color w:val="000000"/>
          <w:sz w:val="20"/>
          <w:lang w:val="en-US" w:eastAsia="en-US" w:bidi="ar-SA"/>
        </w:rPr>
        <w:t xml:space="preserve">: </w:t>
      </w:r>
      <w:r>
        <w:rPr>
          <w:rFonts w:ascii="arial" w:eastAsia="arial" w:hAnsi="arial" w:cs="arial"/>
          <w:sz w:val="20"/>
          <w:lang w:val="en-US" w:eastAsia="en-US" w:bidi="ar-SA"/>
        </w:rPr>
        <w:cr/>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 Every one commits mischief who wilfully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destroys or damages property;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renders property dangerous, useless, inoperative or ineffective;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c</w:t>
      </w:r>
      <w:r>
        <w:rPr>
          <w:rFonts w:ascii="arial" w:eastAsia="arial" w:hAnsi="arial" w:cs="arial"/>
          <w:color w:val="000000"/>
          <w:sz w:val="20"/>
          <w:lang w:val="en-US" w:eastAsia="en-US" w:bidi="ar-SA"/>
        </w:rPr>
        <w:t>) obstructs, interrupts or interferes with the lawful use, enjoyment or operation of property; or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d</w:t>
      </w:r>
      <w:r>
        <w:rPr>
          <w:rFonts w:ascii="arial" w:eastAsia="arial" w:hAnsi="arial" w:cs="arial"/>
          <w:color w:val="000000"/>
          <w:sz w:val="20"/>
          <w:lang w:val="en-US" w:eastAsia="en-US" w:bidi="ar-SA"/>
        </w:rPr>
        <w:t>) obstructs, interrupts or interferes with any person in the lawful use, enjoyment or operation of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Pursuant to s. 428, the definition of "property" in s. 430 is limited to "real or personal corporeal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 digress at this point to describe the manner in which criminal mischief was pleaded by the plaintiff; as will be seen, there is some significance to this, in that the Behn Defendants submit that the scope of the plaintiff's claim was broadened significantly in the course of argument, beyond what was pleaded. The plea of intentional interference with economic relations is set out at paras. 58 (quoted above) and 59. Those paragraphs provide no particulars of the manner in which the alleged interference is said to have been unlawful. The specific plea of criminal mischief is made in the context of the alternative cause of action based in civil conspiracy. The Further Further Amended Statement of Claim alleges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Conspiracy (Blockade Defendants)</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Blockade is located on or near the Sierra High Grade Road. Moulton, along with other members of the public, had the right to use the Sierra High Grade Road. The willful actions of the Behns and other members of the FNFN in obstructing, interrupting or interfering with Moulton's lawful use, enjoyment or operation of the Sierra High Grade Road, the TSLs or the RP contravened s. 430 of the </w:t>
      </w:r>
      <w:r>
        <w:rPr>
          <w:rFonts w:ascii="arial" w:eastAsia="arial" w:hAnsi="arial" w:cs="arial"/>
          <w:i/>
          <w:color w:val="000000"/>
          <w:sz w:val="20"/>
          <w:lang w:val="en-US" w:eastAsia="en-US" w:bidi="ar-SA"/>
        </w:rPr>
        <w:t>Criminal Code of Canada</w:t>
      </w:r>
      <w:r>
        <w:rPr>
          <w:rFonts w:ascii="arial" w:eastAsia="arial" w:hAnsi="arial" w:cs="arial"/>
          <w:color w:val="000000"/>
          <w:sz w:val="20"/>
          <w:lang w:val="en-US" w:eastAsia="en-US" w:bidi="ar-SA"/>
        </w:rPr>
        <w:t xml:space="preserve"> [cit. omit.] (the "Unlawful Conduct").</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on or about October 2, 2006, the Behns and members of the FNFN, and the said FNFN, combined or conspired with each other with intent to commit the Unlawful Conduct or the Tortious Conduct. The conduct of these Defendants in furtherance of their conspiracy was unlawful and was directed towards Moulton, and they knew, or ought to have known, that loss, damage, and expense would be suffered by Moulton as a result of the Unlawful Conduct or the Tortious Conduct. By reason of the said conspiracy, Moulton has suffered, and will suffer loss, damage and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 noted above, the references to the "Sierra High Grade Road" were in error; what was meant was the access road named in these reasons as the "Canfor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In the plaintiff's final submissions, criminal mischief was addressed not only as an element of civil conspiracy, but also as one of two means by which the conduct of the blockade participants was unlawful. No other particular form of criminal or civil wrongdoing was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Further Amended Statement of Defence of the Behn Defendants set out the following defences to the allegation of mischief:</w:t>
      </w:r>
      <w:r>
        <w:rPr>
          <w:rFonts w:ascii="arial" w:eastAsia="arial" w:hAnsi="arial" w:cs="arial"/>
          <w:sz w:val="20"/>
          <w:lang w:val="en-US" w:eastAsia="en-US" w:bidi="ar-SA"/>
        </w:rPr>
        <w:cr/>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mischief provisions of s. 430(1) of the </w:t>
      </w:r>
      <w:r>
        <w:rPr>
          <w:rFonts w:ascii="arial" w:eastAsia="arial" w:hAnsi="arial" w:cs="arial"/>
          <w:i/>
          <w:color w:val="000000"/>
          <w:sz w:val="20"/>
          <w:lang w:val="en-US" w:eastAsia="en-US" w:bidi="ar-SA"/>
        </w:rPr>
        <w:t>Criminal Code of Canada</w:t>
      </w:r>
      <w:r>
        <w:rPr>
          <w:rFonts w:ascii="arial" w:eastAsia="arial" w:hAnsi="arial" w:cs="arial"/>
          <w:color w:val="000000"/>
          <w:sz w:val="20"/>
          <w:lang w:val="en-US" w:eastAsia="en-US" w:bidi="ar-SA"/>
        </w:rPr>
        <w:t xml:space="preserve"> have no application to the activities of the Behn Defendants or any person, as:</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no lawful rights created by the Road Permit;</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did not have a right to us the Canfor Road for timber harvesting, including for the transportation of timber or associated machinery, materials or personnel until authorized by Canfor, pursuant to s. 22.1 of the Forest and Range Practices Act </w:t>
      </w:r>
      <w:r>
        <w:rPr>
          <w:rFonts w:ascii="arial" w:eastAsia="arial" w:hAnsi="arial" w:cs="arial"/>
          <w:i/>
          <w:color w:val="000000"/>
          <w:sz w:val="20"/>
          <w:lang w:val="en-US" w:eastAsia="en-US" w:bidi="ar-SA"/>
        </w:rPr>
        <w:t>SBC 2002, c. 69</w:t>
      </w:r>
      <w:r>
        <w:rPr>
          <w:rFonts w:ascii="arial" w:eastAsia="arial" w:hAnsi="arial" w:cs="arial"/>
          <w:color w:val="000000"/>
          <w:sz w:val="20"/>
          <w:lang w:val="en-US" w:eastAsia="en-US" w:bidi="ar-SA"/>
        </w:rPr>
        <w:t xml:space="preserve"> and such authorization was not obtained until on or about January 12, 2007, when it entered into a road use agreement with Canfor; and</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even if the Road Permit is lawful, the rights created thereunder are not "property" within the meaning of the Criminal Code of Canada, in particular as they are non-exclusive rights of passage which are incorporeal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In argument, the Behn Defendants submitted that whatever rights the plaintiff may have had to use or enjoy the TSLs and the RP, and to use and enjoy the Canfor Road under the Canfor Road Permit, those were not rights as to corporeal property. The Behn Defendants rely upon the definition of the words "corporeal" and its antonym, "incorporeal", as considered by the Supreme Court of Canada in </w:t>
      </w:r>
      <w:r>
        <w:rPr>
          <w:rFonts w:ascii="arial" w:eastAsia="arial" w:hAnsi="arial" w:cs="arial"/>
          <w:i/>
          <w:color w:val="000000"/>
          <w:sz w:val="20"/>
          <w:lang w:val="en-US" w:eastAsia="en-US" w:bidi="ar-SA"/>
        </w:rPr>
        <w:t>Bank of Montreal v. Dynex Petroleum Ltd.</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2002 SCC 7</w:t>
        </w:r>
      </w:hyperlink>
      <w:r>
        <w:rPr>
          <w:rFonts w:ascii="arial" w:eastAsia="arial" w:hAnsi="arial" w:cs="arial"/>
          <w:color w:val="000000"/>
          <w:sz w:val="20"/>
          <w:lang w:val="en-US" w:eastAsia="en-US" w:bidi="ar-SA"/>
        </w:rPr>
        <w:t>. The case concerned the application of an "ancient" common law rule that interests in land could not arise from incorporeal hereditaments; the holders of overriding royalties that had been granted by Dynex Petroleum claimed that their royalty interests comprised interests in lands and that those interests, protected by caveats, took priority over the appellant lender's security interests. The Court stated:</w:t>
      </w:r>
      <w:r>
        <w:rPr>
          <w:rFonts w:ascii="arial" w:eastAsia="arial" w:hAnsi="arial" w:cs="arial"/>
          <w:sz w:val="20"/>
          <w:lang w:val="en-US" w:eastAsia="en-US" w:bidi="ar-SA"/>
        </w:rPr>
        <w:cr/>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common law, an interest in land could issue from a corporeal hereditament but not from an incorporeal hereditament. "Corporeal hereditament" is defined by </w:t>
      </w:r>
      <w:r>
        <w:rPr>
          <w:rFonts w:ascii="arial" w:eastAsia="arial" w:hAnsi="arial" w:cs="arial"/>
          <w:i/>
          <w:color w:val="000000"/>
          <w:sz w:val="20"/>
          <w:lang w:val="en-US" w:eastAsia="en-US" w:bidi="ar-SA"/>
        </w:rPr>
        <w:t>The Dictionary of Canadian Law</w:t>
      </w:r>
      <w:r>
        <w:rPr>
          <w:rFonts w:ascii="arial" w:eastAsia="arial" w:hAnsi="arial" w:cs="arial"/>
          <w:color w:val="000000"/>
          <w:sz w:val="20"/>
          <w:lang w:val="en-US" w:eastAsia="en-US" w:bidi="ar-SA"/>
        </w:rPr>
        <w:t xml:space="preserve"> (2 ed. 1995) as: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material object in contrast to a right. It may include land, buildings, minerals, trees or fixtures. ...</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Land.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"Incorporeal hereditament" is defined as: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right) ... in land, which (includes) such things as rent charges, annuities, easements, profits à prendre, and so on."...</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Property which is not tangible but can be inherited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concluded that although incorporeal hereditaments could not normally create an interest in land, the customs and practices of the oil and gas industry were inconsistent with strict application of the rule. The Court recognized an exception should be made for incorporeal hereditaments such as working interests or profits à prendre, if creation of an interest in land through such reflected the intention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The Behn Defendants also rely upon the definitions cited by Procter J.A. in </w:t>
      </w:r>
      <w:r>
        <w:rPr>
          <w:rFonts w:ascii="arial" w:eastAsia="arial" w:hAnsi="arial" w:cs="arial"/>
          <w:i/>
          <w:color w:val="000000"/>
          <w:sz w:val="20"/>
          <w:lang w:val="en-US" w:eastAsia="en-US" w:bidi="ar-SA"/>
        </w:rPr>
        <w:t>In re Interprovincial Pipe Line</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(1951) 1 W.W.R. (N.S.) 479</w:t>
        </w:r>
      </w:hyperlink>
      <w:r>
        <w:rPr>
          <w:rFonts w:ascii="arial" w:eastAsia="arial" w:hAnsi="arial" w:cs="arial"/>
          <w:color w:val="000000"/>
          <w:sz w:val="20"/>
          <w:lang w:val="en-US" w:eastAsia="en-US" w:bidi="ar-SA"/>
        </w:rPr>
        <w:t xml:space="preserve"> at 485-486: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Williams on Real Property, p. 89: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Corporeal hereditaments, the land in the freeholder's possession, are contrasted with incorporeal hereditaments, mere rights to or over land which is in another's possession.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Hogg on Ownership and Incumbrance of Registered Land at p. 56 points out: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easement, though a mere interest in the land of another person, as distinguished from that right to the possession of the land itself which constitutes a corporeal hereditament (in one of its meanings) or property, is an incorporeal hereditament.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Behn Defendants submit that "corporeal property" in general is physical property over which a person has rights of possession or exclusive possession, while "incorporeal hereditaments" are those forms of property that are non-exclusive, do not amount to rights of possession, and give the holder the right to take some benefit from the land such as rents, minerals or timber.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With respect to the RP and the Canfor Road Permit, they point to specific provisions made in those documents that the rights granted thereunder are non-exclusive, and they submit - correctly - that neither document gives the grantee, or persons using the road with permission of the grantee, possessory or ownership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With respect to the TSLs, the Behn Defendants submit that the TSLs also provide only for non-exclusive use of the Cutting Authority Areas, with the licensee having the right to take harvest, and to enter onto the lands for the purpose of harvesting. The timber would only become the property of Moulton Contracting once harvested. While there was, initially, interference with the plaintiff's access to the timber harvested before the blockade was instituted, that was remedied when Moulton Contracting was permitted to remove the harvested timber in mid-January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Anderson v. Rolandi Bros. Logging Co.</w:t>
      </w:r>
      <w:r>
        <w:rPr>
          <w:rFonts w:ascii="arial" w:eastAsia="arial" w:hAnsi="arial" w:cs="arial"/>
          <w:color w:val="000000"/>
          <w:sz w:val="20"/>
          <w:lang w:val="en-US" w:eastAsia="en-US" w:bidi="ar-SA"/>
        </w:rPr>
        <w:t xml:space="preserve"> (1955), 17 W.W.R. 119, Wood J. held that a contractual right to log and to remove timber from land was an incorporeal hereditament, specifically a profit à prendre.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Relentless Energy Corp. v. Davis</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2004 BCSC 1492</w:t>
        </w:r>
      </w:hyperlink>
      <w:r>
        <w:rPr>
          <w:rFonts w:ascii="arial" w:eastAsia="arial" w:hAnsi="arial" w:cs="arial"/>
          <w:color w:val="000000"/>
          <w:sz w:val="20"/>
          <w:lang w:val="en-US" w:eastAsia="en-US" w:bidi="ar-SA"/>
        </w:rPr>
        <w:t>, the plaintiff sought interim injunctions to restrain the defendants - members of the Blueberry River Indian Band, and beneficiaries of Treaty 8, some of whom were also registered trapline holders - from obstructing the plaintiff's use of a proposed permanent access road over Crown land, and from interfering with any person in the discharge of obligations under an agreement between the plaintiff and its subcontractor to construct the proposed road. The application was denied. The court's reasoning bears on Moulton Contracting's reliance on the crime of mischief to prove unlawful conduct. Relevant excerpts from the judgment of Satanove J. include the following:</w:t>
      </w:r>
      <w:r>
        <w:rPr>
          <w:rFonts w:ascii="arial" w:eastAsia="arial" w:hAnsi="arial" w:cs="arial"/>
          <w:sz w:val="20"/>
          <w:lang w:val="en-US" w:eastAsia="en-US" w:bidi="ar-SA"/>
        </w:rPr>
        <w:cr/>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permits from the Oil and Gas Commission ("OGC"), which allow it to go onto Crown land, harvest trees and construct a 15 metre wide road in a specific location designated on a map filed with the OGC (the "Construction Permit" and "Cutting Permit").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Blueberry River Indian Band, through their land manager, has taken the position that they are not categorically opposed to all oil and gas development. However, they are concerned about the heavy impact on the Wolf/Davis trapline, which has been subject to much development for farmland and for oil and gas purposes in the last decade. The usable part of the trapline has been reduced to about 25 percent of the original area. The band wishes to conduct a land use study assessment and consult with the OGC with a view to changing the location of the Proposed Road. The band has filed a request with the OGC to review a number of its permits granted to the plaintiff, including the ones at issue, and are awaiting the result.</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no dispute that the OGC has the statutory authority to grant the Construction and Cutting Permits under the </w:t>
      </w:r>
      <w:r>
        <w:rPr>
          <w:rFonts w:ascii="arial" w:eastAsia="arial" w:hAnsi="arial" w:cs="arial"/>
          <w:i/>
          <w:color w:val="000000"/>
          <w:sz w:val="20"/>
          <w:lang w:val="en-US" w:eastAsia="en-US" w:bidi="ar-SA"/>
        </w:rPr>
        <w:t>Land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245</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Forest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157</w:t>
      </w:r>
      <w:r>
        <w:rPr>
          <w:rFonts w:ascii="arial" w:eastAsia="arial" w:hAnsi="arial" w:cs="arial"/>
          <w:color w:val="000000"/>
          <w:sz w:val="20"/>
          <w:lang w:val="en-US" w:eastAsia="en-US" w:bidi="ar-SA"/>
        </w:rPr>
        <w:t xml:space="preserve"> respectively. However, the defendants say the Permits cannot and should not be used as a basis to displace their camp because they are entitled to exercise both their constitutional right to hunt and trap under Treaty #8, and their right to trap under the Wolf/Davis trapline.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does not plead trespass or nuisance because it has no interest in the land. It has not sought declaratory relief that its right to construct the Proposed Road is in priority to the defendants' right to hunt under Treaty #8, or a right to trap under the Wolf/Davis trapline. The plaintiff is not interested in adjudicating competing rights; it simply wants to remove what it considers to be an illegal impediment to accomplishing its commercial 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plaintiff has not shown a strong case on the merits. The plaintiff's claim is predicated on "wrongful" interference which means it must show an unlawful act on the part of the defendants. </w:t>
      </w:r>
      <w:r>
        <w:rPr>
          <w:rFonts w:ascii="arial" w:eastAsia="arial" w:hAnsi="arial" w:cs="arial"/>
          <w:color w:val="000000"/>
          <w:sz w:val="20"/>
          <w:u w:val="single"/>
          <w:lang w:val="en-US" w:eastAsia="en-US" w:bidi="ar-SA"/>
        </w:rPr>
        <w:t xml:space="preserve">The plaintiff suggests that the offence of mischief is the wrongful act, but s. 430(1) of the </w:t>
      </w:r>
      <w:r>
        <w:rPr>
          <w:rFonts w:ascii="arial" w:eastAsia="arial" w:hAnsi="arial" w:cs="arial"/>
          <w:i/>
          <w:color w:val="000000"/>
          <w:sz w:val="20"/>
          <w:u w:val="single"/>
          <w:lang w:val="en-US" w:eastAsia="en-US" w:bidi="ar-SA"/>
        </w:rPr>
        <w:t>Criminal Code of Canada</w:t>
      </w:r>
      <w:r>
        <w:rPr>
          <w:rFonts w:ascii="arial" w:eastAsia="arial" w:hAnsi="arial" w:cs="arial"/>
          <w:color w:val="000000"/>
          <w:sz w:val="20"/>
          <w:u w:val="single"/>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u w:val="single"/>
          <w:lang w:val="en-US" w:eastAsia="en-US" w:bidi="ar-SA"/>
        </w:rPr>
        <w:t xml:space="preserve"> requires obstruction, interruption or interference with corporeal property</w:t>
      </w:r>
      <w:r>
        <w:rPr>
          <w:rFonts w:ascii="arial" w:eastAsia="arial" w:hAnsi="arial" w:cs="arial"/>
          <w:color w:val="000000"/>
          <w:sz w:val="20"/>
          <w:lang w:val="en-US" w:eastAsia="en-US" w:bidi="ar-SA"/>
        </w:rPr>
        <w:t xml:space="preserve">, as defined in s. 428. </w:t>
      </w:r>
      <w:r>
        <w:rPr>
          <w:rFonts w:ascii="arial" w:eastAsia="arial" w:hAnsi="arial" w:cs="arial"/>
          <w:color w:val="000000"/>
          <w:sz w:val="20"/>
          <w:u w:val="single"/>
          <w:lang w:val="en-US" w:eastAsia="en-US" w:bidi="ar-SA"/>
        </w:rPr>
        <w:t xml:space="preserve">The plaintiff's permits are incorporeal hereditaments which are not accompanied by exclusive possession and therefore cannot form the basis of a mischief offence under the </w:t>
      </w:r>
      <w:r>
        <w:rPr>
          <w:rFonts w:ascii="arial" w:eastAsia="arial" w:hAnsi="arial" w:cs="arial"/>
          <w:i/>
          <w:color w:val="000000"/>
          <w:sz w:val="20"/>
          <w:u w:val="single"/>
          <w:lang w:val="en-US" w:eastAsia="en-US" w:bidi="ar-SA"/>
        </w:rPr>
        <w:t>Criminal Code</w:t>
      </w:r>
      <w:r>
        <w:rPr>
          <w:rFonts w:ascii="arial" w:eastAsia="arial" w:hAnsi="arial" w:cs="arial"/>
          <w:color w:val="000000"/>
          <w:sz w:val="20"/>
          <w:u w:val="single"/>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Moulton Contracting says that </w:t>
      </w:r>
      <w:r>
        <w:rPr>
          <w:rFonts w:ascii="arial" w:eastAsia="arial" w:hAnsi="arial" w:cs="arial"/>
          <w:i/>
          <w:color w:val="000000"/>
          <w:sz w:val="20"/>
          <w:lang w:val="en-US" w:eastAsia="en-US" w:bidi="ar-SA"/>
        </w:rPr>
        <w:t>Relentless Energy</w:t>
      </w:r>
      <w:r>
        <w:rPr>
          <w:rFonts w:ascii="arial" w:eastAsia="arial" w:hAnsi="arial" w:cs="arial"/>
          <w:color w:val="000000"/>
          <w:sz w:val="20"/>
          <w:lang w:val="en-US" w:eastAsia="en-US" w:bidi="ar-SA"/>
        </w:rPr>
        <w:t xml:space="preserve"> is distinguishable in that the location of the camp constructed by the defendants in that case was on a proposed road, not on a road that had been taken up under Treaty 8. It refers to para. 25 of the judgment, where Satanove J. said:</w:t>
      </w:r>
      <w:r>
        <w:rPr>
          <w:rFonts w:ascii="arial" w:eastAsia="arial" w:hAnsi="arial" w:cs="arial"/>
          <w:sz w:val="20"/>
          <w:lang w:val="en-US" w:eastAsia="en-US" w:bidi="ar-SA"/>
        </w:rPr>
        <w:cr/>
      </w:r>
    </w:p>
    <w:p>
      <w:pPr>
        <w:numPr>
          <w:numId w:val="4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at bar, the road has not yet been built. The defendants have been hunting and trapping in this area in the preceding years right up to the present. The status quo is preserved by denying the 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That comment, however, was not directed towards the question of the strength of the plaintiff's case, but rather was made in the context of considering, in the alternative, the balance of convenience between the parties. This factual distinction does not avoid the fundamental point that the rights alleged by the plaintiff were not in respect of corporeal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 find that the blockade's obstruction, interruption or interference with whatever rights the plaintiff had under the TSLs to use or to enjoy the use of the Cutting Authority Areas and the Canfor Road were in respect of incorporeal property rights only, and did not give rise to the offence of mischief. In this sense, the blockade was not unlawful.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In its final submissions, the plaintiff raised for the first time an argument that the blockade participants committed mischief not only through their interference with use of the TSLs, the RP, and the Canfor Road, as pleaded, but also in respect of their interference with the lawful use, enjoyment or operation of machinery and equipment on the TSLs. This machinery and equipment was corporeal property, and in that respect the plaintiff submits that an act of criminal mischief clearly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plaintiff contends that no amendment to the statement of claim is necessary, as the Behn Defendants' interference with the plaintiff's use of the Canfor Road was also interference with use of its equipment located on one of the TSLs. Though only incorporeal property may have been explicitly referred to in the statement of claim, all parties knew and understood - and indeed, the Behn Defendants intended - that the blockade of the Canfor Road would frustrate the plaintiff's use of its corporeal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Conceptually, however, any use of incorporeal property could entail some use of an item of corporeal property. If my neighbour blocks access to land over which I have an easement, do I not also lose my right to drive my car over it? If my use of a patent is interfered with, does that not also mean that I become limited in use of my manufacturing plant? The plaintiff's proposed application of the law to the circumstances of this case would effectively expand the offence of mischief to matters involving both corporeal and incorporeal property. That cannot have been the intention behind s. 428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Alternatively, the plaintiff would seek leave to amend the statement of claim, to include an explicit plea of interference with the use and enjoyment of its physical property. I would not allow an amendment. This action was case-managed, and deadlines were set for finalization of all amendments, well in advance of trial. Some leeway must, in the ordinary course, be given to parties to amend their pleadings to conform to the evidence, subject always to a balancing of fairness concerns, including the question of prejudice. But that is not what is being sought here. What the plaintiff would seek leave to do in this case is to be given leave to allege an entirely new theory of liability. Where wrongful conduct had been alleged, and particularized - and even more so, where the conduct is alleged to have been criminal - a defendant has every right to expect that the case pleaded is the case that will have to be met at trial. Fundamental principles of trial fairness require no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That the characterization of the object of an alleged act of mischief as corporeal property is an essential aspect of a mischief allegation was made plain by the decision of this court in </w:t>
      </w:r>
      <w:r>
        <w:rPr>
          <w:rFonts w:ascii="arial" w:eastAsia="arial" w:hAnsi="arial" w:cs="arial"/>
          <w:i/>
          <w:color w:val="000000"/>
          <w:sz w:val="20"/>
          <w:lang w:val="en-US" w:eastAsia="en-US" w:bidi="ar-SA"/>
        </w:rPr>
        <w:t>Relentless Energy</w:t>
      </w:r>
      <w:r>
        <w:rPr>
          <w:rFonts w:ascii="arial" w:eastAsia="arial" w:hAnsi="arial" w:cs="arial"/>
          <w:color w:val="000000"/>
          <w:sz w:val="20"/>
          <w:lang w:val="en-US" w:eastAsia="en-US" w:bidi="ar-SA"/>
        </w:rPr>
        <w:t>. Both Mr. Willms and Mr. Janes appeared as counsel in that case. The need to prove that element of the offence cannot have been a surprise to Moulton Contracting. It is entirely reasonable to infer that the plaintiff's pleaded allegation of mischief vis-à-vis the plaintiff's use of the TSLs and the road was intentional, and not inadvertent.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 also note that even though the issue of the TSLs and the RP being incorporeal property was raised during a no-evidence motion made by the Behn Defendants, no move was made by the plaintiff to amend the pleadings until final argument - far too late to allow fairly for amendment subject to recall of any of the plaintiff's witnesses, even if this court were to have been so inclined.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plaintiff complains that the defence of the TSLs and the RP constituting incorporeal property was not pleaded by the Behn Defendants, and so those defendants, it is said, are in no position to complain of deficiencies in the pleadings. However, paras. 37 (quoted in full above) and 38 of the Behn Defendant's Further Amended Statement of Defence plead the fact that the TSLs and the RP are non-exclusive:</w:t>
      </w:r>
      <w:r>
        <w:rPr>
          <w:rFonts w:ascii="arial" w:eastAsia="arial" w:hAnsi="arial" w:cs="arial"/>
          <w:sz w:val="20"/>
          <w:lang w:val="en-US" w:eastAsia="en-US" w:bidi="ar-SA"/>
        </w:rPr>
        <w:cr/>
      </w:r>
    </w:p>
    <w:p>
      <w:pPr>
        <w:numPr>
          <w:numId w:val="4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mischief provisions of s. 430(1) of the </w:t>
      </w:r>
      <w:r>
        <w:rPr>
          <w:rFonts w:ascii="arial" w:eastAsia="arial" w:hAnsi="arial" w:cs="arial"/>
          <w:i/>
          <w:color w:val="000000"/>
          <w:sz w:val="20"/>
          <w:lang w:val="en-US" w:eastAsia="en-US" w:bidi="ar-SA"/>
        </w:rPr>
        <w:t>Criminal Code of Canada</w:t>
      </w:r>
      <w:r>
        <w:rPr>
          <w:rFonts w:ascii="arial" w:eastAsia="arial" w:hAnsi="arial" w:cs="arial"/>
          <w:color w:val="000000"/>
          <w:sz w:val="20"/>
          <w:lang w:val="en-US" w:eastAsia="en-US" w:bidi="ar-SA"/>
        </w:rPr>
        <w:t xml:space="preserve"> have no application to the activities of the Behn Defendants or any person, 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alternative, even if the Road Permit is lawful, the rights created thereunder are not "property" within the meaning of the </w:t>
      </w:r>
      <w:r>
        <w:rPr>
          <w:rFonts w:ascii="arial" w:eastAsia="arial" w:hAnsi="arial" w:cs="arial"/>
          <w:i/>
          <w:color w:val="000000"/>
          <w:sz w:val="20"/>
          <w:lang w:val="en-US" w:eastAsia="en-US" w:bidi="ar-SA"/>
        </w:rPr>
        <w:t>Criminal Code of Canada</w:t>
      </w:r>
      <w:r>
        <w:rPr>
          <w:rFonts w:ascii="arial" w:eastAsia="arial" w:hAnsi="arial" w:cs="arial"/>
          <w:color w:val="000000"/>
          <w:sz w:val="20"/>
          <w:lang w:val="en-US" w:eastAsia="en-US" w:bidi="ar-SA"/>
        </w:rPr>
        <w:t>, in particular as they are non-exclusive rights of passage which are incorporeal in nature.</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Furthermore, the Behn Defendants have the lawful right to be present on the land and this right is not displaced by TSL A66572, TSL A66573 and Road Permit No. R 15359, which are expressly non-exclusive in nature. The Criminal Code provides a defence of mischief in such circumstances: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s.429(2) No person shall be convicted of an offence under s. 430 to 446 where he proves that he acted with lawful justification or excuse and with colour of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Thus, the fact of the RP and the TSLs being non-exclusive - one aspect of their nature that gives them the character of incorporeal property - was plainly raised by the pleadings. It is true that subparagraph 37 (c) refers only to the Road Permit, and not the TSLs, but no one could reasonably read that as a concession that the TSLs were corporeal property. Nothing in the Statement of Defence relieved the plaintiff of the burden of proving all the elements of criminal mischief.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Given all of these circumstances, it would be unfair to allow the plaintiff to amend its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Regardless of the pleadings, however, the elements of criminal mischief in respect of the plaintiff's equipment are simply not made out on the facts of this case. The Behn Defendants were not directly impeding physical access to the equipment, or physical use of it, for example by chaining themselves to it - as did the protestors in </w:t>
      </w:r>
      <w:r>
        <w:rPr>
          <w:rFonts w:ascii="arial" w:eastAsia="arial" w:hAnsi="arial" w:cs="arial"/>
          <w:i/>
          <w:color w:val="000000"/>
          <w:sz w:val="20"/>
          <w:lang w:val="en-US" w:eastAsia="en-US" w:bidi="ar-SA"/>
        </w:rPr>
        <w:t>Verchere</w:t>
      </w:r>
      <w:r>
        <w:rPr>
          <w:rFonts w:ascii="arial" w:eastAsia="arial" w:hAnsi="arial" w:cs="arial"/>
          <w:color w:val="000000"/>
          <w:sz w:val="20"/>
          <w:lang w:val="en-US" w:eastAsia="en-US" w:bidi="ar-SA"/>
        </w:rPr>
        <w:t xml:space="preserve"> - lying down in its path, or sabotaging it. The plaintiff's employees were unable to use their machinery to harvest logs in a particular location, as a consequence of actions being taken at a location remote from the site. In my view, this kind of indirect interference with corporeal property could not support a charge of criminal mischief in any event. The plaintiff's interpretation of s. 430(1) would encompass indirect, consequential interference with the use of property. I have not been provided with any authority for the proposition that a finding of criminal liability will stand in such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 conclude that the unlawful conduct requirement of the tort of interference with economic relations has not been met in this case through proof of criminal mischief. The same conclusion lies in respect of the alternative plea of the tort of unlawful civil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255"/>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2.</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Unlawful Act - Unauthorized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 </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Blockade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Alternatively, the plaintiff argues that the conduct of the Behn Defendants and FNFN was unlawful, in that it was not authorized by law; no one, it submits, authorized them to set up a camp on a road used by a TSL licensee and to determine who would be permitted to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This argument raises the question of the legality of the plaintiff's and the Behn Defendants' respective competing uses of the Canfor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To begin, I reject the contention that the plaintiff's use of the Canfor Road was implicitly guaranteed or even permitted through the TSLs or the RP. As described above, only a small portion of the Canfor Road - well to the north of the site of the blockade - fell within the boundaries of the Permit Area under the RP. The RP permitted construction of a road from that portion of the Canfor Road, into and across the Cutting Authority Area. Nothing in the TSLs or the RP relieved the plaintiff of its obligation to comply with all applicable statutes and regulations respecting use of the Canfor Road, particularly its use in the area where the blockade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The plaintiff's access to and use of the Canfor Road was governed by the provisions of Part 3 - Division 2 of the </w:t>
      </w:r>
      <w:r>
        <w:rPr>
          <w:rFonts w:ascii="arial" w:eastAsia="arial" w:hAnsi="arial" w:cs="arial"/>
          <w:i/>
          <w:color w:val="000000"/>
          <w:sz w:val="20"/>
          <w:lang w:val="en-US" w:eastAsia="en-US" w:bidi="ar-SA"/>
        </w:rPr>
        <w:t>Forest and Range Practices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69</w:t>
      </w:r>
      <w:r>
        <w:rPr>
          <w:rFonts w:ascii="arial" w:eastAsia="arial" w:hAnsi="arial" w:cs="arial"/>
          <w:color w:val="000000"/>
          <w:sz w:val="20"/>
          <w:lang w:val="en-US" w:eastAsia="en-US" w:bidi="ar-SA"/>
        </w:rPr>
        <w:t>, in particular: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Industrial use of a road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22.1 (1) A person must not use a road for</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timber harvesting, including the transportation of the timber or associated machinery, materials or personnel ... except in one or more of the following circumstances: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road is a forest service road, and the person is authorized to use the road under a road use permit ... , or</w:t>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road is one for which another person has ... a road permit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(7) A person who uses a road under subsection (1) (d) or (e) ... must give at least 5 clear days notice of the date on which the person will begin to use the road</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holder of the applicable road permit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 payment for use of road except as provided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22.3 (1) By written notice under subsection (2) ... may require payment, within the limits imposed under subsection (2), from a person who uses a road that is under the permit or licence for</w:t>
      </w:r>
    </w:p>
    <w:p>
      <w:pPr>
        <w:numPr>
          <w:numId w:val="4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purpose referred to in section 22.1 (1) or (2), or</w:t>
      </w:r>
    </w:p>
    <w:p>
      <w:pPr>
        <w:numPr>
          <w:numId w:val="4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prescribed purposes.</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written notice under subsection (1) must specify</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payment is required, and</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the payment, which amount must be limited to one or more of the following:</w:t>
      </w:r>
    </w:p>
    <w:p>
      <w:pPr>
        <w:numPr>
          <w:numId w:val="5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contribution to the expense of maintaining the road;</w:t>
      </w:r>
    </w:p>
    <w:p>
      <w:pPr>
        <w:numPr>
          <w:numId w:val="5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reasonable expense of modifying the road to accommodate the special needs of the person;</w:t>
      </w:r>
    </w:p>
    <w:p>
      <w:pPr>
        <w:numPr>
          <w:numId w:val="5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reasonable expense of repairing any damage to the road caused by the person's use of the road.</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holder of the road permit ...who gives a written notice under subsection (1) and the person who receives the notice do not agree on what amount of payment should be required, the holder and the person must submit that question for resolution</w:t>
      </w:r>
    </w:p>
    <w:p>
      <w:pPr>
        <w:numPr>
          <w:numId w:val="5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an agreed process of dispute resolution, or</w:t>
      </w:r>
    </w:p>
    <w:p>
      <w:pPr>
        <w:numPr>
          <w:numId w:val="5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binding arbitration under the</w:t>
      </w:r>
      <w:r>
        <w:rPr>
          <w:rFonts w:ascii="arial" w:eastAsia="arial" w:hAnsi="arial" w:cs="arial"/>
          <w:i/>
          <w:color w:val="000000"/>
          <w:sz w:val="20"/>
          <w:lang w:val="en-US" w:eastAsia="en-US" w:bidi="ar-SA"/>
        </w:rPr>
        <w:t xml:space="preserve"> Arbitration Act</w:t>
      </w:r>
      <w:r>
        <w:rPr>
          <w:rFonts w:ascii="arial" w:eastAsia="arial" w:hAnsi="arial" w:cs="arial"/>
          <w:color w:val="000000"/>
          <w:sz w:val="20"/>
          <w:lang w:val="en-US" w:eastAsia="en-US" w:bidi="ar-SA"/>
        </w:rPr>
        <w:t>.</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receives a written notice under subsection (1) is liable to the holder of the permit or licence who gave the notice for payment of the amount that is</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specified in the notice, or</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determined under subsection (3) in a case to which that subsection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The Canfor Road had not been declared as a public highway under section 24 of the </w:t>
      </w:r>
      <w:r>
        <w:rPr>
          <w:rFonts w:ascii="arial" w:eastAsia="arial" w:hAnsi="arial" w:cs="arial"/>
          <w:i/>
          <w:color w:val="000000"/>
          <w:sz w:val="20"/>
          <w:lang w:val="en-US" w:eastAsia="en-US" w:bidi="ar-SA"/>
        </w:rPr>
        <w:t>Forest and Range Practices Act</w:t>
      </w:r>
      <w:r>
        <w:rPr>
          <w:rFonts w:ascii="arial" w:eastAsia="arial" w:hAnsi="arial" w:cs="arial"/>
          <w:color w:val="000000"/>
          <w:sz w:val="20"/>
          <w:lang w:val="en-US" w:eastAsia="en-US" w:bidi="ar-SA"/>
        </w:rPr>
        <w:t xml:space="preserve">, nor as a forest service road under section 115(5) of the </w:t>
      </w:r>
      <w:r>
        <w:rPr>
          <w:rFonts w:ascii="arial" w:eastAsia="arial" w:hAnsi="arial" w:cs="arial"/>
          <w:i/>
          <w:color w:val="000000"/>
          <w:sz w:val="20"/>
          <w:lang w:val="en-US" w:eastAsia="en-US" w:bidi="ar-SA"/>
        </w:rPr>
        <w:t>Forest Act</w:t>
      </w:r>
      <w:r>
        <w:rPr>
          <w:rFonts w:ascii="arial" w:eastAsia="arial" w:hAnsi="arial" w:cs="arial"/>
          <w:color w:val="000000"/>
          <w:sz w:val="20"/>
          <w:lang w:val="en-US" w:eastAsia="en-US" w:bidi="ar-SA"/>
        </w:rPr>
        <w:t>. Instead, its use by Moulton Contracting for timber harvesting purposes was permitted under s. 22.1(1), quoted above, because it was a road for which another person - Canfor - had a road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As the holder of the permit for the Canfor Road, Canfor was entitled to five clear days' notice of Moulton Contracting's intent to use the road for harvesting purposes, including transportation in and out of its personnel. This would have given Canfor the opportunity to provide Moulton Contracting with notice of the payment required to use the Canfor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Canfor - I infer, as a matter of policy - ultimately did not require Moulton Contracting to make a payment for the use of the Canfor Road. Instead, Canfor and Moulton Contracting concluded a Road Use Agreement, under which Canfor waived its right to collect a Road Use Agreement Fee, in return for Moulton Contracting agreeing that its use of the Canfor Road would be governed by the conditions set out therein.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Canfor, however, did not conclude the Road Use Agreement with Moulton Contracting until January 12, 2007. Given that fact, and given Mr. Moulton's evidence that he had understood the RP alone to be sufficient to provide him with access to the TSLs from the SYD Road, I infer that - contrary to the requirement of s. 22.1(7) - Moulton Contracting provided no notice to Canfor of its use of the Canfor Road at any time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This means that throughout the entire period of time when access was being blockaded - at least up until early January 2007, when Mr. Moulton reached an agreement with Mr. Behn allowing for the removal of harvested timber - Moulton Contracting's use of the Canfor Road was contrary to the provisions of the </w:t>
      </w:r>
      <w:r>
        <w:rPr>
          <w:rFonts w:ascii="arial" w:eastAsia="arial" w:hAnsi="arial" w:cs="arial"/>
          <w:i/>
          <w:color w:val="000000"/>
          <w:sz w:val="20"/>
          <w:lang w:val="en-US" w:eastAsia="en-US" w:bidi="ar-SA"/>
        </w:rPr>
        <w:t>Forest and Range Practices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In the face of this, can Moulton Contracting contend that its use of the Canfor Road was lawful? It could, perhaps, be said that Moulton Contracting's failure to give notice to Canfor was merely an irregularity - that it made use of the road irregular, but not unlawful. One could point to the wording of the statute: Section.22.1 does not clearly state that "no one shall use the road without complying with subsection 7"; subsection 22.1(1)(e) does not conclude with the words, "... and where notice is given pursuant to subsection (7)". The purpose of the notice provision under s. 22.1(7) could be viewed as simply giving the permit holder - Canfor - the opportunity to demand payment. Section 22.1 does not explicitly provide that industrial use of the road is unlawful if the payment required by the road permit holder, pursuant to s. 22.3, is not paid. And if non-payment of a use fee does not explicitly make use of the road unlawful, then why should failure to give notice (the purpose of which is to allow a fee to be levied)?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xml:space="preserve">  In my view, this argument is defeated by the structure of the legislation. The requirement that notice be given, under subsection 22.1(7), is part of section 22.1, which sets the terms for the lawful use of roads for industrial purposes. As Professor Ruth Sullivan states in her text, </w:t>
      </w:r>
      <w:r>
        <w:rPr>
          <w:rFonts w:ascii="arial" w:eastAsia="arial" w:hAnsi="arial" w:cs="arial"/>
          <w:color w:val="000000"/>
          <w:sz w:val="20"/>
          <w:u w:val="single"/>
          <w:lang w:val="en-US" w:eastAsia="en-US" w:bidi="ar-SA"/>
        </w:rPr>
        <w:t>Sullivan on the Construction of Statutes</w:t>
      </w:r>
      <w:r>
        <w:rPr>
          <w:rFonts w:ascii="arial" w:eastAsia="arial" w:hAnsi="arial" w:cs="arial"/>
          <w:color w:val="000000"/>
          <w:sz w:val="20"/>
          <w:lang w:val="en-US" w:eastAsia="en-US" w:bidi="ar-SA"/>
        </w:rPr>
        <w:t xml:space="preserve"> (5th ed., 2008) at p. 396: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provisions are grouped together under a heading it is presumed that they are related to one another in some particular way, that there is a shared subject or object or a common feature to the provisions. Conversely, the placement of provisions elsewhere, under a different heading, suggests the absence of such a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If the legislature had intended the five-day notice requirement merely to be regulatory, relating only to the right of the permit holder to obtain payment, and not to the right of others, such as the plaintiff, to use the road, the notice requirement would logically have been placed into s. 22.3. The placement of the notice requirement in s.22.1, rather than s.22.3, lends weight to the concept that a violation of the notice requirement is a violation of the conditions for lawful industrial use of a road. Subsection (7) cannot be read in isolation from the rest of s. 22.1, just as sections 22.1 and 22.3 have to be read together, as parts of a coherent set of rules governing the industrial use of roads. Moulton Contracting's violation of the notice requirement makes the use of the Canfor Road by Moulton Contracting in 2006 unlawful.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What of the blockade participants' use of the road as a site on which to erect a camp protesting the plaintiff's activities and preventing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xml:space="preserve">  The Behn Defendants point, first, to a comment of Southin J.A. in </w:t>
      </w:r>
      <w:r>
        <w:rPr>
          <w:rFonts w:ascii="arial" w:eastAsia="arial" w:hAnsi="arial" w:cs="arial"/>
          <w:i/>
          <w:color w:val="000000"/>
          <w:sz w:val="20"/>
          <w:lang w:val="en-US" w:eastAsia="en-US" w:bidi="ar-SA"/>
        </w:rPr>
        <w:t>Verchere</w:t>
      </w:r>
      <w:r>
        <w:rPr>
          <w:rFonts w:ascii="arial" w:eastAsia="arial" w:hAnsi="arial" w:cs="arial"/>
          <w:color w:val="000000"/>
          <w:sz w:val="20"/>
          <w:lang w:val="en-US" w:eastAsia="en-US" w:bidi="ar-SA"/>
        </w:rPr>
        <w:t xml:space="preserve"> at para.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Curiously, there does not appear to be in the </w:t>
      </w:r>
      <w:r>
        <w:rPr>
          <w:rFonts w:ascii="arial" w:eastAsia="arial" w:hAnsi="arial" w:cs="arial"/>
          <w:i/>
          <w:color w:val="000000"/>
          <w:sz w:val="20"/>
          <w:lang w:val="en-US" w:eastAsia="en-US" w:bidi="ar-SA"/>
        </w:rPr>
        <w:t>Forest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157</w:t>
      </w:r>
      <w:r>
        <w:rPr>
          <w:rFonts w:ascii="arial" w:eastAsia="arial" w:hAnsi="arial" w:cs="arial"/>
          <w:color w:val="000000"/>
          <w:sz w:val="20"/>
          <w:lang w:val="en-US" w:eastAsia="en-US" w:bidi="ar-SA"/>
        </w:rPr>
        <w:t>, pursuant to which the tenure was granted, any express provision forbidding persons interfering with logging operations being lawfully carried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The Behn Defendants also point to the lack of any regulation of activity on a forest road such as the Canfor Road, beyond the requirements of sections 22.1 and 22.2 of the </w:t>
      </w:r>
      <w:r>
        <w:rPr>
          <w:rFonts w:ascii="arial" w:eastAsia="arial" w:hAnsi="arial" w:cs="arial"/>
          <w:i/>
          <w:color w:val="000000"/>
          <w:sz w:val="20"/>
          <w:lang w:val="en-US" w:eastAsia="en-US" w:bidi="ar-SA"/>
        </w:rPr>
        <w:t>Forest and Range Practices Act</w:t>
      </w:r>
      <w:r>
        <w:rPr>
          <w:rFonts w:ascii="arial" w:eastAsia="arial" w:hAnsi="arial" w:cs="arial"/>
          <w:color w:val="000000"/>
          <w:sz w:val="20"/>
          <w:lang w:val="en-US" w:eastAsia="en-US" w:bidi="ar-SA"/>
        </w:rPr>
        <w:t xml:space="preserve">, the latter providing that any person, other than an industrial user governed by s. 22.1, may use a forest service road, or a road constructed or maintained by the holder of a road permit or ah woodlot licence, without charge. The </w:t>
      </w:r>
      <w:r>
        <w:rPr>
          <w:rFonts w:ascii="arial" w:eastAsia="arial" w:hAnsi="arial" w:cs="arial"/>
          <w:i/>
          <w:color w:val="000000"/>
          <w:sz w:val="20"/>
          <w:lang w:val="en-US" w:eastAsia="en-US" w:bidi="ar-SA"/>
        </w:rPr>
        <w:t>Forest Service Road Use Regulation</w:t>
      </w:r>
      <w:r>
        <w:rPr>
          <w:rFonts w:ascii="arial" w:eastAsia="arial" w:hAnsi="arial" w:cs="arial"/>
          <w:color w:val="000000"/>
          <w:sz w:val="20"/>
          <w:lang w:val="en-US" w:eastAsia="en-US" w:bidi="ar-SA"/>
        </w:rPr>
        <w:t xml:space="preserve"> to that act, </w:t>
      </w:r>
      <w:hyperlink r:id="rId660" w:history="1">
        <w:r>
          <w:rPr>
            <w:rFonts w:ascii="arial" w:eastAsia="arial" w:hAnsi="arial" w:cs="arial"/>
            <w:i/>
            <w:color w:val="0077CC"/>
            <w:sz w:val="20"/>
            <w:u w:val="single"/>
            <w:shd w:val="clear" w:color="auto" w:fill="FFFFFF"/>
            <w:lang w:val="en-US" w:eastAsia="en-US" w:bidi="ar-SA"/>
          </w:rPr>
          <w:t>B.C. Reg. 70/2004</w:t>
        </w:r>
      </w:hyperlink>
      <w:r>
        <w:rPr>
          <w:rFonts w:ascii="arial" w:eastAsia="arial" w:hAnsi="arial" w:cs="arial"/>
          <w:color w:val="000000"/>
          <w:sz w:val="20"/>
          <w:lang w:val="en-US" w:eastAsia="en-US" w:bidi="ar-SA"/>
        </w:rPr>
        <w:t xml:space="preserve">, provides in s.2 that certain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"apply to all forest service roads as if a forest service road were a highway"; it makes no similar provision for roads such as the Canfor Road, which have not been designated as forest service roads. And even if it had been so designated as a forest service road, the blockade participants' conduct would not have been contrary to those particular sections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xml:space="preserve">  The government, it appears, has elected to leave conduct on such roads largely unregulated. In the absence of regulations governing the use of such roads - beyond the limitations on use for forestry purposes prescribed by the </w:t>
      </w:r>
      <w:r>
        <w:rPr>
          <w:rFonts w:ascii="arial" w:eastAsia="arial" w:hAnsi="arial" w:cs="arial"/>
          <w:i/>
          <w:color w:val="000000"/>
          <w:sz w:val="20"/>
          <w:lang w:val="en-US" w:eastAsia="en-US" w:bidi="ar-SA"/>
        </w:rPr>
        <w:t>Forest and Range Practices Act</w:t>
      </w:r>
      <w:r>
        <w:rPr>
          <w:rFonts w:ascii="arial" w:eastAsia="arial" w:hAnsi="arial" w:cs="arial"/>
          <w:color w:val="000000"/>
          <w:sz w:val="20"/>
          <w:lang w:val="en-US" w:eastAsia="en-US" w:bidi="ar-SA"/>
        </w:rPr>
        <w:t xml:space="preserve"> - it can hardly be said that the blockade participants' conduct on the Canfor Road was contrary to law. And on the evidence before me, and the submissions made by counsel, their conduct certainly appears to have been no more unlawful that the road's use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As noted above, the formulation of the unlawful conduct requirement as including conduct "unauthorized by law" is found in cases in which the scope of the defendant's permissible actions is prescribed by statute or other instrument. No such legal limitations are placed on the conduct of individuals; the rule is, "that which is not expressly forbidden is permitted". No use by the blockade participants of the Crown land on which the road is situated that was expressly forbidden by law has been proven as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 therefore find no liability on the part of the blockade participants in respect of the tort of intentionally causing economic loss through unlawful means.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Civil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plaintiff alternatively pleads that the acts of the defendants who participated in the blockade constitute a tortious civil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The elements of this tort were described in </w:t>
      </w:r>
      <w:r>
        <w:rPr>
          <w:rFonts w:ascii="arial" w:eastAsia="arial" w:hAnsi="arial" w:cs="arial"/>
          <w:i/>
          <w:color w:val="000000"/>
          <w:sz w:val="20"/>
          <w:lang w:val="en-US" w:eastAsia="en-US" w:bidi="ar-SA"/>
        </w:rPr>
        <w:t>Canada Cement LaFarge v. British Columbia Lightweight Aggregate Ltd.</w:t>
      </w:r>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[1983] 1 S.C.R. 452</w:t>
        </w:r>
      </w:hyperlink>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[1983] 6 W.W.R. 385</w:t>
        </w:r>
      </w:hyperlink>
      <w:r>
        <w:rPr>
          <w:rFonts w:ascii="arial" w:eastAsia="arial" w:hAnsi="arial" w:cs="arial"/>
          <w:color w:val="000000"/>
          <w:sz w:val="20"/>
          <w:lang w:val="en-US" w:eastAsia="en-US" w:bidi="ar-SA"/>
        </w:rPr>
        <w:t>, at S.C.R. p. 471: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 law concerning the scope of the tort of conspiracy is far from clear, I am of the opinion that whereas the law of tort does not permit an action against an individual defendant who has caused injury to the plaintiff, the law of torts does recognize a claim against them in combination as the tort of conspiracy if:</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means used by the defendants are lawful or unlawful, the predominant purpose of the defendants' conduct is to cause injury to the plaintiff; or,</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conduct of the defendants is unlawful, the conduct is directed towards the plaintiff (alone or together with others), and the defendants should know in the circumstances that injury to the plaintiff is likely to and does result.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situation (2) it is not necessary that the pre-dominant purpose of the defendants' conduct be to cause injury to the plaintiff but, in the prevailing circumstances, it must be a constructive intent derived from the fact that the defendants should have known that injury to the plaintiff would ensue. In both situations, however, there must be actual damage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In the case of </w:t>
      </w:r>
      <w:r>
        <w:rPr>
          <w:rFonts w:ascii="arial" w:eastAsia="arial" w:hAnsi="arial" w:cs="arial"/>
          <w:i/>
          <w:color w:val="000000"/>
          <w:sz w:val="20"/>
          <w:lang w:val="en-US" w:eastAsia="en-US" w:bidi="ar-SA"/>
        </w:rPr>
        <w:t>lawful</w:t>
      </w:r>
      <w:r>
        <w:rPr>
          <w:rFonts w:ascii="arial" w:eastAsia="arial" w:hAnsi="arial" w:cs="arial"/>
          <w:color w:val="000000"/>
          <w:sz w:val="20"/>
          <w:lang w:val="en-US" w:eastAsia="en-US" w:bidi="ar-SA"/>
        </w:rPr>
        <w:t xml:space="preserve"> means having been used to further the object of the conspiracy, it is not enough that the defendants intended loss; the causing of injury to the plaintiff must have been the predominant purpose. On the evidence, the predominant purpose of the blockade participants was to protest the lack of consultation, and the infringement of aboriginal rights. Although economic harm to Moulton Contracting would foreseeably result, I find such harm was not the participants' predominant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xml:space="preserve">  To establish an </w:t>
      </w:r>
      <w:r>
        <w:rPr>
          <w:rFonts w:ascii="arial" w:eastAsia="arial" w:hAnsi="arial" w:cs="arial"/>
          <w:i/>
          <w:color w:val="000000"/>
          <w:sz w:val="20"/>
          <w:lang w:val="en-US" w:eastAsia="en-US" w:bidi="ar-SA"/>
        </w:rPr>
        <w:t>unlawful</w:t>
      </w:r>
      <w:r>
        <w:rPr>
          <w:rFonts w:ascii="arial" w:eastAsia="arial" w:hAnsi="arial" w:cs="arial"/>
          <w:color w:val="000000"/>
          <w:sz w:val="20"/>
          <w:lang w:val="en-US" w:eastAsia="en-US" w:bidi="ar-SA"/>
        </w:rPr>
        <w:t xml:space="preserve"> conduct conspiracy, the plaintiff relies upon the mischief provisions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That claim fails, for the reasons stated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 therefore find no tort liability on the part of any participants in the blockade.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Given this conclusion, it is not necessary to consider the Behn Defendants' defence that they acted with colour of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1135"/>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4.</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Alternative Findings as to Liability of Individual Defendants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If I am incorrect in my decision as to the liability in tort of those participating in the blockade, the liability of the individual defendants and of FNFN would have to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I would find the defendant George Behn liable. The blockade was his creation.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 would also find liability on the part of George Behn's son, the defendant Rupert Behn. He actively assisted his father by bringing a generator on site, and on at least one occasion his pickup truck was used to block the road. Likewise, I would find liability on the part of George Behn's son, the defendant Greg Behn, who actively assisted his father in the erection of a tent. I would also find liability on the part of George Behn's daughter, the defendant Sally Behn, who amongst all of the Behn family members, aside from her father, appears to have been most frequently at the blockade, at her father's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The activities of the remaining Behn family defendants - George Behn's wife Mary, his children Richard and Lovey, and his daughter-in-law Susan - have not been shown to have extended beyond casual, irregular visits for the purpose of offering moral support. I cannot find, on the evidence, that they were joint participants.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As described above, Chief Logan visited the site of the blockade briefly on the morning of October 3, in the company of a Councillor, Mr. Darryl Michel. There is no evidence that either of them actively participated in the blockade. They do not appear to have been doing anything more than informing themselves personally of the nature of the blockade - the "situation on the ground". This was entirely consistent with their positions on the Council. I would find no personal liability on the part of the defendant Chief Logan.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1135"/>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5.</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Alternative Findings as to Liability of FNFN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As regards the liability of FNFN, the evidence of Chief Logan as to what specifically was decided by the Council at the meeting of October 2, 2006, and whether FNFN agreed to participate in the blockade, came under sustained attack during her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As stated above, Chief Logan testified that Mr. Behn did not come to the meeting to seek the Council's approval, that no approval was given, and that Council did not take a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In the end result, I was left with considerable doubt as to the accuracy of Chief Logan's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This doubt arose for several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First, it became apparent from the cross-examination of Chief Logan that both she and FNFN had been less than forthright through the course of pre-trial discovery in disclosing the circumstances surrounding the October 2 meeting, and the minutes of that meeting. FNFN and Chief Logan initially failed to disclose the minutes of any council meetings with respect to TSLs, for the time period August 2004 through May 2007, either as producible or as privileged documents. Chief Logan was examined for discovery on September 17, 2007. She then disclosed the existence of minutes, in response to questions put to her, but gave evidence that they had not been produced because the minute taker had been incompetent, the accuracy of the minutes could not be relied upon, and the minutes were, she believed, only in draft form. This was despite the fact that the minutes had been formally approved by Council on December 19, 2006 (as described above), and the fact that the minutes of the December 19 meeting had been signed by Chief Logan as having been approved, on April 17, 2007 - only five months prior to her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Chief Logan underwent a further examination for discovery on November 3, 2009. Questioned as to the particulars of Ms. Christman's employment as Clerk to Council, Chief Logan deposed that she had been very inefficient, and at two separate points in her examination deposed that Ms. Christman had been "let go" several months after the October 2, 2006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Written responses to questions left outstanding on the September 2007 examination of Chief Logan were produced on December 21, 2007. With respect to the plaintiff's demand for production of minutes, FNFN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minutes from the Band Council meeting from August 2004 through May 2007 have been reviewed and relevant, producible minutes have been produced in the Supplemental Production of Chief Liz Logan et 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By way of Interrogatories served on FNFN on October 6, 2008, questions were asked as to what the document numbers which corresponded with the meeting minutes referred to in that answer, and as to the names of the attendees at the meetings in question. Confirmation of the accuracy of the minutes was also sought. FNFN provided answers to the Interrogatories by way of an affidavit of Chief Logan, sworn November 2, 2008. Those questions were answered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were no producible minutes. The Fort Nelson First Nation claims litigation privilege and solicitor-client privilege over the meeting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Chief Logan swore a further affidavit on December 22, 2008, providing further information concerning the circumstances surrounding the creation of the documents and information over which claims of privilege had been made. Chief Logan confirmed that minutes of the meetings of October 16, 20, and 23, and December 8 and 19, 2006, and January 15 and September 5, 2007, were being objected to on the grounds of relevance and/or privilege. FNFN advised that it was no longer objecting to production of the minutes of the October 2, 2006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Thus, the minutes of the October 2, 2006 meeting were not produced until December 22, 2008 - more than 15 months after the examination for discovery of Chief Logan.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Minutes of the December 19, 2006 meeting, at which the October 2, 2006 minutes were approved, were not disclosed until delivery of the 7th affidavit of Chief Logan, sworn on September 18, 2011, after the trial had commenced - four years after her initial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The December 19 minutes disclosed, for the first time, that there had been Council meetings on October 3, 10, 11 and 12, 2006. The minutes of those meetings, which covered the initial time period of the blockade - and which minutes were also approved on December 19, 2006 - were not disclosed prior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The minutes of the October 10, 2006 meeting were produced on Day 15 of the trial, after Chief Logan's testimony had concluded. Counsel for FNFN advised the court on that day that minutes of Council meetings that had not previously been produced on the grounds of relevance had been reviewed again, specifically on account of the concerns raised during cross-examination of Chief Logan. It was submitted that given the questioning of the witnesses as to the process by which the minutes had been created, counsel had come to appreciate the potential relevance of passages in the October 10 minutes concerning the backlog of minutes. The October 10 minutes were marked as an exhibit.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As noted above, however, the October 10 minutes appear to record not only concerns regarding the backlog of minutes, but also the support of the Chief and Council for the blockade. To repeat, the note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Roadblock by Behn's = concerns are supporting [sic] by chief and council but need to get legal advice so that we do it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did not seek to re-call Chief Logan to explain that entry. There is no evidence that this note of the Council's support for the Behns reflected a misunderstanding on the part of Ms. Christman.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The failure of FNFN to have produced the October 10 minutes prior to trial is incomprehensible.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Chief Logan's 7th affidavit of September 18, 2011 also disclosed for the first time that, contrary to Chief Logan's discovery evidence, Ms. Christman had not been "let go", but had in fact been transferred to another position with the Band, her former position as community health clerk.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I find the foregoing circumstances to present a pattern of evasion, approaching deception, on the part of FNFN. In accordance with its obligations under the Rules of Court, full disclosure of all relevant producible minutes ought to have been made in a timely manner, in FNFN's initial document production. Instead, FNFN sought to avoid disclosure over the course of years, first through failing to disclose the existence of the minutes in any form, then through an untruthful assertion that the minutes were only in draft, and then through an improper and unsustainable claim of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When a party seeks to avoid its obligation to give full discovery, the natural inference is that it does so because it fears the consequences. If the minutes were in fact believed by FNFN to be inaccurate, it might have been the case that the consequence feared by FNFN was that the minutes might be taken at face value, and - wrongly, in its view - might be preferred to the evidence of Chief Logan. It is at least equally possible that full disclosure was not given because FNFN knew the minutes to be true, and wished to avoid any consequences of being found to have voiced support for the blockade.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There are other reasons to doubt Chief Logan's evidence. She purported to remember that the only mention of Council being in support of anything was that Council told Mr. Behn it was not in support of MOF clear cutting and spraying pesticide. As noted above, there was no note to that effect in her own handwritten notes of the meeting. Given other gaps in her recollection, it struck me as unlikely that she would remember a detail like that. This aspect of her evidence seemed contrived.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Chief Logan, in her evidence, also explicitly and repeatedly criticized Ms. Christman as having been inaccurate, inefficient, and incompetent, yet what is reflected in the minutes is largely a systemic problem of Councillors having failed to provide Ms. Christman with timely responses to her drafts, not any concerns as to accuracy.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Aside from my doubts as to Chief's Logan's evidence on its face, there is other evidence which weighs against Chief Logan's account of what transpired on October 2. The October 10 meeting minutes indicate that the Chief and Council were supporting the blockade. This is contrary Chief Logan's attempt to portray Council's position as one of support in respect of past grievances, but neutrality in respect of the TSLs. It is difficult to believe that Ms. Christman could have so completely misinterpreted what was being said by the Councillors, in respect of an event that would have been of much more than passing interest, and that she would have so completely misinterpreted the proceedings in two separate Council meetings.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Moreover, I was struck by the absence of any evidence from FNFN as to the likely sources of information passing from Council to Ms. Montour. Chief Logan testified that she could not recall how the results of the October 2 meeting were conveyed to Ms. Montour. I inferred from Chief Logan's answer to the question concerning who subsequently gave the "no communication" order to Ms. Montour that communication of such instructions to FNFN staff was the responsibility of Council members. No one from the Council, other than Chief Logan, attended trial to testify as to the means by which Ms. Montour would have received her instructions concerning the blockade, or what those instructions were. Further, I heard no evidence of any attempts having been made by FNFN to uncover possible sources of Ms. Montour's purported understanding that she was to support Mr. Behn in shutting down the logging. From the absence of such evidence, I draw an inference adverse to FNFN's position, and on the basis of that inference I conclude that Ms. Montour, on October 2, 2006, likely received at least a generalized instruction to support Mr. Behn.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From all of this, I conclude on the balance of probabilities that FNFN, through its Council, did express support to Mr. Behn, during the October 2 meeting, in respect of his blockade of the harvesting of the TSLs, and that this decision was reflected in a general instruction to Ms. Montour.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However, I also find that the Council's direction to Chief Logan on October 2 to seek legal advice implies that the support to be given to Mr. Behn was not likely intended to have been more than moral support, at least until such time as FNFN's legal position could be confirmed. This conclusion is supported by the evidence of the casual approach taken by the Council, during the December 19 meeting, to adopting the outstanding minutes. By that time, this action had been commenced; had there been any previous expression by the Council of a formal position, or any steps taken by the Council which could have raised a concern as to their being implicated in abetting Mr. Behn in the blockade's creation, it is reasonable to think that the outstanding minutes would have been scrutinized with considerably greater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Accordingly, I find that any instruction given to Ms. Montour following the October 2 meeting is unlikely to have been intended, or to have reasonably been understood by her, as having her do more than supporting Mr. Behn in her role as Lands Manager, e.g. assisting him in articulating his position in communications with BCTS staff, and providing him with any information he might require about the history of FNFN's relationship with BCTS and about land use issues in the area. I would therefore find that Ms. Montour's apparent intent to prepare signs, logos and handouts (and there is no evidence she actually did any of those things) is likely to have been purely as a result of her own enthusiasm for a confrontation with MOF.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I also find it was not the case that Mr. Behn's appearance before Council on October 2, 2006 was for the purpose of obtaining any formal approval of his blockade by FNFN before he would proceed. Although they were, in all likelihood, the product at least in part of consultations with legal counsel, I find that both the October 24, 2006 position statement of FNFN and the November 30, 2006 letter from Chief Logan to Mr. Wesleyson reflect the reality of FNFN's relationship with Mr. Behn, a respected elder. His appearance before Council was as a courtesy to the community, but the blockade was his creation, to do with as he pleased.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Accordingly, if I am wrong in my conclusions as to the liability in tort of any of the Behn Defendants, I would not find FNFN liable on the grounds of having combined or conspired with any of the Behn Defendants to conduct the blockade. I find no tortious conduct on the part of FNFN in support of the blockade.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Nor would I find FNFN vicariously liable on the basis of the conduct of Chief Logan or Councillor Michel. As I noted above, I find no tortious acts to have been committed on their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I would further find that the actions of Sally Behn in support of the blockade have not been proven to have been undertaken in her capacity as a Councillor, as opposed to her simply being a member of the Behn family. If I am mistaken in my views as to the liability in tort of Sally Behn, I would not in any event find FNFN vicariously liable in respect of her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Ms. Montour was an employee of FNFN, and was attending at the blockade in that capacity in its first days. While it is a fair inference that she did so enthusiastically, there is no evidence that her attendance was material to the blockade or to the loss sustained by Moulton Contracting. I would not find that her participation was actionable such that it would lead to a finding of vicarious liability on the part of FNFN for her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Therefore, if my conclusions as to tort liability on the part of any of the defendants are incorrect, I would find no liability in any event on the part of FNFN.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The claims against the Behn Defendants, Chief Logan and FNFN are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Liability of the Province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"Access Promise"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Moulton Contracting says that the combined effect of the TSLs and the RP was to promise it access to the Cutting Authority Area; and, consequently, that the Province was under an obligation to take reasonable steps to fulfil the Access Promise, for example by obtaining an injunction to have the blockade removed, or to have the blockade participants arrested.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Specifically, the plaintiff points to the language of clauses 1.01, 1.02 and 10.01 of each TSL, and clause 1.10 of the RP. The TSL clauses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1.01 Subject to this Licence, the Licensee</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may ... harvest timber from the ... cutting authority area</w:t>
      </w:r>
      <w:r>
        <w:rPr>
          <w:rFonts w:ascii="arial" w:eastAsia="arial" w:hAnsi="arial" w:cs="arial"/>
          <w:color w:val="000000"/>
          <w:sz w:val="20"/>
          <w:lang w:val="en-US" w:eastAsia="en-US" w:bidi="ar-SA"/>
        </w:rPr>
        <w:t>, and</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the purpose of exercising the rights under this Licence </w:t>
      </w:r>
      <w:r>
        <w:rPr>
          <w:rFonts w:ascii="arial" w:eastAsia="arial" w:hAnsi="arial" w:cs="arial"/>
          <w:color w:val="000000"/>
          <w:sz w:val="20"/>
          <w:u w:val="single"/>
          <w:lang w:val="en-US" w:eastAsia="en-US" w:bidi="ar-SA"/>
        </w:rPr>
        <w:t>may enter onto those areas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1.02 Subject to paragraph 1.03, the Licensee </w:t>
      </w:r>
      <w:r>
        <w:rPr>
          <w:rFonts w:ascii="arial" w:eastAsia="arial" w:hAnsi="arial" w:cs="arial"/>
          <w:color w:val="000000"/>
          <w:sz w:val="20"/>
          <w:u w:val="single"/>
          <w:lang w:val="en-US" w:eastAsia="en-US" w:bidi="ar-SA"/>
        </w:rPr>
        <w:t>may harvest</w:t>
      </w:r>
      <w:r>
        <w:rPr>
          <w:rFonts w:ascii="arial" w:eastAsia="arial" w:hAnsi="arial" w:cs="arial"/>
          <w:color w:val="000000"/>
          <w:sz w:val="20"/>
          <w:lang w:val="en-US" w:eastAsia="en-US" w:bidi="ar-SA"/>
        </w:rPr>
        <w:t xml:space="preserve"> all species and grades of timber situated on the cutting authority area in accordance with this Licence and Road Permits issued in association with this Licence.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10.01 The Licensee </w:t>
      </w:r>
      <w:r>
        <w:rPr>
          <w:rFonts w:ascii="arial" w:eastAsia="arial" w:hAnsi="arial" w:cs="arial"/>
          <w:color w:val="000000"/>
          <w:sz w:val="20"/>
          <w:u w:val="single"/>
          <w:lang w:val="en-US" w:eastAsia="en-US" w:bidi="ar-SA"/>
        </w:rPr>
        <w:t>may construct, maintain and use roads on the cutting authority area</w:t>
      </w:r>
      <w:r>
        <w:rPr>
          <w:rFonts w:ascii="arial" w:eastAsia="arial" w:hAnsi="arial" w:cs="arial"/>
          <w:color w:val="000000"/>
          <w:sz w:val="20"/>
          <w:lang w:val="en-US" w:eastAsia="en-US" w:bidi="ar-SA"/>
        </w:rPr>
        <w:t xml:space="preserve"> under the authority of this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Clause 1.10 of the RP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consideration of the Permittee's right to harvest timber under Licence </w:t>
      </w:r>
      <w:r>
        <w:rPr>
          <w:rFonts w:ascii="arial" w:eastAsia="arial" w:hAnsi="arial" w:cs="arial"/>
          <w:i/>
          <w:color w:val="000000"/>
          <w:sz w:val="20"/>
          <w:lang w:val="en-US" w:eastAsia="en-US" w:bidi="ar-SA"/>
        </w:rPr>
        <w:t>A66573</w:t>
      </w:r>
      <w:r>
        <w:rPr>
          <w:rFonts w:ascii="arial" w:eastAsia="arial" w:hAnsi="arial" w:cs="arial"/>
          <w:color w:val="000000"/>
          <w:sz w:val="20"/>
          <w:u w:val="single"/>
          <w:lang w:val="en-US" w:eastAsia="en-US" w:bidi="ar-SA"/>
        </w:rPr>
        <w:t>and to provide access</w:t>
      </w:r>
      <w:r>
        <w:rPr>
          <w:rFonts w:ascii="arial" w:eastAsia="arial" w:hAnsi="arial" w:cs="arial"/>
          <w:color w:val="000000"/>
          <w:sz w:val="20"/>
          <w:lang w:val="en-US" w:eastAsia="en-US" w:bidi="ar-SA"/>
        </w:rPr>
        <w:t xml:space="preserve"> to that timber, subject to all Ministry of Forests legislation and regulations as amended from time to time, the Ministry Official grants to the Permittee a non-exclusive right to enter on and construct within the Permit Area a road, ...as are necessary for construction of the road or for access to the timber and the right to use and maintain that road, or to use and maintain a road, within the Permit Area described in paragraph 2.01, in accordance with the conditions/specifications described in the attached schedules.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 for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In my view, these particular clauses, and the TSLs and the RP as a whole, did nothing more than permit or authorize access to the Cutting Authority Areas for the purpose of timber harvesting, and permit or authorize construction of a road within the Cutting Authority Area of one of the TSLs, for that purpose. There is no ambiguity in the documents. The TSLs were a license, permitting entry onto the property for a specific use. There is nothing like a guarantee or a promise that access could be achieved, and nothing like an undertaking to assist the plaintiff in achieving access. To the contrary, the wording of clause 9.01 of the TSLs, the TSL Aboriginal Right Clause - under which the Province reserved the right to suspend a TSL in the event of, among other things, an interim or final injunction being granted on account of infringement of aboriginal rights - and clause 14.01, the TSL Blockade Exemption - under which the Province clearly exempted itself from liability for losses arising out of interference with the licensee's operations by road blocks or other means - are, I find, completely inconsistent with any notion of access being guaranteed.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Moulton Contracting also refers to the Bid Access Disclaimer, and in doing so takes two inconsistent positions. First, it says that the intent of the TSLs and the RP is revealed by the language of the Bid Access Disclaimer being consistent with a promise of access. That clause, as quoted above,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Despite access rights and obligations which may be conferred through a timber sale license or associated road permits or road use permit, applicants are advised that BC Timber Sales does not warrant nor has it ever warranted the Licensee's right of unfettered access to the cutting authority area which may be impeded by the actions of third parties including acts of disobedience or natural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The plaintiff says that if there was no promise of access contained within the TSLs or the RP, the opening words of that clause - "Despite access rights and obligations which may be conferred ..." - would be unnecessary, and the clause would simply have begun with the words, "Applicants are advised ...". Again, in my view, use of the word "access" is consistent with access being permitted; it does not imply a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However, in response to the Province's reliance on the Bid Access Disclaimer as showing no intention on the part of the Province to warrant access in the event of a blockade, the plaintiff takes the position that the disclaimer is found only in the bid documents; utilizing the paradigm of a Contract A created by the tender being fully performed once the tender is accepted, and a separate Contract B then coming into force, the plaintiff submits that the Bid Access Disclaimer forms only part of the bid contract, and as it was not carried into the TSLs is irrelevant to their interpretation. It is the case that the specific language of the disclaimer was not imported into the TSLs. But it is also the case that the disclaimer was clearly written as an expression of the Province's intent in respect of the contract for which bids were being solicited. If there were any ambiguity in the TSLs or the RP - which, I conclude, there is not - nothing in the Contract A/Contract B paradigm would prevent use of the Contract A language to resolve the ambiguity in Contract B, as part of the factual matrix surrounding Contract B's 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I find no "access promise" in the contract between Moulton Contracting and the Province, either as an express or implied term.</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"Consultation Promise"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The Province concedes that it was under an obligation to consult with the FNFN before the FDP was amended. However, the Province contends that the potential impact on aboriginal rights posed by the TSLs was minor, and that the nature of the consultation required lay at the lower end of the spectrum. This requirement, it says, was met by the consultation undertaken by BCTS.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xml:space="preserve">  First, the Province points to the discussion of the duty to consult in </w:t>
      </w:r>
      <w:r>
        <w:rPr>
          <w:rFonts w:ascii="arial" w:eastAsia="arial" w:hAnsi="arial" w:cs="arial"/>
          <w:i/>
          <w:color w:val="000000"/>
          <w:sz w:val="20"/>
          <w:lang w:val="en-US" w:eastAsia="en-US" w:bidi="ar-SA"/>
        </w:rPr>
        <w:t>Haida Nation v. British Columbia (Minister of Forests)</w:t>
      </w:r>
      <w:r>
        <w:rPr>
          <w:rFonts w:ascii="arial" w:eastAsia="arial" w:hAnsi="arial" w:cs="arial"/>
          <w:color w:val="000000"/>
          <w:sz w:val="20"/>
          <w:lang w:val="en-US" w:eastAsia="en-US" w:bidi="ar-SA"/>
        </w:rPr>
        <w:t xml:space="preserve">, </w:t>
      </w:r>
      <w:hyperlink r:id="rId662" w:history="1">
        <w:r>
          <w:rPr>
            <w:rFonts w:ascii="arial" w:eastAsia="arial" w:hAnsi="arial" w:cs="arial"/>
            <w:i/>
            <w:color w:val="0077CC"/>
            <w:sz w:val="20"/>
            <w:u w:val="single"/>
            <w:shd w:val="clear" w:color="auto" w:fill="FFFFFF"/>
            <w:lang w:val="en-US" w:eastAsia="en-US" w:bidi="ar-SA"/>
          </w:rPr>
          <w:t>2004 SCC 73</w:t>
        </w:r>
      </w:hyperlink>
      <w:r>
        <w:rPr>
          <w:rFonts w:ascii="arial" w:eastAsia="arial" w:hAnsi="arial" w:cs="arial"/>
          <w:color w:val="000000"/>
          <w:sz w:val="20"/>
          <w:lang w:val="en-US" w:eastAsia="en-US" w:bidi="ar-SA"/>
        </w:rPr>
        <w:t>, where McLachlin C.J. said the following:</w:t>
      </w:r>
      <w:r>
        <w:rPr>
          <w:rFonts w:ascii="arial" w:eastAsia="arial" w:hAnsi="arial" w:cs="arial"/>
          <w:sz w:val="20"/>
          <w:lang w:val="en-US" w:eastAsia="en-US" w:bidi="ar-SA"/>
        </w:rPr>
        <w:cr/>
      </w:r>
    </w:p>
    <w:p>
      <w:pPr>
        <w:numPr>
          <w:numId w:val="5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content of the duty to consult and accommodate varies with the circumstances. Precisely what duties arise in different situations will be defined as the case law in this emerging area develops. In general terms, however, it may be asserted that the scope of the duty is proportionate to a preliminary assessment of the strength of the case supporting the existence of the right or title, and to the seriousness of the potentially adverse effect upon the right or title claimed.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stages, good faith on both sides is required. The common thread on the Crown's part must be "the intention of substantially addressing [Aboriginal] concerns" as they are raised (</w:t>
      </w:r>
      <w:r>
        <w:rPr>
          <w:rFonts w:ascii="arial" w:eastAsia="arial" w:hAnsi="arial" w:cs="arial"/>
          <w:i/>
          <w:color w:val="000000"/>
          <w:sz w:val="20"/>
          <w:lang w:val="en-US" w:eastAsia="en-US" w:bidi="ar-SA"/>
        </w:rPr>
        <w:t>Delgamuukw, supra</w:t>
      </w:r>
      <w:r>
        <w:rPr>
          <w:rFonts w:ascii="arial" w:eastAsia="arial" w:hAnsi="arial" w:cs="arial"/>
          <w:color w:val="000000"/>
          <w:sz w:val="20"/>
          <w:lang w:val="en-US" w:eastAsia="en-US" w:bidi="ar-SA"/>
        </w:rPr>
        <w:t xml:space="preserve">, at para. 168), through a meaningful process of consultation. Sharp dealing is not permitted. However, there is no duty to agree; rather, the commitment is to a meaningful process of consultation. As for Aboriginal claimants, they must not frustrate the Crown's reasonable good faith attempts, nor should they take unreasonable positions to thwart government from making decisions or acting in cases where, despite meaningful consultation, agreement is not reached: see </w:t>
      </w:r>
      <w:r>
        <w:rPr>
          <w:rFonts w:ascii="arial" w:eastAsia="arial" w:hAnsi="arial" w:cs="arial"/>
          <w:i/>
          <w:color w:val="000000"/>
          <w:sz w:val="20"/>
          <w:lang w:val="en-US" w:eastAsia="en-US" w:bidi="ar-SA"/>
        </w:rPr>
        <w:t>Halfway River First Nation v. British Columbia (Ministry of Forests)</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[1999] 4 C.N.L.R. 1</w:t>
        </w:r>
      </w:hyperlink>
      <w:r>
        <w:rPr>
          <w:rFonts w:ascii="arial" w:eastAsia="arial" w:hAnsi="arial" w:cs="arial"/>
          <w:color w:val="000000"/>
          <w:sz w:val="20"/>
          <w:lang w:val="en-US" w:eastAsia="en-US" w:bidi="ar-SA"/>
        </w:rPr>
        <w:t xml:space="preserve"> (B.C.C.A.), at p. 44; </w:t>
      </w:r>
      <w:r>
        <w:rPr>
          <w:rFonts w:ascii="arial" w:eastAsia="arial" w:hAnsi="arial" w:cs="arial"/>
          <w:i/>
          <w:color w:val="000000"/>
          <w:sz w:val="20"/>
          <w:lang w:val="en-US" w:eastAsia="en-US" w:bidi="ar-SA"/>
        </w:rPr>
        <w:t>Heiltsuk Tribal Council v. British Columbia (Minister of Sustainable Resource Management)</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(2003), 19 B.C.L.R. (4th) 107</w:t>
        </w:r>
      </w:hyperlink>
      <w:r>
        <w:rPr>
          <w:rFonts w:ascii="arial" w:eastAsia="arial" w:hAnsi="arial" w:cs="arial"/>
          <w:color w:val="000000"/>
          <w:sz w:val="20"/>
          <w:lang w:val="en-US" w:eastAsia="en-US" w:bidi="ar-SA"/>
        </w:rPr>
        <w:t xml:space="preserve"> (B.C.S.C.). Mere hard bargaining, however, will not offend an Aboriginal people's right to be consulted.</w:t>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Against this background, I turn to the kind of duties that may arise in different situations. In this respect, the concept of a spectrum may be helpful, not to suggest watertight legal compartments but rather to indicate what the honour of the Crown may require in particular circumstances. At one end of the spectrum lie cases where the claim to title is weak, the Aboriginal right limited, or the potential for infringement minor. In such cases, the only duty on the Crown may be to give notice, disclose information, and discuss any issues raised in response to the notice. "'[C]onsultation' in its least technical definition is talking together for mutual understanding": T. Isaac and A. Knox, "The Crown's Duty to Consult Aboriginal People" </w:t>
      </w:r>
      <w:hyperlink r:id="rId665" w:history="1">
        <w:r>
          <w:rPr>
            <w:rFonts w:ascii="arial" w:eastAsia="arial" w:hAnsi="arial" w:cs="arial"/>
            <w:i/>
            <w:color w:val="0077CC"/>
            <w:sz w:val="20"/>
            <w:u w:val="single"/>
            <w:shd w:val="clear" w:color="auto" w:fill="FFFFFF"/>
            <w:lang w:val="en-US" w:eastAsia="en-US" w:bidi="ar-SA"/>
          </w:rPr>
          <w:t>(2003), 41 Alta. L. Rev. 49</w:t>
        </w:r>
      </w:hyperlink>
      <w:r>
        <w:rPr>
          <w:rFonts w:ascii="arial" w:eastAsia="arial" w:hAnsi="arial" w:cs="arial"/>
          <w:color w:val="000000"/>
          <w:sz w:val="20"/>
          <w:lang w:val="en-US" w:eastAsia="en-US" w:bidi="ar-SA"/>
        </w:rPr>
        <w:t>, at p. 61.</w:t>
      </w:r>
    </w:p>
    <w:p>
      <w:pPr>
        <w:numPr>
          <w:numId w:val="6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other end of the spectrum lie cases where a strong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for the claim is established, the right and potential infringement is of high significance to the Aboriginal peoples, and the risk of non-compensable damage is high. In such cases deep consultation, aimed at finding a satisfactory interim solution, may be required. While precise requirements will vary with the circumstances, the consultation required at this stage may entail the opportunity to make submissions for consideration, formal participation in the decision-making process, and provision of written reasons to show that Aboriginal concerns were considered and to reveal the impact they had on the decision. This list is neither exhaustive, nor mandatory for every case. The government may wish to adopt dispute resolution procedures like mediation or administrative regimes with impartial decision-makers in complex or difficult cases.</w:t>
      </w:r>
    </w:p>
    <w:p>
      <w:pPr>
        <w:numPr>
          <w:numId w:val="6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these two extremes of the spectrum just described, will lie other situations. Every case must be approached individually. Each must also be approached flexibly, since the level of consultation required may change as the process goes on and new information comes to light. The controlling question in all situations is what is required to maintain the honour of the Crown and to effect reconciliation between the Crown and the Aboriginal peoples with respect to the interests at stake. Pending settlement, the Crown is bound by its honour to balance societal and Aboriginal interests in making decisions that may affect Aboriginal claims. The Crown may be required to make decisions in the face of disagreement as to the adequacy of its response to Aboriginal concerns. Balance and compromise will then be necessary.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the consultation process suggests amendment of Crown policy, we arrive at the stage of accommodation. Thus the effect of good faith consultation may be to reveal a duty to accommodate. Where a strong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exists for the claim, and the consequences of the government's proposed decision may adversely affect it in a significant way, addressing the Aboriginal concerns may require taking steps to avoid irreparable harm or to minimize the effects of infringement, pending final resolution of the underlying claim. Accommodation is achieved through consultation, as this Court recognized in </w:t>
      </w:r>
      <w:r>
        <w:rPr>
          <w:rFonts w:ascii="arial" w:eastAsia="arial" w:hAnsi="arial" w:cs="arial"/>
          <w:i/>
          <w:color w:val="000000"/>
          <w:sz w:val="20"/>
          <w:lang w:val="en-US" w:eastAsia="en-US" w:bidi="ar-SA"/>
        </w:rPr>
        <w:t>R. v. Marshall</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[1999] 3 S.C.R. 533</w:t>
        </w:r>
      </w:hyperlink>
      <w:r>
        <w:rPr>
          <w:rFonts w:ascii="arial" w:eastAsia="arial" w:hAnsi="arial" w:cs="arial"/>
          <w:color w:val="000000"/>
          <w:sz w:val="20"/>
          <w:lang w:val="en-US" w:eastAsia="en-US" w:bidi="ar-SA"/>
        </w:rPr>
        <w:t xml:space="preserve"> at para. 22: "... the process of accommodation of the treaty right may best be resolved by consultation and negotiation".</w:t>
      </w:r>
    </w:p>
    <w:p>
      <w:pPr>
        <w:numPr>
          <w:numId w:val="6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process does not give Aboriginal groups a veto over what can be done with land pending final proof of the claim. The Aboriginal "consent" spoken of in </w:t>
      </w:r>
      <w:r>
        <w:rPr>
          <w:rFonts w:ascii="arial" w:eastAsia="arial" w:hAnsi="arial" w:cs="arial"/>
          <w:i/>
          <w:color w:val="000000"/>
          <w:sz w:val="20"/>
          <w:lang w:val="en-US" w:eastAsia="en-US" w:bidi="ar-SA"/>
        </w:rPr>
        <w:t>Delgamuukw</w:t>
      </w:r>
      <w:r>
        <w:rPr>
          <w:rFonts w:ascii="arial" w:eastAsia="arial" w:hAnsi="arial" w:cs="arial"/>
          <w:color w:val="000000"/>
          <w:sz w:val="20"/>
          <w:lang w:val="en-US" w:eastAsia="en-US" w:bidi="ar-SA"/>
        </w:rPr>
        <w:t xml:space="preserve"> is appropriate only in cases of established rights, and then by no means in every case. Rather, what is required is a process of balancing interests, of give and take.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process itself would likely fall to be examined on a standard of reasonableness. Perfect satisfaction is not required; the question is whether the regulatory scheme or government action "viewed as a whole, accommodates the collective aboriginal right in question": </w:t>
      </w:r>
      <w:r>
        <w:rPr>
          <w:rFonts w:ascii="arial" w:eastAsia="arial" w:hAnsi="arial" w:cs="arial"/>
          <w:i/>
          <w:color w:val="000000"/>
          <w:sz w:val="20"/>
          <w:lang w:val="en-US" w:eastAsia="en-US" w:bidi="ar-SA"/>
        </w:rPr>
        <w:t>Gladstone, supra</w:t>
      </w:r>
      <w:r>
        <w:rPr>
          <w:rFonts w:ascii="arial" w:eastAsia="arial" w:hAnsi="arial" w:cs="arial"/>
          <w:color w:val="000000"/>
          <w:sz w:val="20"/>
          <w:lang w:val="en-US" w:eastAsia="en-US" w:bidi="ar-SA"/>
        </w:rPr>
        <w:t xml:space="preserve">, </w:t>
      </w:r>
      <w:hyperlink r:id="rId667" w:history="1">
        <w:r>
          <w:rPr>
            <w:rFonts w:ascii="arial" w:eastAsia="arial" w:hAnsi="arial" w:cs="arial"/>
            <w:i/>
            <w:color w:val="0077CC"/>
            <w:sz w:val="20"/>
            <w:u w:val="single"/>
            <w:shd w:val="clear" w:color="auto" w:fill="FFFFFF"/>
            <w:lang w:val="en-US" w:eastAsia="en-US" w:bidi="ar-SA"/>
          </w:rPr>
          <w:t>[1996] 2 S.C.R. 723</w:t>
        </w:r>
      </w:hyperlink>
      <w:r>
        <w:rPr>
          <w:rFonts w:ascii="arial" w:eastAsia="arial" w:hAnsi="arial" w:cs="arial"/>
          <w:color w:val="000000"/>
          <w:sz w:val="20"/>
          <w:lang w:val="en-US" w:eastAsia="en-US" w:bidi="ar-SA"/>
        </w:rPr>
        <w:t xml:space="preserve"> at para. 170. What is required is not perfection, but reasonableness. As stated in </w:t>
      </w:r>
      <w:r>
        <w:rPr>
          <w:rFonts w:ascii="arial" w:eastAsia="arial" w:hAnsi="arial" w:cs="arial"/>
          <w:i/>
          <w:color w:val="000000"/>
          <w:sz w:val="20"/>
          <w:lang w:val="en-US" w:eastAsia="en-US" w:bidi="ar-SA"/>
        </w:rPr>
        <w:t>Nikal, supra</w:t>
      </w:r>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[1996] 1 S.C.R. 1013</w:t>
        </w:r>
      </w:hyperlink>
      <w:r>
        <w:rPr>
          <w:rFonts w:ascii="arial" w:eastAsia="arial" w:hAnsi="arial" w:cs="arial"/>
          <w:color w:val="000000"/>
          <w:sz w:val="20"/>
          <w:lang w:val="en-US" w:eastAsia="en-US" w:bidi="ar-SA"/>
        </w:rPr>
        <w:t xml:space="preserve"> at para. 110, "in ... information and consultation the concept of reasonableness must come into play.... So long as every reasonable effort is made to inform and to consult, such efforts would suffice." The government is required to make reasonable efforts to inform and consult. This suffices to discharge the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The Province submits that the impact of logging the subject TSLs - with a total area of only approximately 240 hectares, or 2.4 sq. km - must have been slight, when considered in the context of the FNFN Lands Department's annual review and approval of 1,500 to 2,500 land use referrals with a total annual "footprint" of thousands of hectares.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xml:space="preserve">  The Province submits that a parallel may be drawn with the facts underlying the Supreme Court of Canada's decision in </w:t>
      </w:r>
      <w:r>
        <w:rPr>
          <w:rFonts w:ascii="arial" w:eastAsia="arial" w:hAnsi="arial" w:cs="arial"/>
          <w:i/>
          <w:color w:val="000000"/>
          <w:sz w:val="20"/>
          <w:lang w:val="en-US" w:eastAsia="en-US" w:bidi="ar-SA"/>
        </w:rPr>
        <w:t>Mikisew Cree First Nation v. Canada (Minister of Canadian Heritage),</w:t>
      </w:r>
      <w:r>
        <w:rPr>
          <w:rFonts w:ascii="arial" w:eastAsia="arial" w:hAnsi="arial" w:cs="arial"/>
          <w:color w:val="000000"/>
          <w:sz w:val="20"/>
          <w:lang w:val="en-US" w:eastAsia="en-US" w:bidi="ar-SA"/>
        </w:rPr>
        <w:t xml:space="preserve"> </w:t>
      </w:r>
      <w:hyperlink r:id="rId669" w:history="1">
        <w:r>
          <w:rPr>
            <w:rFonts w:ascii="arial" w:eastAsia="arial" w:hAnsi="arial" w:cs="arial"/>
            <w:i/>
            <w:color w:val="0077CC"/>
            <w:sz w:val="20"/>
            <w:u w:val="single"/>
            <w:shd w:val="clear" w:color="auto" w:fill="FFFFFF"/>
            <w:lang w:val="en-US" w:eastAsia="en-US" w:bidi="ar-SA"/>
          </w:rPr>
          <w:t>2005 SCC 69</w:t>
        </w:r>
      </w:hyperlink>
      <w:r>
        <w:rPr>
          <w:rFonts w:ascii="arial" w:eastAsia="arial" w:hAnsi="arial" w:cs="arial"/>
          <w:color w:val="000000"/>
          <w:sz w:val="20"/>
          <w:lang w:val="en-US" w:eastAsia="en-US" w:bidi="ar-SA"/>
        </w:rPr>
        <w:t>. That case concerned approval of a "fairly minor" (in the words of Binnie J. at para. 64) winter road running through traditional Mikisew Cree territory surrendered under Treaty 8, in the vicinity of Wood National Park. The road was to be 118 km long and 10 m wide, with a 200 m wide road corridor within which hunting would be prohibited. The total area of land involved amounted to approximately 23 km. It would affect 14 trappers, and perhaps as many as 100 hunters.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Before the road was approved, the Mikisew had only been provided with copies of the same materials that were distributed to other interested stakeholders. The Mikisew were invited to public open houses, but there was no attempt made to identify their particular concerns or solicit their input.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The trial judge (</w:t>
      </w:r>
      <w:hyperlink r:id="rId670" w:history="1">
        <w:r>
          <w:rPr>
            <w:rFonts w:ascii="arial" w:eastAsia="arial" w:hAnsi="arial" w:cs="arial"/>
            <w:i/>
            <w:color w:val="0077CC"/>
            <w:sz w:val="20"/>
            <w:u w:val="single"/>
            <w:shd w:val="clear" w:color="auto" w:fill="FFFFFF"/>
            <w:lang w:val="en-US" w:eastAsia="en-US" w:bidi="ar-SA"/>
          </w:rPr>
          <w:t>2001 FCT 1426</w:t>
        </w:r>
      </w:hyperlink>
      <w:r>
        <w:rPr>
          <w:rFonts w:ascii="arial" w:eastAsia="arial" w:hAnsi="arial" w:cs="arial"/>
          <w:color w:val="000000"/>
          <w:sz w:val="20"/>
          <w:lang w:val="en-US" w:eastAsia="en-US" w:bidi="ar-SA"/>
        </w:rPr>
        <w:t>) held that the standard of consultation had not been met:</w:t>
      </w:r>
      <w:r>
        <w:rPr>
          <w:rFonts w:ascii="arial" w:eastAsia="arial" w:hAnsi="arial" w:cs="arial"/>
          <w:sz w:val="20"/>
          <w:lang w:val="en-US" w:eastAsia="en-US" w:bidi="ar-SA"/>
        </w:rPr>
        <w:cr/>
      </w:r>
    </w:p>
    <w:p>
      <w:pPr>
        <w:numPr>
          <w:numId w:val="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 complains that the mitigation measures attached to the Minister's decision were not developed in consultation with Mikisew and were not designed to minimize impacts on Mikisew's rights. I agree. Even the realignment, apparently adopted in response to Mikisew's objections, was not developed in consultation with Mikisew. The evidence does not establish that any consideration was given to whether the new route would minimize impacts on Mikisew's treaty rights. The evidence of Chief George Poitras highlighted an air of secrecy surrounding the realignment, a process that should have included a transparent consideration of Mikisew's concerns.</w:t>
      </w:r>
    </w:p>
    <w:p>
      <w:pPr>
        <w:numPr>
          <w:numId w:val="6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Parks Canada admitted it did not consult with Mikisew about the route for the realignment, nor did it consider the impacts of the realignment on Mikisew trappers'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xml:space="preserve">  The decision was reversed by the Federal Court of Appeal, </w:t>
      </w:r>
      <w:hyperlink r:id="rId671" w:history="1">
        <w:r>
          <w:rPr>
            <w:rFonts w:ascii="arial" w:eastAsia="arial" w:hAnsi="arial" w:cs="arial"/>
            <w:i/>
            <w:color w:val="0077CC"/>
            <w:sz w:val="20"/>
            <w:u w:val="single"/>
            <w:shd w:val="clear" w:color="auto" w:fill="FFFFFF"/>
            <w:lang w:val="en-US" w:eastAsia="en-US" w:bidi="ar-SA"/>
          </w:rPr>
          <w:t>[2004] F.C.J. No. 277</w:t>
        </w:r>
      </w:hyperlink>
      <w:r>
        <w:rPr>
          <w:rFonts w:ascii="arial" w:eastAsia="arial" w:hAnsi="arial" w:cs="arial"/>
          <w:color w:val="000000"/>
          <w:sz w:val="20"/>
          <w:lang w:val="en-US" w:eastAsia="en-US" w:bidi="ar-SA"/>
        </w:rPr>
        <w:t>, but the First Nation's appeal to the Supreme Court of Canada succeeded, and the judgment of the trial judge in favour of the First Nation was restored. The Court held that although Treaty 8 expressly contemplated the "taking up" of surrendered lands for various purposes (including logging), the implementation of the Treaty requires there to be a process governing the "taking up", the content of which is dictated by the Crown's duty to act honorably:</w:t>
      </w:r>
      <w:r>
        <w:rPr>
          <w:rFonts w:ascii="arial" w:eastAsia="arial" w:hAnsi="arial" w:cs="arial"/>
          <w:sz w:val="20"/>
          <w:lang w:val="en-US" w:eastAsia="en-US" w:bidi="ar-SA"/>
        </w:rPr>
        <w:cr/>
      </w:r>
    </w:p>
    <w:p>
      <w:pPr>
        <w:numPr>
          <w:numId w:val="6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case of a treaty the Crown, as a party, will always have notice of its contents. The question in each case will therefore be to determine the degree to which conduct contemplated by the Crown would adversely affect those rights so as to trigger the duty to consult. </w:t>
      </w:r>
      <w:r>
        <w:rPr>
          <w:rFonts w:ascii="arial" w:eastAsia="arial" w:hAnsi="arial" w:cs="arial"/>
          <w:i/>
          <w:color w:val="000000"/>
          <w:sz w:val="20"/>
          <w:lang w:val="en-US" w:eastAsia="en-US" w:bidi="ar-SA"/>
        </w:rPr>
        <w:t>Haida Nation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Taku River</w:t>
      </w:r>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[2004] 3 S.C.R. 550</w:t>
        </w:r>
      </w:hyperlink>
      <w:r>
        <w:rPr>
          <w:rFonts w:ascii="arial" w:eastAsia="arial" w:hAnsi="arial" w:cs="arial"/>
          <w:color w:val="000000"/>
          <w:sz w:val="20"/>
          <w:lang w:val="en-US" w:eastAsia="en-US" w:bidi="ar-SA"/>
        </w:rPr>
        <w:t>, set a low threshold. The flexibility lies not in the trigger ("might adversely affect it") but in the variable content of the duty once triggered. At the low end, "the only duty on the Crown may be to give notice, disclose information, and discuss any issues raised in response to the notice" (</w:t>
      </w:r>
      <w:r>
        <w:rPr>
          <w:rFonts w:ascii="arial" w:eastAsia="arial" w:hAnsi="arial" w:cs="arial"/>
          <w:i/>
          <w:color w:val="000000"/>
          <w:sz w:val="20"/>
          <w:lang w:val="en-US" w:eastAsia="en-US" w:bidi="ar-SA"/>
        </w:rPr>
        <w:t>Haida Nation</w:t>
      </w:r>
      <w:r>
        <w:rPr>
          <w:rFonts w:ascii="arial" w:eastAsia="arial" w:hAnsi="arial" w:cs="arial"/>
          <w:color w:val="000000"/>
          <w:sz w:val="20"/>
          <w:lang w:val="en-US" w:eastAsia="en-US" w:bidi="ar-SA"/>
        </w:rPr>
        <w:t>, at para. 43). The Mikisew say that even the low end content was not satisfied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The Court expanded on the concept of the honour of the Crown:</w:t>
      </w:r>
      <w:r>
        <w:rPr>
          <w:rFonts w:ascii="arial" w:eastAsia="arial" w:hAnsi="arial" w:cs="arial"/>
          <w:sz w:val="20"/>
          <w:lang w:val="en-US" w:eastAsia="en-US" w:bidi="ar-SA"/>
        </w:rPr>
        <w:cr/>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duty to consult is grounded in the honour of the Crown, and it is not necessary for present purposes to invoke fiduciary duties. The honour of the Crown is itself a fundamental concept governing treaty interpretation and application that was referred to by Gwynne J. of this Court </w:t>
      </w:r>
      <w:r>
        <w:rPr>
          <w:rFonts w:ascii="arial" w:eastAsia="arial" w:hAnsi="arial" w:cs="arial"/>
          <w:i/>
          <w:color w:val="000000"/>
          <w:sz w:val="20"/>
          <w:lang w:val="en-US" w:eastAsia="en-US" w:bidi="ar-SA"/>
        </w:rPr>
        <w:t>as a treaty obligation</w:t>
      </w:r>
      <w:r>
        <w:rPr>
          <w:rFonts w:ascii="arial" w:eastAsia="arial" w:hAnsi="arial" w:cs="arial"/>
          <w:color w:val="000000"/>
          <w:sz w:val="20"/>
          <w:lang w:val="en-US" w:eastAsia="en-US" w:bidi="ar-SA"/>
        </w:rPr>
        <w:t xml:space="preserve"> as far back as 1895, four years before Treaty 8 was concluded: </w:t>
      </w:r>
      <w:r>
        <w:rPr>
          <w:rFonts w:ascii="arial" w:eastAsia="arial" w:hAnsi="arial" w:cs="arial"/>
          <w:i/>
          <w:color w:val="000000"/>
          <w:sz w:val="20"/>
          <w:lang w:val="en-US" w:eastAsia="en-US" w:bidi="ar-SA"/>
        </w:rPr>
        <w:t>Province of Ontario v. Dominion of Canada</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(1895), 25 S.C.R. 434</w:t>
        </w:r>
      </w:hyperlink>
      <w:r>
        <w:rPr>
          <w:rFonts w:ascii="arial" w:eastAsia="arial" w:hAnsi="arial" w:cs="arial"/>
          <w:color w:val="000000"/>
          <w:sz w:val="20"/>
          <w:lang w:val="en-US" w:eastAsia="en-US" w:bidi="ar-SA"/>
        </w:rPr>
        <w:t xml:space="preserve">, at pp. 511-12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Gwynne J. (dissenting). While he was in the minority in his view that the treaty obligation to pay Indian annuities imposed a trust on provincial lands, nothing was said by the majority in that case to doubt that the honour of the Crown was pledged to the fulfilment of its obligations to the Indians. This had been the Crown's policy as far back as the </w:t>
      </w:r>
      <w:r>
        <w:rPr>
          <w:rFonts w:ascii="arial" w:eastAsia="arial" w:hAnsi="arial" w:cs="arial"/>
          <w:i/>
          <w:color w:val="000000"/>
          <w:sz w:val="20"/>
          <w:lang w:val="en-US" w:eastAsia="en-US" w:bidi="ar-SA"/>
        </w:rPr>
        <w:t>Royal Proclamation</w:t>
      </w:r>
      <w:r>
        <w:rPr>
          <w:rFonts w:ascii="arial" w:eastAsia="arial" w:hAnsi="arial" w:cs="arial"/>
          <w:color w:val="000000"/>
          <w:sz w:val="20"/>
          <w:lang w:val="en-US" w:eastAsia="en-US" w:bidi="ar-SA"/>
        </w:rPr>
        <w:t xml:space="preserve"> of 1763, and is manifest in the promises recorded in the report of the Commissioners. The honour of the Crown exists as a source of obligation independently of treaties as well, of course. In </w:t>
      </w:r>
      <w:r>
        <w:rPr>
          <w:rFonts w:ascii="arial" w:eastAsia="arial" w:hAnsi="arial" w:cs="arial"/>
          <w:i/>
          <w:color w:val="000000"/>
          <w:sz w:val="20"/>
          <w:lang w:val="en-US" w:eastAsia="en-US" w:bidi="ar-SA"/>
        </w:rPr>
        <w:t>Sparrow</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Delgamuukw v. British Columbia</w:t>
      </w:r>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[1997] 3 S.C.R. 1010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Haida Nation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Taku River</w:t>
      </w:r>
      <w:r>
        <w:rPr>
          <w:rFonts w:ascii="arial" w:eastAsia="arial" w:hAnsi="arial" w:cs="arial"/>
          <w:color w:val="000000"/>
          <w:sz w:val="20"/>
          <w:lang w:val="en-US" w:eastAsia="en-US" w:bidi="ar-SA"/>
        </w:rPr>
        <w:t>, the "honour of the Crown" was invoked as a central principle in resolving aboriginal claims to consultation despite the absence of any treaty.</w:t>
      </w:r>
    </w:p>
    <w:p>
      <w:pPr>
        <w:numPr>
          <w:numId w:val="7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as though the Treaty 8 First Nations did not pay dearly for their entitlement to honourable conduct on the part of the Crown; surrender of the aboriginal interest in an area larger than France is a hefty purchase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The Province of Alberta attempted to argue that the minimal size of the affected area created no meaningful infringement of aboriginal rights. This argument was rejected:</w:t>
      </w:r>
      <w:r>
        <w:rPr>
          <w:rFonts w:ascii="arial" w:eastAsia="arial" w:hAnsi="arial" w:cs="arial"/>
          <w:sz w:val="20"/>
          <w:lang w:val="en-US" w:eastAsia="en-US" w:bidi="ar-SA"/>
        </w:rPr>
        <w:cr/>
      </w:r>
    </w:p>
    <w:p>
      <w:pPr>
        <w:numPr>
          <w:numId w:val="7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Attorney General of Alberta tries a slightly different argument, at para. 49 of his factum, adding a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element to the treaty-wide approach: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this case the amount of land to be taken up to construct the winter road is 23 square kilometres out of 44,807 square kilometres of Wood Buffalo National Park and out of 840,000 square kilometres encompassed by Treaty No. 8. As Rothstein J.A. found, this is not a case where a meaningful right to hunt no longer remains.</w:t>
      </w:r>
    </w:p>
    <w:p>
      <w:pPr>
        <w:numPr>
          <w:numId w:val="7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arguments of the federal and Alberta Crowns simply ignore the significance and practicalities of a First Nation's traditional territory. Alberta's 23 square kilometre argument flies in the face of the injurious affection of surrounding lands as found by the trial judge. More significantly for aboriginal people, as for non-aboriginal people, location is important. Twenty-three square kilometres alone is serious if it includes the claimants' hunting ground or trapline. While the Mikisew may have rights under Treaty 8 to hunt, fish and trap throughout the Treaty 8 area, it makes no sense from a practical point of view to tell the Mikisew hunters and trappers that, while their own hunting territory and traplines would now be compromised, they are entitled to invade the traditional territories of other First Nations distant from their home turf (a suggestion that would have been all the more impractical in 1899).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After reviewing the steps taken by the Crown to engage the First Nation, the Court held that the duty owed was only at the lower end, involving "informational and response components", but that it had not been fulfilled:</w:t>
      </w:r>
      <w:r>
        <w:rPr>
          <w:rFonts w:ascii="arial" w:eastAsia="arial" w:hAnsi="arial" w:cs="arial"/>
          <w:sz w:val="20"/>
          <w:lang w:val="en-US" w:eastAsia="en-US" w:bidi="ar-SA"/>
        </w:rPr>
        <w:cr/>
      </w:r>
    </w:p>
    <w:p>
      <w:pPr>
        <w:numPr>
          <w:numId w:val="7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duty here has both informational and response components. In this case, given that the Crown is proposing to build a fairly minor winter road on </w:t>
      </w:r>
      <w:r>
        <w:rPr>
          <w:rFonts w:ascii="arial" w:eastAsia="arial" w:hAnsi="arial" w:cs="arial"/>
          <w:i/>
          <w:color w:val="000000"/>
          <w:sz w:val="20"/>
          <w:lang w:val="en-US" w:eastAsia="en-US" w:bidi="ar-SA"/>
        </w:rPr>
        <w:t>surrendered</w:t>
      </w:r>
      <w:r>
        <w:rPr>
          <w:rFonts w:ascii="arial" w:eastAsia="arial" w:hAnsi="arial" w:cs="arial"/>
          <w:color w:val="000000"/>
          <w:sz w:val="20"/>
          <w:lang w:val="en-US" w:eastAsia="en-US" w:bidi="ar-SA"/>
        </w:rPr>
        <w:t xml:space="preserve"> lands where the Mikisew hunting, fishing and trapping rights are expressly subject to the "taking up" limitation, I believe the Crown's duty lies at the lower end of the spectrum. The Crown was required to provide notice to the Mikisew and to engage directly with them (and not, as seems to have been the case here, as an afterthought to a general public consultation with Park users). This engagement ought to have included the provision of information about the project addressing what the Crown knew to be Mikisew interests and what the Crown anticipated might be the potential adverse impact on those interests. The Crown was required to solicit and to listen carefully to the Mikisew concerns, and to attempt to minimize adverse impacts on the Mikisew hunting, fishing and trapping rights. The Crown did not discharge this obligation when it unilaterally declared the road realignment would be shifted from the reserve itself to a track along its boundary. I agree on this point with what Finch J.A. (now C.J.B.C.) said in </w:t>
      </w:r>
      <w:r>
        <w:rPr>
          <w:rFonts w:ascii="arial" w:eastAsia="arial" w:hAnsi="arial" w:cs="arial"/>
          <w:i/>
          <w:color w:val="000000"/>
          <w:sz w:val="20"/>
          <w:lang w:val="en-US" w:eastAsia="en-US" w:bidi="ar-SA"/>
        </w:rPr>
        <w:t>Halfway River First Nation</w:t>
      </w:r>
      <w:r>
        <w:rPr>
          <w:rFonts w:ascii="arial" w:eastAsia="arial" w:hAnsi="arial" w:cs="arial"/>
          <w:color w:val="000000"/>
          <w:sz w:val="20"/>
          <w:lang w:val="en-US" w:eastAsia="en-US" w:bidi="ar-SA"/>
        </w:rPr>
        <w:t xml:space="preserve"> at paras. 159-60.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fact that adequate notice of an intended decision may have been given does not mean that the requirement for adequate consultation has also been met.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Crown's duty to consult imposes on it a positive obligation to reasonably ensure that aboriginal peoples are provided with all necessary information in a timely way so that they have an opportunity to express their interests and concerns, </w:t>
      </w:r>
      <w:r>
        <w:rPr>
          <w:rFonts w:ascii="arial" w:eastAsia="arial" w:hAnsi="arial" w:cs="arial"/>
          <w:color w:val="000000"/>
          <w:sz w:val="20"/>
          <w:u w:val="single"/>
          <w:lang w:val="en-US" w:eastAsia="en-US" w:bidi="ar-SA"/>
        </w:rPr>
        <w:t>and to ensure that their representations are seriously considered and, wherever possible, demonstrably integrated into the proposed plan of action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[Emphasis added in </w:t>
      </w:r>
      <w:r>
        <w:rPr>
          <w:rFonts w:ascii="arial" w:eastAsia="arial" w:hAnsi="arial" w:cs="arial"/>
          <w:i/>
          <w:color w:val="000000"/>
          <w:sz w:val="20"/>
          <w:lang w:val="en-US" w:eastAsia="en-US" w:bidi="ar-SA"/>
        </w:rPr>
        <w:t>Mikisew</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xml:space="preserve">  The need to engage in meaningful consultation with aboriginal groups is fundamental to questions of land use in territory covered by Treaty 8. If adequate consultation were not to take place, the legitimacy of the "taking up" under the Treaty would stand to be challenged, and a party given license by the Crown to use land would inevitably run the risk of conflict. The Crown must be taken to be aware of this risk in any given situation, and a party engaging in negotiations with the Crown for license to use Crown land must be entitled to assume that the Crown has taken adequate steps to discharge its obligation. The commercial reality of dealing with land subject to aboriginal claims justifies and necessitates such expectations being recognized as forming implied terms of a contract with the Crown: see the discussion of implied terms in </w:t>
      </w:r>
      <w:r>
        <w:rPr>
          <w:rFonts w:ascii="arial" w:eastAsia="arial" w:hAnsi="arial" w:cs="arial"/>
          <w:i/>
          <w:color w:val="000000"/>
          <w:sz w:val="20"/>
          <w:lang w:val="en-US" w:eastAsia="en-US" w:bidi="ar-SA"/>
        </w:rPr>
        <w:t>M.J.B. Enterprises Ltd. v. Defence Construction (1951) Ltd.</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[1999] 1 S.C.R. 619</w:t>
        </w:r>
      </w:hyperlink>
      <w:r>
        <w:rPr>
          <w:rFonts w:ascii="arial" w:eastAsia="arial" w:hAnsi="arial" w:cs="arial"/>
          <w:color w:val="000000"/>
          <w:sz w:val="20"/>
          <w:lang w:val="en-US" w:eastAsia="en-US" w:bidi="ar-SA"/>
        </w:rPr>
        <w:t xml:space="preserve"> at paras. 27,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I find that in order to give business efficacy to the TSLs, the following terms must be implied therein:</w:t>
      </w:r>
      <w:r>
        <w:rPr>
          <w:rFonts w:ascii="arial" w:eastAsia="arial" w:hAnsi="arial" w:cs="arial"/>
          <w:sz w:val="20"/>
          <w:lang w:val="en-US" w:eastAsia="en-US" w:bidi="ar-SA"/>
        </w:rPr>
        <w:cr/>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Province had engaged in all necessary consultation with affected First Nations, and had discharged its duty to consult;</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Province was not aware of any First Nations expressing dissatisfaction with the consultation undertaken by the Province, save as the Province had disclosed to Moulton Contracting.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xml:space="preserve">  The Province, in the present case, does not take issue with the concept of its consultation obligations being recognized as implied terms so much as it submits that its obligations to FNFN were fulfilled. The Province points to the numerous steps taken to identify and accommodate FNFN's interests: notice to FNFN of the proposed FDP Amendment; the request to Mr. Behn personally that he advise BCTS of any concerns; the meeting with FNFN of November 22, 2004; the agreement to provide an Archaeological Impact Assessment; and the helicopter flyover. Given the minimal nature of the potential impact of the TSLs - involving the rights of only one trapper, and, proportionately, involving about one-tenth the area of the road corridor in </w:t>
      </w:r>
      <w:r>
        <w:rPr>
          <w:rFonts w:ascii="arial" w:eastAsia="arial" w:hAnsi="arial" w:cs="arial"/>
          <w:i/>
          <w:color w:val="000000"/>
          <w:sz w:val="20"/>
          <w:lang w:val="en-US" w:eastAsia="en-US" w:bidi="ar-SA"/>
        </w:rPr>
        <w:t>Mikisew</w:t>
      </w:r>
      <w:r>
        <w:rPr>
          <w:rFonts w:ascii="arial" w:eastAsia="arial" w:hAnsi="arial" w:cs="arial"/>
          <w:color w:val="000000"/>
          <w:sz w:val="20"/>
          <w:lang w:val="en-US" w:eastAsia="en-US" w:bidi="ar-SA"/>
        </w:rPr>
        <w:t>- the Province says that the required amount of consultation was minimal, and was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On the totality of the evidence, I cannot find that the Province consulted with FNFN in a manner sufficient to maintain the honour of the Crown. The FNFN Lands Department operated with substantially limited capacity. To the knowledge of BCTS and MOF, it had no real ability to undertake meaningful evaluation of forestry proposals. That is not to say, by any means, that the Province was under an obligation to provide funding for improved capacity. But, knowing of the limitations facing the Lands Department, BCTS could have done much more than it did. It could have provided the Lands Department with longer time lines to respond to its inquiries, and could have set deadlines and held meetings outside the peak season for oil and gas approvals. It could have explored with FNFN the availability of other Crown resources. It could have arranged an intensive, on-the-ground review of the cutblocks with Mr. Behn.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BCTS could also have refrained from seeking approval of the FDP Amendment, or proceeding with the TSL sales, until habitat information was available to both parties. The Lands Department advised BCTS in November 2004 that wildlife habitat was a potential concern. The proposed clear cutting of 240 hectares of forest must have been anticipated to have a substantial effect on wildlife within those 240 hectares; the potential for wildlife to be impacted in surrounding areas, beyond the boundaries of the TSLs, must have been recognized as well. BCTS' reaction was to explain that habitat was the responsibility of a different Ministry, one which was not responsive to BCTS' own requests. While BCTS' position was understandable, this did nothing to discharge the consultation obligation, which was owed by the Province as a whole. The failure of the Province to provide any information regarding wildlife habitat was a clear breach of its consultation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xml:space="preserve">  Furthermore, the whole process by which the FDP Amendment was approved was fundamentally flawed. The deficiencies in the information provided by BCTS to the MOF District Manager concerning the nature and status of consultation with FNFN are fully described above. To borrow a phrase from the trial judge in </w:t>
      </w:r>
      <w:r>
        <w:rPr>
          <w:rFonts w:ascii="arial" w:eastAsia="arial" w:hAnsi="arial" w:cs="arial"/>
          <w:i/>
          <w:color w:val="000000"/>
          <w:sz w:val="20"/>
          <w:lang w:val="en-US" w:eastAsia="en-US" w:bidi="ar-SA"/>
        </w:rPr>
        <w:t>Mikisew</w:t>
      </w:r>
      <w:r>
        <w:rPr>
          <w:rFonts w:ascii="arial" w:eastAsia="arial" w:hAnsi="arial" w:cs="arial"/>
          <w:color w:val="000000"/>
          <w:sz w:val="20"/>
          <w:lang w:val="en-US" w:eastAsia="en-US" w:bidi="ar-SA"/>
        </w:rPr>
        <w:t>, the approval process should have embodied "a transparent consideration" of FNFN's concerns. It did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xml:space="preserve">  As in </w:t>
      </w:r>
      <w:r>
        <w:rPr>
          <w:rFonts w:ascii="arial" w:eastAsia="arial" w:hAnsi="arial" w:cs="arial"/>
          <w:i/>
          <w:color w:val="000000"/>
          <w:sz w:val="20"/>
          <w:lang w:val="en-US" w:eastAsia="en-US" w:bidi="ar-SA"/>
        </w:rPr>
        <w:t>Mikisew</w:t>
      </w:r>
      <w:r>
        <w:rPr>
          <w:rFonts w:ascii="arial" w:eastAsia="arial" w:hAnsi="arial" w:cs="arial"/>
          <w:color w:val="000000"/>
          <w:sz w:val="20"/>
          <w:lang w:val="en-US" w:eastAsia="en-US" w:bidi="ar-SA"/>
        </w:rPr>
        <w:t>, the duty owed by the Province was at the lower end of the spectrum. The Province was obliged to provide notice to FNFN of the FDP Amendment, and it did so. Thereafter, it was obliged to engage directly with them, including the provision of information about the Amendment addressing what the Province knew to be FNFN interests and what the Province anticipated might be the potential adverse impact on those interests. It was obliged, at the very least, to provide FNFN with sufficient time to respond, and then, on the basis of their response, to attempt to minimize impacts on aboriginal rights. If - as was the case - FNFN's ability to engage was hampered due to capacity issues, the Province owed to the First Nation a duty to broaden the informational component, to facilitate a true dialogue. If the process of consultation could not be completed in a timely manner before the FDP Amendment was approved, the Province owed a duty to delay posting the TSLs for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I find that the Province was in breach of an implied term of the TSLs that it had engaged in all necessary consultation with FNFN and had discharged its duty to consult.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However, I do not find liability on the part of the Province for breach of this implied term, on the facts of this case. This is for two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xml:space="preserve">  First, I cannot find, on the evidence, a sufficient causal connection between the lack of the necessary level of consultation, and Mr. Behn's decision to proceed with a blockade. Mr. Behn did not testify. It is a fair inference from the circumstances that Mr. Behn set up the blockade in part to protest the lack of consultation, but also as a sign of his opposition to any logging on his family's territory. His letter to MOF of August 31, 2006 is certainly capable of being read as implying that he was opposed to </w:t>
      </w:r>
      <w:r>
        <w:rPr>
          <w:rFonts w:ascii="arial" w:eastAsia="arial" w:hAnsi="arial" w:cs="arial"/>
          <w:color w:val="000000"/>
          <w:sz w:val="20"/>
          <w:u w:val="single"/>
          <w:lang w:val="en-US" w:eastAsia="en-US" w:bidi="ar-SA"/>
        </w:rPr>
        <w:t>all</w:t>
      </w:r>
      <w:r>
        <w:rPr>
          <w:rFonts w:ascii="arial" w:eastAsia="arial" w:hAnsi="arial" w:cs="arial"/>
          <w:color w:val="000000"/>
          <w:sz w:val="20"/>
          <w:lang w:val="en-US" w:eastAsia="en-US" w:bidi="ar-SA"/>
        </w:rPr>
        <w:t xml:space="preserve"> industrial activity on the lands. If that was the case, Mr. Behn may very well have been unsatisfied with even the minimally required level of consultation. I am not prepared to find on the balance of probabilities that the losses suffered by Moulton Contracting arising from its inability to harvest were caused by deficiencies in the Province's consultation of FNFN.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xml:space="preserve">  Second, the loss of revenue from the TSLs was as a direct result of the blockade; it was clearly of the type encompassed by the TSL Blockade Exemption. On my interpretation of that exemption clause, it would not assist the plaintiff to demonstrate that the blockade was caused or contributed to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fault on the part of the Province. The rules for interpretation of exemption clauses as set out in </w:t>
      </w:r>
      <w:r>
        <w:rPr>
          <w:rFonts w:ascii="arial" w:eastAsia="arial" w:hAnsi="arial" w:cs="arial"/>
          <w:i/>
          <w:color w:val="000000"/>
          <w:sz w:val="20"/>
          <w:lang w:val="en-US" w:eastAsia="en-US" w:bidi="ar-SA"/>
        </w:rPr>
        <w:t>Canada Steamship Lines v R</w:t>
      </w:r>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[1952] A.C. 192</w:t>
        </w:r>
      </w:hyperlink>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[1952] 2 D.L.R. 786</w:t>
        </w:r>
      </w:hyperlink>
      <w:r>
        <w:rPr>
          <w:rFonts w:ascii="arial" w:eastAsia="arial" w:hAnsi="arial" w:cs="arial"/>
          <w:color w:val="000000"/>
          <w:sz w:val="20"/>
          <w:lang w:val="en-US" w:eastAsia="en-US" w:bidi="ar-SA"/>
        </w:rPr>
        <w:t xml:space="preserve"> (P.C.) were recently summarized by Tysoe J.A. in </w:t>
      </w:r>
      <w:r>
        <w:rPr>
          <w:rFonts w:ascii="arial" w:eastAsia="arial" w:hAnsi="arial" w:cs="arial"/>
          <w:i/>
          <w:color w:val="000000"/>
          <w:sz w:val="20"/>
          <w:lang w:val="en-US" w:eastAsia="en-US" w:bidi="ar-SA"/>
        </w:rPr>
        <w:t>Shelton-Johnson v. Delta School District No. 37</w:t>
      </w:r>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2012 BCCA 439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At issue in </w:t>
      </w:r>
      <w:r>
        <w:rPr>
          <w:rFonts w:ascii="arial" w:eastAsia="arial" w:hAnsi="arial" w:cs="arial"/>
          <w:i/>
          <w:color w:val="000000"/>
          <w:sz w:val="20"/>
          <w:lang w:val="en-US" w:eastAsia="en-US" w:bidi="ar-SA"/>
        </w:rPr>
        <w:t>Canada Steamship Lines</w:t>
      </w:r>
      <w:r>
        <w:rPr>
          <w:rFonts w:ascii="arial" w:eastAsia="arial" w:hAnsi="arial" w:cs="arial"/>
          <w:color w:val="000000"/>
          <w:sz w:val="20"/>
          <w:lang w:val="en-US" w:eastAsia="en-US" w:bidi="ar-SA"/>
        </w:rPr>
        <w:t xml:space="preserve"> was an indemnity clause in a lease by which the lessee agreed to indemnify the lessor. The clause did not contain a reference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lessor. A fire occurred in the leased premises as a result of the lessor's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lessor was sued by owners of other property that was destroyed by the fire, and the lessor sought indemnity from the lessee under the indemnity clause.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In allowing the appeal and holding that the indemnity clause did not apply, the Privy Council had regard to the passage in the decision of the English Court of Appeal in </w:t>
      </w:r>
      <w:r>
        <w:rPr>
          <w:rFonts w:ascii="arial" w:eastAsia="arial" w:hAnsi="arial" w:cs="arial"/>
          <w:i/>
          <w:color w:val="000000"/>
          <w:sz w:val="20"/>
          <w:lang w:val="en-US" w:eastAsia="en-US" w:bidi="ar-SA"/>
        </w:rPr>
        <w:t>Alderslade v. Hendon Laundry Ltd.</w:t>
      </w:r>
      <w:r>
        <w:rPr>
          <w:rFonts w:ascii="arial" w:eastAsia="arial" w:hAnsi="arial" w:cs="arial"/>
          <w:color w:val="000000"/>
          <w:sz w:val="20"/>
          <w:lang w:val="en-US" w:eastAsia="en-US" w:bidi="ar-SA"/>
        </w:rPr>
        <w:t xml:space="preserve">, [1945] K.B. 189 at 192, in which it was explained that if a party to a contract wishes to limit his liability in respect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 must do so in clear terms. The Privy Council then set out, at 208, three guidelines for the interpretation of indemnity clauses, the first two of which are relevant to this matter:</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clause contains language which expressly exempts the person in whose favour it is made (hereafter called "the </w:t>
      </w:r>
      <w:r>
        <w:rPr>
          <w:rFonts w:ascii="arial" w:eastAsia="arial" w:hAnsi="arial" w:cs="arial"/>
          <w:i/>
          <w:color w:val="000000"/>
          <w:sz w:val="20"/>
          <w:lang w:val="en-US" w:eastAsia="en-US" w:bidi="ar-SA"/>
        </w:rPr>
        <w:t>proferens</w:t>
      </w:r>
      <w:r>
        <w:rPr>
          <w:rFonts w:ascii="arial" w:eastAsia="arial" w:hAnsi="arial" w:cs="arial"/>
          <w:color w:val="000000"/>
          <w:sz w:val="20"/>
          <w:lang w:val="en-US" w:eastAsia="en-US" w:bidi="ar-SA"/>
        </w:rPr>
        <w:t xml:space="preserve">")from the consequences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his own servants, effect must be given to that provision ....</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there is no express reference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court must consider whether the words used are wide enough, in their ordinary meaning, to cover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servants of the </w:t>
      </w:r>
      <w:r>
        <w:rPr>
          <w:rFonts w:ascii="arial" w:eastAsia="arial" w:hAnsi="arial" w:cs="arial"/>
          <w:i/>
          <w:color w:val="000000"/>
          <w:sz w:val="20"/>
          <w:lang w:val="en-US" w:eastAsia="en-US" w:bidi="ar-SA"/>
        </w:rPr>
        <w:t>proferens</w:t>
      </w:r>
      <w:r>
        <w:rPr>
          <w:rFonts w:ascii="arial" w:eastAsia="arial" w:hAnsi="arial" w:cs="arial"/>
          <w:color w:val="000000"/>
          <w:sz w:val="20"/>
          <w:lang w:val="en-US" w:eastAsia="en-US" w:bidi="ar-SA"/>
        </w:rPr>
        <w:t xml:space="preserve">. If a doubt arises at this point, it must be resolved against the </w:t>
      </w:r>
      <w:r>
        <w:rPr>
          <w:rFonts w:ascii="arial" w:eastAsia="arial" w:hAnsi="arial" w:cs="arial"/>
          <w:i/>
          <w:color w:val="000000"/>
          <w:sz w:val="20"/>
          <w:lang w:val="en-US" w:eastAsia="en-US" w:bidi="ar-SA"/>
        </w:rPr>
        <w:t>proferens</w:t>
      </w:r>
      <w:r>
        <w:rPr>
          <w:rFonts w:ascii="arial" w:eastAsia="arial" w:hAnsi="arial" w:cs="arial"/>
          <w:color w:val="000000"/>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I find no ambiguity in the language of the TSL Blockade Exemption. The words used are wide enough, in their ordinary meaning, to cover fault on the part of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xml:space="preserve">  I do, however, find liability on the part of the Province for breach of an implied term of the TSLs that the Province was not aware of any First Nations expressing dissatisfaction with the consultation undertaken by the Province. As I have found, BCTS knew or ought to have known, as of July 31, 2006, that Mr. Behn was threatening to block physical access. At no time over the month that followed did Mr. Behn resile from his threat. BCTS kept the plaintiff in the dark, and did so at a critical point in time, when the plaintiff would have to be making definite plans - for example, as to whether to attend the Canfor Contractors' Meeting - for the coming season. I find that the Province was obliged, as a matter of contract, to advise Moulton Contracting of Mr. Behn's threat, in a timely manner, and that it failed to do so. This finding may also be made on the basis of concurrent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based on an implied continuing representation, which the Province learned to be false. Clearly, a duty of care was owed by the Province to Moulton Contracting, arising out of their contractual relationship, to pass on information of fundamental relevance to its ability to avail itself of its rights under the licenses.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I further find that had Moulton Contracting been advised of Mr. Behn's threat, it would not have pursued logging under the TSLs and would instead have pursued opportunities with its usual sources of contract work, i.e. Canfor and pipeline companies such as Encana. The Province is liable to Moulton Contracting for the loss of these opportunities.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The Province claims that the plaintiff failed to mitigate its losses by pursuing Canfor for work after the blockade had commenced. It is submitted that the plaintiff failed to avail itself of three mitigative steps shown on the evidence to have been available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First, the Province says the Plaintiff did not accept an offer from the Province to extend the term of the TSLs. It is not clear to me how this extension of time would have benefitted the plaintiff; there is no basis, on the evidence, for concluding that Mr. Behn's blockade would not have continued. The Province also concedes that one of the factors in the plaintiff's decision not to accept the offer was that its equipment was being repossessed; hence, the plaintiff would not have had the means to exercise its rights under the TSLs, even if extended.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Second, the Province says the plaintiff did not attempt to access the Cutting Authority Area with the use of helicopters, even though all of its equipment was on-site and only personnel would have had to be transported. I have no evidence as to whether helicopter transport would have been available, and no evidence as to whether the TSLs could still have been logged economically with the use of helicopters. Using this expedient would still have left the plaintiff with the problem of how to move the harvested timber through the blockade. More to the point, pursuing this course would have risked escalating the confrontation with the Behn family. I cannot fault the plaintiff for not having pursued this course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Finally, the Province says that the Plaintiff made no attempt to secure alternative work through Canfor, even though such work might have been available had the Plaintiff contacted the proper department responsible for assigning such work. The Province relies upon evidence given by Mr. Bill McKenzie, a former forestry supervisor with Canfor. Mr. McKenzie, it will be recalled, was one of two persons identified by Mr. Moulton as the person he contacted at Canfor after the blockade had gone up, and who told him that their volumes had already been given out, and their planning on sources of timber had already been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In his examination-in-chief, Mr. McKenzie testified that he recalled having had a conversation with Mr. Moulton after the blockade had gone up, but that it was beyond his job position to allot timber on behalf of the company. When asked whether wood to harvest would have been made available if a contractor had come to Canfor in October and asked for it, Mr. McKenzie replied, "Quite likely not. It was all allocated in August."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In cross-examination, Mr. McKenzie testified that Canfor's planning was done on a five-year basis, and that in any given year there were always a few blocks available in contingency that had not dedicated for harvesting in that year, e.g. in case of a planned block not producing the expected volume, the demands of a mill for a particular species changing, etc. He said that he explained to Mr. Moulton that it was not his job to allocate other wood that Canfor might have available. That, he testified, was the responsibility of someone higher up in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In my view, all that this cross-examination of Mr. McKenzie achieved was that it suggested an avenue that could be explored with witnesses who would have had direct knowledge of alternative timber supplies and Canfor's policies with respect to same. I accept Mr. Moulton's evidence that he was told, in essence, that it was too late. If Mr. McKenzie's recollection of his discussion with Mr. Moulton is correct, it is extremely unlikely, I find, that Mr. Moulton would simply have given up and would not have pursued the issue with someone else at Canfor. It is not clear from the evidence whether Mr. Shannon Wylie, the other person whom Mr. Moulton believes he may have spoken to, was in a superior position to Mr. McKenzie; if so, perhaps it was the case that Mr. Moulton spoke first with Mr. McKenzie, and then with Mr. Wylie. In any event, Mr. McKenzie's evidence does not establish a probability, or even a real possibility, that a failure on the part of Mr. Moulton to make further inquiries led to loss of an opportunity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The burden of proving a failure to mitigate rests with the defence. That burden has not been discharged.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The expert opinion evidence tendered at trial on the issue of damages was directed towards quantifying the loss resulting from the denial of access to the TSL blocks. There was no evidence tendered to show directly what losses arose from lost alternative opportunities.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I find that the plaintiff's loss can best be assessed with reference to its historical pattern of earnings and operating expenses, and that the appropriate measure of damages is therefore a projection, recognizing contingencies, of the expected gross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The plaintiff's financial statements for the three years preceding the subject loss reveal the following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1987"/>
        <w:gridCol w:w="1672"/>
        <w:gridCol w:w="1673"/>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2004</w:t>
            </w:r>
          </w:p>
        </w:tc>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2005</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2006</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1882"/>
        <w:gridCol w:w="1882"/>
        <w:gridCol w:w="1987"/>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Revenue</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$4,357,796</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$1,646,286</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$3,583,813</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1987"/>
        <w:gridCol w:w="1987"/>
        <w:gridCol w:w="2823"/>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Operating</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Expenses</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$2,271,742</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$ 868,366</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$2,111,998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_________</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_________</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__________</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778"/>
        <w:gridCol w:w="1568"/>
        <w:gridCol w:w="1778"/>
        <w:gridCol w:w="2091"/>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Gross Profit</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$2,086,054</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$ 777,920</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$1,471,815</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Each year, the revenue was derived from a variety of work: logging; oil and gas, trucking, and construction. In 2005, only $142,669 was earned from logging. In 2006, logging produced revenue of $2,154,168. The breakdown for 2004 is not available, but given that the total revenue for that year is much closer to the 2006 total than the 2005 total, the mix is likely to have been more similar to 2006. For the purpose of assessing the likely revenues in 2007 from other alternative sources, I find that the 2005 revenue is likely an anomaly and not representative.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The operating expenses given in the above table are from the report of the plaintiff's accounting expert Mr. Tidball. They do not include charges for equipment rental. Historically, this item had been a significant variable expense for Moulton Contracting: $763,314 in 2004, $253,830 in 2005, and $175,592 in 2006. Mr. Tidball's explanation for excluding equipment rental from operating costs, in his calculation of the losses relating to the TSLs, is explained in his report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owned all of the equipment necessary to log TSL A66572 and TSL A66573. The key equipment required to log TSL A66572 and TSL A66573 included two bunchers, two skidders, a loader, processor and dozer and six haul trucks, plus several crew cabs. Two of the six, the trucks and a buncher, skidder and loader were almost new as at the commencement of the logging of [the TSLs]. The new equipment was under warranty during the expected period of logging [the TSLs]. Significant repairs were made to the other equipment of the Plaintiff in fiscal 2006.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We computed gross profit ... excluding equipment rent and equipment repairs since the Plaintiff owned all of the equipment required to log TSL A66572 and A66573 and made significant expenditures on equipment repairs in fiscal 2006 on equipment that was not new and under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Mr. Tidball's stated assumptions as to the condition of the equipment in question were established through the testimony of Mr. Moulton, which I accept. I find his decision to have excluded equipment rental from operating expenses to have been generally sound, for his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I do not have evidence that the plaintiff owned all of the equipment necessary to undertake the variety of logging, oil and gas, and other work that it likely would have undertaken, had it not pursued work under the TSLs. Nevertheless, the amount expended on rentals in 2006 was relatively modest, and I find it was likely to have remained so in 2007. I assess the plaintiff's loss on the basis that it would have incurred equipment rental costs no higher than those incurred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I would also find that the relatively good condition of the plaintiff's equipment would possibly have had the incidental effect of limiting downtime and therefore improving efficiency. The likelihood of this is impossible to predict with any accuracy, as is its potential contribution to the "bottom line", but it is a factor to be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I assess the plaintiff's losses arising from the Province's failure to warn of Mr. Behn's intent to blockade the Canfor Road and interfere with the TSLs, at $1.75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CONCLUSION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The plaintiff is awarded damages as against the defendant Her Majesty the Queen in Right of the Province of British Columbia, of $1,750,000. The plaintiff is, in addition, entitled to court order interest on that amount from June 30,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The claims against all other defendants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The parties are at liberty to make submissions on costs. If all parties agree, submissions may be made in writing, by way of electronic copies being submitted as email attachments in .doc or .docx format, sent to my attention c/o Vancouver Supreme Court Scheduling. If the parties agree on this course, I would ask to be advised accordingly, with a schedule being provided to me as to the dates for submission of arguments by the plaintiff and the defendants, and the plaintiff's reply argument if any. If the parties do not agree that costs submissions are to be made in writing, a mutually convenient date for argument should be scheduled.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SAUNDERS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9" style="position:absolute;z-index:2518364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Paquette (Litigation guardian of) v. Surrey School District No. 36, [2014] B.C.J. No. 218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Sharma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20-23,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January 24,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S124827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85" w:history="1">
        <w:r>
          <w:rPr>
            <w:rFonts w:ascii="arial" w:eastAsia="arial" w:hAnsi="arial" w:cs="arial"/>
            <w:i/>
            <w:color w:val="0077CC"/>
            <w:sz w:val="20"/>
            <w:u w:val="single"/>
            <w:shd w:val="clear" w:color="auto" w:fill="FFFFFF"/>
            <w:lang w:val="en-US" w:eastAsia="en-US" w:bidi="ar-SA"/>
          </w:rPr>
          <w:t>2014 BCSC 205</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Owen Paquette, by his Litigation Guardian, Nancy Paquette, and the said Nancy Paquette, Plaintiffs, and The Board of School Trustees, School District No. 36 (Surrey),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0"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0" w:name="Keywords_24"/>
      <w:bookmarkEnd w:id="180"/>
      <w:r>
        <w:rPr>
          <w:rFonts w:ascii="arial" w:eastAsia="arial" w:hAnsi="arial" w:cs="arial"/>
          <w:b/>
          <w:color w:val="000000"/>
          <w:sz w:val="20"/>
          <w:lang w:val="en-US" w:eastAsia="en-US" w:bidi="ar-SA"/>
        </w:rPr>
        <w:t xml:space="preserve">Education law — Civil liabilities — Of school boards and schools — Injuries and property damage — On school premises — Physical injuries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Of school staff — Injuries and property damage — On school premises — Physical injuries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for personal injuries suffered by plaintiff when he fell off school roof allowed — Defendant was 75 per cent liable for failing to prevent children accessing roof via a tree in proximity to school roof — Plaintiff, 12, climbed tree and climbed onto school roof — He fell off as he tried to climb down — School had historic problem with youth getting onto roof after school hours — It was foreseeable that trees close to school might be used to access roof — No evidence of regular monitoring of potential access points to roof by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Plaintiff's knowledge of danger — Action for personal injuries suffered by plaintiff when he fell off school roof allowed — Defendant was 75 per cent liable for failing to prevent children accessing roof via a tree in proximity to school roof — Plaintiff, 12, climbed tree and climbed onto school roof — He fell off as he tried to climb down — School had historic problem with youth getting onto roof after school hours — It was foreseeable that trees close to school might be used to access roof — No evidence of regular monitoring of potential access points to roof by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Occupiers' liability — Duty of occupier — Knowledge of danger — Particular situations — Injury to children — Roofs — Action for personal injuries suffered by plaintiff when he fell off school roof allowed — Defendant was 75 per cent liable for failing to prevent children accessing roof via a tree in proximity to school roof — Plaintiff, 12, climbed tree and climbed onto school roof — He fell off as he tried to climb down — School had historic problem with youth getting onto roof after school hours — It was foreseeable that trees close to school might be used to access roof — No evidence of regular monitoring of potential access points to roof by defendant.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1" w:name="Case Summary_23"/>
            <w:bookmarkEnd w:id="18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personal injuries suffered by the plaintiff when he fell off the school roof. The plaintiff admitted being partially liable. The plaintiff was a grade seven student at the school. He and a friend decided to go onto the school roof after school by climbing a cherry tree located close to the school. The plaintiff admitted that he knew he should not go on the roof and that he understood that he would get into trouble and get punished if he was caught. The vice principal saw the boys on the roof from his office and told them to get off the roof. He then went outside to investigate but could not see anyone on the roof. Realizing that someone knew they were on the roof, the boys decided to exit the roof. The plaintiff lost his grip on the roof. He slipped and then fell onto a cement surface at the bottom of a stairwell, a total distance of about 20 or 21 feet. The school had a historic problem with youth getting onto its roof after school hours.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2" w:name="Holdings of Court_23"/>
            <w:bookmarkEnd w:id="182"/>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was 75 per cent liable for failing to take action to prevent children accessing the roof via the cherry tree or any other tree in similar proximity to the school roof. It was foreseeable that trees close to the school might be used to access the roof. It was common sense that if a child could get onto a roof, it was reasonably foreseeable that the child might fall off that roof and get badly injured. There was no evidence of regular monitoring of potential access points to the school roof by the defendant. The evidence demonstrated that if the defendant took any action in response to knowing youth had been on the roof, it was only reactive and ad hoc. Taking into account all the circumstances of this case, it was unreasonable that the defendant allowed the cherry tree to grow so close to the school's roof. Given the circumstances at this particular school, a reasonable person would foresee that the cherry tree or any other tree in similar proximity to the school roof might be used by kids to climb onto the roof. The defendant was liable for not taking reasonable actions to prevent children accessing the school roof via the cherry tree.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3" w:name="Legislation Cited_16"/>
      <w:bookmarkEnd w:id="18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1"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686" w:history="1">
        <w:r>
          <w:rPr>
            <w:rFonts w:ascii="arial" w:eastAsia="arial" w:hAnsi="arial" w:cs="arial"/>
            <w:i/>
            <w:color w:val="0077CC"/>
            <w:sz w:val="20"/>
            <w:u w:val="single"/>
            <w:shd w:val="clear" w:color="auto" w:fill="FFFFFF"/>
            <w:lang w:val="en-US" w:eastAsia="en-US" w:bidi="ar-SA"/>
          </w:rPr>
          <w:t>RSBC 1996, CHAPTER 337, s. 3</w:t>
        </w:r>
      </w:hyperlink>
      <w:r>
        <w:rPr>
          <w:rFonts w:ascii="arial" w:eastAsia="arial" w:hAnsi="arial" w:cs="arial"/>
          <w:color w:val="000000"/>
          <w:sz w:val="20"/>
          <w:lang w:val="en-US" w:eastAsia="en-US" w:bidi="ar-SA"/>
        </w:rPr>
        <w:t>(1)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4" w:name="Counsel_25"/>
      <w:bookmarkEnd w:id="18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2" style="position:absolute;z-index:251787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Moulton.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J.A. Dowler.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5" w:name="Judgment_25"/>
      <w:bookmarkEnd w:id="185"/>
      <w:r>
        <w:pict>
          <v:line id="_x0000_s1153" style="position:absolute;z-index:2518374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6" w:name="N. SHARMA J. (orally)"/>
            <w:bookmarkEnd w:id="186"/>
            <w:r>
              <w:rPr>
                <w:rFonts w:ascii="arial" w:eastAsia="arial" w:hAnsi="arial" w:cs="arial"/>
                <w:b/>
                <w:color w:val="000000"/>
                <w:sz w:val="30"/>
                <w:lang w:val="en-US" w:eastAsia="en-US" w:bidi="ar-SA"/>
              </w:rPr>
              <w:t>N. SHARMA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issue in this case is whether the defendant Board of School Trustees is liable to the plaintiff, Owen Paquette, for injuries he suffered when he fell off the roof of Peace Arch Elementary school on March 4, 2008. The plaintiff alleges the defendant was negligent and breached its duties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The plaintiff acknowledges partial liability but submits the defendant should be found between 60-75% liable for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denies liability and says the plaintiff is wholly responsible for the injuries he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Disposition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For the following reasons, I find the defendant has not satisfied its duties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and is 75% liable for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Facts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Climbing onto and being on the school roof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Owen Paquette was a student in grade seven at Peace Arch Elementary school and was 12 years old in March 2008. He was the tallest student in his grade, measuring between 5'8" and 5'10". After school on March 4, 2008, Owen and his friend Jordan Dyck went to Jordan's house to drop off their things. They returned to school to play basketball, something they often did. After playing a bit of basketball, they ran into Dean Coleridge, a student in grade six. They had a brief discussion and then Jordan and Owen decided they would go onto the school roof by climbing a cherry tree located close to the school. Owen testified that Dean told them about using the cherry tree as an access point to the roof, and that he had discussed this with Dean on at least one prior occasion. Dean could not recall those conversations. They climbed the tree after school had ended for the day and when there was no supervision of the playground or outer areas of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Jordan climbed up first and Owen followed. Owen had never been on the roof of the school before. Owen testified that he decided to climb onto the roof because he thought it would be fun. He and Jordan had no specific plans about what to do once on the roof; nor did they have a plan for getting off the roof. Owen admitted that he knew he should not go on the roof and that he understood that he would get into trouble and get punished if he was caught.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cherry tree they climbed is on the south west side of a part of the school referred to as "pod" 300. A pod is a standalone building close to other parts of the school. Peace Arch Elementary school is comprised of four pods and all but pod 100 are connected to each other by covered walkways that function like an outdoor hallway. Pods 200, 300 and 400 roughly form a "U" shape such that there is a courtyard in the middle.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cherry tree is almost the same height as the roof of pod 300. There is about 12 inches between the roof and the edge of the branch nearest it. The top branches have an umbrella shape, meaning smaller branches droop down a bit. Based on one photograph in evidence that looks up at the branches from near the main trunk, there is at least one branch that is thicker and more sturdy than the others around it. The end of that particular branch is approximately 12 inches from the roof and the branch is about 12 inches long. There is a joint between that branch and the trunk (or possibly another branch; it is not clear from the photograph). This joint is a bit thicker than the branch itself and is about two feet from the edge of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parties differ on whether it was easy or difficult for Owen to scale the tree and get onto the roof. The defendant says the evidence establishes that the tree was shaking as he climbed it, and he had a "fair jump" from the branch to the roof and that he landed on the roof on his tummy and then had to shimmy to pull himself fully onto the roof. None of these facts are inconsistent with it being easy for Owen to have climbed the tree and got on the roof. He testified that in his mind there was "zero chance" the tree would break as he climbed it. Remembering that Owen was at least 5'8" tall and, by all accounts, a typical 12 year old boy who had previously climbed trees, I accept his evidence that he climbed the tree easily and with little effort.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Once on the roof the boys eventually traversed eastwards, first along the top of the covered hallway which connects pod 300 to pod 200 and then along the hallway that connects pod 200 to pod 400. When they decided to get down from the roof, they chose to go to the southeast corner of pod 400. Along the south side on the ground at that corner of the building there is a gated, locked wire fence which encages a cement stairway. The stairway is eight or nine feet deep and leads down to a door that gives access to a crawl space underneath pod 400 that is not currently being used by the school. The top of the wire fence is about seven feet from below the roof. The roof is approximately 12 feet high; thus, the wire fence must be approximately five feet high. The wire fence enclosing the stairwell juts out from the roof line by about 13 inches. The top of the wire cage thus offers a ledge about half way between the roof and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While the two boys were on the roof, Dean followed their movements from the ground. That is to say, he travelled from near the cherry tree, to the outdoor hallway between pods 200 and 300 and then eastwards and slightly north to the end behind the library.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Interaction with Vice Principal Helland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During this time, Vice Principal Brad Helland was in his office in pod 200 which had a window facing south into the courtyard. He testified that he was startled when he heard running on the roof. He testified he called out from his open window in a loud, firm and directive voice saying: "Hey, get off the roof!", or words to that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is a dispute between the parties about the timing of the running in relation to his yell. Owen testified they only started running after they heard Mr. Helland yell whereas Mr. Helland claims it was the sound of running that alerted him to there being someone on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Nothing of significance turns on this difference. There is also a possible explanation for the differing accounts. It may have the boys' landing onto the roof which Mr. Helland mistook for the sound of running, a completely understandable mistake. I have inferred this possibility from the testimony of Ms. Paquette who said Mr. Helland told her he heard "thumping" on the roof just before he yelled out his open window. However, I cannot make that finding because it was not put to Mr. Helland. Regardless, it does not matter because nothing significant turns on the timing of the boys' running in relation to Mr. Helland's yell.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any event, Mr. Helland was concerned that someone was on the roof who was not authorized to be there. He exited the building and went to the courtyard, trying to see who was on the roof. He could not see anyone so he then proceeded eastward, ending up behind the library. At this point he ran into Dean and asked him, among other things, if Dean knew who was on the roof. Dean said he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Realizing that Mr. Helland knew someone was on the roof, the boys decided to exit the roof from the southeast corner, where the gated cement stairwell is located. Owen testified that they chose that exit point because it looked to be both the easiest and safest. He said, from his point of view, it was also the only way he could see to get down other than the cherry tree. It was suggested to Owen in cross-examination that the boys were actually looking for the route furthest away from the office in order to reduce the risk of being caught. However, Owen insisted that ease and safety were his primary concerns. This is inconsistent with Owen's evidence given on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find that when exiting the roof, Owen was motivated primarily, if not exclusively, by the desire not to get caught and thus into trouble. The boys had a strong incentive to put as much distance between themselves and Mr. Helland because they knew what they were doing was wrong and would get them into trouble. Owen admitted to running after he heard Mr. Helland's yell. These events must have been unfolding very quickly. In my mind it is probably that 12 year old boys who are up to mischief would want to try and get away with it. Indeed, there might be something unusual if I was being urged to find the boys were not worried at all about getting caught but that was not Owen's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this point, Jordan hung down from the edge of the roof, presumably placed his feet on the top of the wire fence, and safely jumped to the ground. Unfortunately Owen lost his grip on the roof. He slipped and then fell all the way onto a cement surface at the bottom of the stairwell, a total distance of about 20 or 21 feet. Because the gate was locked and no key could be found in time to open it, firefighters attending the scene had to break open the lock to get access to him. An ambulance was called and he was taken to Peace Arch Hospital where he was treated for his injuries and was admitted for at least two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Helland testified that about the time he was questioning Dean, Jordan appeared. Jordan was white as a ghost and told them Owen had fallen. They went to the stairwell and saw Owen at the bottom in obvious pain and distress. Another teacher was already at the scene and calling 911 on a cell phone. Mr. Helland did not have the key to the gate on his key chain so he ran to the office to look for it, and also to get someone to contact Owen's mother, Nancy Paquette. She was contacted and she then contacted her partner and Owen's stepfather, Tony Delavalle. They both made their way to the hospital to see Owen.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Helland filled out an incident report and that evening went to the hospital to check on Owen's condition. He had a conversation with both Ms. Paquette and Mr. Delavalle. All agree that Mr. Helland was apologetic and concerned about Owen's condition. Mr. Helland testified this accident was the worst he has had to deal with in his teaching career.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March 26 and 27,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Paquette and Mr. Delavalle went to the school on March 26 hoping to run into either the principal or Mr. Helland because their efforts until then to have a meeting about the accident had not been successful. I note that between March 4 and March 26 there were two weeks of Spring Break.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evidence regarding what happened on March 26 differs somewhat, but by all accounts Ms. Paquette and Mr. Delavalle ran into Mr. Helland, who showed them both the cherry tree and the cement stairwell where Owen fell. Mr. Helland says that he specifically showed them the "door jam" access point which he only learned about when interviewing Dean the day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Delavalle testified that Mr. Helland gave them a complete tour of the school and pointed out numerous possible access points to the roof. Mr. Helland denies this and insists he only showed them the tree, stairwell and door jam. As Ms. Paquette's evidence is inconsistent with Mr. Helland's evidence, I prefer Mr. Helland's evidence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That being said, it matters little because Mr. Delavalle returned to the school the next day and took photographs depicting a number of points where someone could attempt to climb onto the roof. These photographs were entered into evidence by consent and there was no dispute about what they depicted.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Mr. Hurd's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Hurd was the principal of Peace Arch Elementary School from 1999 until 2009. He testified about numerous occasions where he believed people had been on the roof, based either on what he saw or what he was told.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one occasion, students reported to him that youth were partying on the school roof over the weekend. He also recalls either the former principal or a teacher telling him the school had a problem with kids going on the roof. This explained why when he first arrived at the school as principal, a board was placed perpendicular to the roof at one potential access point, in an attempt to block access to the roof. Mr. Hurd felt that the board was insufficient to prevent access and he got it widened. On another occasion students at the school told him their older brother had been on the roof. He then called and spoke with the boys' mother, telling her that being on the roof was unsafe. He also told the court about occasions when the school would be colder than normal on a Monday morning. Upon inspecting the furnaces, which were located on the roof, maintenance workers told him the gas had been shut off. The only way to shut off the gas was to go up onto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Hurd could not know how the roof was accessed where he was simply told that someone had been on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two occasions Mr. Hurd witnessed people on the roof. In neither case were they students at the school. Mr. Hurd estimated them to be older teenagers. On one of these occasions he saw a youth in a coniferous tree close to the school and another youth on the roof. He told them to get down and the one on the roof jumped back onto the tree and climbed down. After this incident he asked for two trees to be removed, the one he had seen the youths in and another in a different area but that was similarly proximate to the school. In the other incident he witnessed a teenager on the roof who was the older brother of a student at the school. That boy's father was at the school and told him to get down, which he did by jumping directly to the courtyard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Issues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There is one issue in this case: did the defendant discharge its duties under s. 3(1)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To decide that issue I need to answer two questions</w:t>
      </w:r>
      <w:r>
        <w:rPr>
          <w:rFonts w:ascii="arial" w:eastAsia="arial" w:hAnsi="arial" w:cs="arial"/>
          <w:sz w:val="20"/>
          <w:lang w:val="en-US" w:eastAsia="en-US" w:bidi="ar-SA"/>
        </w:rPr>
        <w:cr/>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it reasonable in all the circumstances for the defendant to allow the cherry tree to be in close proximity to the school roof, and;</w:t>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Helland's interaction with the boys when they were on the roof contribute to Owen's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There is no dispute about the guiding legal principles, which are helpfully summarized in </w:t>
      </w:r>
      <w:r>
        <w:rPr>
          <w:rFonts w:ascii="arial" w:eastAsia="arial" w:hAnsi="arial" w:cs="arial"/>
          <w:i/>
          <w:color w:val="000000"/>
          <w:sz w:val="20"/>
          <w:lang w:val="en-US" w:eastAsia="en-US" w:bidi="ar-SA"/>
        </w:rPr>
        <w:t>Bendzak v. Bohnet</w:t>
      </w:r>
      <w:r>
        <w:rPr>
          <w:rFonts w:ascii="arial" w:eastAsia="arial" w:hAnsi="arial" w:cs="arial"/>
          <w:color w:val="000000"/>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2013 BCSC 435</w:t>
        </w:r>
      </w:hyperlink>
      <w:r>
        <w:rPr>
          <w:rFonts w:ascii="arial" w:eastAsia="arial" w:hAnsi="arial" w:cs="arial"/>
          <w:color w:val="000000"/>
          <w:sz w:val="20"/>
          <w:lang w:val="en-US" w:eastAsia="en-US" w:bidi="ar-SA"/>
        </w:rPr>
        <w:t xml:space="preserve"> at paras. 41-48. Paraphrasing those passages, the following points are pertinent to this case:</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3(1)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is a comprehensive code and common law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need not be considered in determining whether the duty of care has been met;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occupier is not held to a standard of perfection; an occupier is not an insurer against any possible risk of harm;</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is whether the defendant's actions were reasonable in all the circumstances; the test is not whether </w:t>
      </w:r>
      <w:r>
        <w:rPr>
          <w:rFonts w:ascii="arial" w:eastAsia="arial" w:hAnsi="arial" w:cs="arial"/>
          <w:i/>
          <w:color w:val="000000"/>
          <w:sz w:val="20"/>
          <w:lang w:val="en-US" w:eastAsia="en-US" w:bidi="ar-SA"/>
        </w:rPr>
        <w:t>anything at all</w:t>
      </w:r>
      <w:r>
        <w:rPr>
          <w:rFonts w:ascii="arial" w:eastAsia="arial" w:hAnsi="arial" w:cs="arial"/>
          <w:color w:val="000000"/>
          <w:sz w:val="20"/>
          <w:lang w:val="en-US" w:eastAsia="en-US" w:bidi="ar-SA"/>
        </w:rPr>
        <w:t xml:space="preserve"> could have been done to prevent injury but whether the defendant's actions were reasonable in all the circumstances;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general class or nature of the harm suffered in the circumstances must have been reasonably foreseeable, although the exact type of injury suffered need not have been foreseen;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It is also undisputed that decisions made under s. 3(1)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are fact-intensive and require a contextual analysis. As such, the degree to which a previous case will be helpful depends, perhaps to a greater extent than in some other areas of the law, on the similarity of facts to the case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Discussion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Liability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Cherry Tree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defendant contends that it met the duty of care owed under s. 3(1)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and raises a number of arguments in support of this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First, the defendant says there was no way for it to anticipate that Owen would use the cherry tree to access the roof because there was no evidence that the cherry tree had actually been used for that purpose in the past. Rather, there was only evidence that it was rumoured that the tree had been used in that way. Second, in its written submission, the defendant says that "it satisfied its standard of care by regular monitoring the conditions at Peace Arch Elementary" and taking reasonable steps to remove ALL access points of which they were aware keep students and others reasonably safe. As such, the defendant says it could not have reasonably foreseen Owen's injuries and is therefore not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am not persuaded by the defendant's submissions on this point. I note first that the defendant's written submissions overstate the evidence somewhat in suggesting monitoring was regular and that all access points of which it was aware were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First, most of the time the defendant knew people had been on the school roof, the defendant did not know how they got there. The lack of evidence about people having previously used the cherry tree to access the roof is, therefore, unsurprising. On one occasion the defendant did know that someone climbed a tree close to the school to access the roof. As Mr. Hurd rightfully conceded, a tree close to the school will tempt kids to climb it and get onto the roof. I conclude it was foreseeable that trees close to the school might be used to access the roof. It is simple common sense that if a child can get onto a roof, it is reasonably foreseeable that the child might fall off that roof and get badly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Second, there was no evidence of "regular monitoring" of potential access points to the school roof. If there was at any time either a schedule of routine inspection or an assessment of trees proximate to the school that could potentially provide access to the roof, I would have expected that to be put into evidence as it would have clearly been material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Instead, the evidence demonstrates that if the defendant took any action in response to knowing youth had been on the roof, it was only reactive and ad hoc. This was despite the fact that there were numerous possible access points to the roof, as depicted in Mr. Delavalle's photographs.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Hurd's evidence establishes that this school had a problem with youth getting onto its roof. The numerous incidents he recalls confirm that this problem was known to the principal, teachers, maintenance workers, students and their families and others. Despite this, there is no evidence that the defendant required anyone to turn their mind to whether any trees were growing too close to the school roof and providing the access that allowed for this problem to persist.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making these findings, I am mindful that the defendant is not expected to be perfect and that it would be impossible to completely prevent anyone getting on the school roof other than in an authorized fashion. However, taking into account all the circumstances of this case, it was unreasonable that the defendant allowed the cherry tree to grow so close to the school's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 also argues it should not be held liable because most, if not all, other instances of people being on the roof occurred on the weekend and probably involved teenagers. The problem with that submission is the issue in this case is not about when the roof was accessed. Rather, the issue is whether the defendant's actions in relation to possible roof access points were reasonable. The school is a permanent structure and its grounds are open to the public. When the roof was accessed is immaterial to the determination of whether the defendant acted reasonably in allowing the cherry tree to grow so close to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same reasoning can be applied to the defendant's argument that it was likely only older, non-students who had been on the roof previously. I note the evidence about the age of the people on the roof on weekends was obviously speculative, except for the two instances Mr. Hurd witnessed. It would be imprudent to place significant weight on this point when the evidence is not conclusive. But even if it was proven that all prior incidents involved teenagers, I do not find that that fact would support a conclusion that this accident was not foreseeable. If there are numerous instances of teenagers being on the roof, the elementary school students would know about it. This inference is confirmed by Mr. Hurd's evidence that he received reports from his students about people on the roof during weekends. It is common sense that if students know that older youth have been on the roof, they may be tempted to do the same. More than one witness agreed that tree climbing is a normal part of childhood.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Hurd testified he was surprised that was how the boys got on the roof because he thought the tree was flimsy. As noted above, I have found the cherry tree had a study branch close to the roof. More importantly, in my view a reasonable person understands that a child might try climbing any tree close to the roof, flimsy or not. Owen was a 12 year old boy. Children act impulsively, with little forethought about the consequences of their actions and with limited insight. Put more simply, reasonable people foresee that children can and often do stupid things that are dangerous even when they know they shouldn't.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am not suggesting that the inherent nature of childhood means an occupier is liable for anything that a child might do. As always, each case must be assessed in context, reviewing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Given the circumstances at this particular school, a reasonable person would foresee that the cherry tree (or any other tree in similar proximity to the school roof) might be used by kids to climb onto the roof. As such, the defendant is liable for not taking reasonable actions to prevent children accessing the school roof via the cherry tree.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Helland's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am satisfied the defendant is liable based on the above finding alone. However, the plaintiff also argues that Mr. Helland's conduct contributed to Owen's injuries and Mr. Helland ought to have known that injury could result when he reacted as he did. Although it is unnecessary to do so, I will consider the argument about Mr. Helland's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argues that by yelling in an angry voice and telling the kids to get off rather than calmly telling them to wait for instructions for a safe exit, Mr. Helland acted unreasonably and contributed to Owen's injuries. I do not agree. Children doing something wrong and at risk of being discovered but not yet caught are likely to flee regardless of what a teacher says. For that reason alone, I do not find that Mr. Helland's conduct contributed to Owen's injuries. Thus the defendant is not liable on this basis.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accepts that he must bear some responsibility for his injuries because he climbed the roof knowing he should not. The plaintiff submits the defendant is between 60-75%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approach to determining apportionment is set out in </w:t>
      </w:r>
      <w:r>
        <w:rPr>
          <w:rFonts w:ascii="arial" w:eastAsia="arial" w:hAnsi="arial" w:cs="arial"/>
          <w:i/>
          <w:color w:val="000000"/>
          <w:sz w:val="20"/>
          <w:lang w:val="en-US" w:eastAsia="en-US" w:bidi="ar-SA"/>
        </w:rPr>
        <w:t>Cempel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Harrison Hot Springs Hotel Ltd</w:t>
      </w:r>
      <w:r>
        <w:rPr>
          <w:rFonts w:ascii="arial" w:eastAsia="arial" w:hAnsi="arial" w:cs="arial"/>
          <w:color w:val="000000"/>
          <w:sz w:val="20"/>
          <w:lang w:val="en-US" w:eastAsia="en-US" w:bidi="ar-SA"/>
        </w:rPr>
        <w:t xml:space="preserve">.(1997), </w:t>
      </w:r>
      <w:hyperlink r:id="rId35" w:history="1">
        <w:r>
          <w:rPr>
            <w:rFonts w:ascii="arial" w:eastAsia="arial" w:hAnsi="arial" w:cs="arial"/>
            <w:i/>
            <w:color w:val="0077CC"/>
            <w:sz w:val="20"/>
            <w:u w:val="single"/>
            <w:shd w:val="clear" w:color="auto" w:fill="FFFFFF"/>
            <w:lang w:val="en-US" w:eastAsia="en-US" w:bidi="ar-SA"/>
          </w:rPr>
          <w:t>43 B.C.L.R. (3d) 219</w:t>
        </w:r>
      </w:hyperlink>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1997 CanLII 2374</w:t>
        </w:r>
      </w:hyperlink>
      <w:r>
        <w:rPr>
          <w:rFonts w:ascii="arial" w:eastAsia="arial" w:hAnsi="arial" w:cs="arial"/>
          <w:color w:val="000000"/>
          <w:sz w:val="20"/>
          <w:lang w:val="en-US" w:eastAsia="en-US" w:bidi="ar-SA"/>
        </w:rPr>
        <w:t xml:space="preserve"> (C.A.) at paras. 18-19. Speaking for the majority, Lambert J.A.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I believe the trial judge's choice of words and the syntax of the last two sentences indicate that the reason that the plaintiff was required to pay 75% of her own loss was that she was "primarily the author of her own misfortune". I consider that the trial judge reached his conclusion on apportionment by deciding that the apportionment should be based on an assessment of relative degrees of causation as between the plaintiff as an active causative force at the moment of the injury and the defendant as a passive causative force at the moment of the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I think that such an approach to apportionment is wrong in law.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requires that the apportionment must be made on the basis of "</w:t>
      </w:r>
      <w:r>
        <w:rPr>
          <w:rFonts w:ascii="arial" w:eastAsia="arial" w:hAnsi="arial" w:cs="arial"/>
          <w:color w:val="000000"/>
          <w:sz w:val="20"/>
          <w:u w:val="single"/>
          <w:lang w:val="en-US" w:eastAsia="en-US" w:bidi="ar-SA"/>
        </w:rPr>
        <w:t>the degree</w:t>
      </w:r>
      <w:r>
        <w:rPr>
          <w:rFonts w:ascii="arial" w:eastAsia="arial" w:hAnsi="arial" w:cs="arial"/>
          <w:color w:val="000000"/>
          <w:sz w:val="20"/>
          <w:lang w:val="en-US" w:eastAsia="en-US" w:bidi="ar-SA"/>
        </w:rPr>
        <w:t xml:space="preserve"> to which each person was </w:t>
      </w:r>
      <w:r>
        <w:rPr>
          <w:rFonts w:ascii="arial" w:eastAsia="arial" w:hAnsi="arial" w:cs="arial"/>
          <w:color w:val="000000"/>
          <w:sz w:val="20"/>
          <w:u w:val="single"/>
          <w:lang w:val="en-US" w:eastAsia="en-US" w:bidi="ar-SA"/>
        </w:rPr>
        <w:t>at fault</w:t>
      </w:r>
      <w:r>
        <w:rPr>
          <w:rFonts w:ascii="arial" w:eastAsia="arial" w:hAnsi="arial" w:cs="arial"/>
          <w:color w:val="000000"/>
          <w:sz w:val="20"/>
          <w:lang w:val="en-US" w:eastAsia="en-US" w:bidi="ar-SA"/>
        </w:rPr>
        <w:t xml:space="preserve">". It does not say that the apportionment should be on the basis of the degree to which each person's fault </w:t>
      </w:r>
      <w:r>
        <w:rPr>
          <w:rFonts w:ascii="arial" w:eastAsia="arial" w:hAnsi="arial" w:cs="arial"/>
          <w:color w:val="000000"/>
          <w:sz w:val="20"/>
          <w:u w:val="single"/>
          <w:lang w:val="en-US" w:eastAsia="en-US" w:bidi="ar-SA"/>
        </w:rPr>
        <w:t>caused</w:t>
      </w:r>
      <w:r>
        <w:rPr>
          <w:rFonts w:ascii="arial" w:eastAsia="arial" w:hAnsi="arial" w:cs="arial"/>
          <w:color w:val="000000"/>
          <w:sz w:val="20"/>
          <w:lang w:val="en-US" w:eastAsia="en-US" w:bidi="ar-SA"/>
        </w:rPr>
        <w:t xml:space="preserve"> the damage. So we are not assessing degrees of causation, we are assessing degrees of fault. In this context, "fault" means blameworthiness. So it is a gauge of the amount by which each proximate and effective causative agent fell short of the standard of care that was required of that person in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critical factor to consider is "fault" or blameworthiness, rather than assessing the degree to which a plaintiff is the author of his or her own misfortune.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understand the defendant to argue that because Mr. Helland's conduct did not contribute to Owen's injuries, liability can be avoided. I agree that Mr. Helland's conduct did not contribute to Owen's injuries, however I stated earlier that I find the defendant liable irrespective of Mr. Helland's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such, I am assessing the defendant's blameworthiness for failing to take action to prevent children accessing the roof via the cherry tree, or any other tree in similar proximity to the school roof. For the defendant's fault in this regard I find the defendant 75%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SHARMA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4"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94" w:history="1">
        <w:r>
          <w:rPr>
            <w:rFonts w:ascii="arial" w:eastAsia="arial" w:hAnsi="arial" w:cs="arial"/>
            <w:b/>
            <w:bCs/>
            <w:i/>
            <w:color w:val="0077CC"/>
            <w:kern w:val="32"/>
            <w:sz w:val="28"/>
            <w:szCs w:val="32"/>
            <w:u w:val="single"/>
            <w:shd w:val="clear" w:color="auto" w:fill="FFFFFF"/>
            <w:lang w:val="en-US" w:eastAsia="en-US" w:bidi="ar-SA"/>
          </w:rPr>
          <w:t>Reimer v. Rooster's Country Cabaret Ltd., [2013] B.C.J. No. 2663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R.W. Jenkins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4-8 and August 30,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3,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S124951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2663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2211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Jacob Aidan Reimer, Plaintiff, and Rooster's Country Cabaret Ltd., Timothy Spry, Sam Turnau and John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5"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7" w:name="Keywords_25"/>
      <w:bookmarkEnd w:id="187"/>
      <w:r>
        <w:rPr>
          <w:rFonts w:ascii="arial" w:eastAsia="arial" w:hAnsi="arial" w:cs="arial"/>
          <w:b/>
          <w:color w:val="000000"/>
          <w:sz w:val="20"/>
          <w:lang w:val="en-US" w:eastAsia="en-US" w:bidi="ar-SA"/>
        </w:rPr>
        <w:t>Damages — For torts — Affecting person — Assault — Action for damages for assault and battery against defendant night club and one of its security personnel allowed — Security personnel were entitled to deny to plaintiff entry into club and to physically remove him — However, sole security guard who was identified as assaulting plaintiff was liable and club was vicariously liable for beating inflicted on plaintiff — There was no justification for this conduct — Plaintiff was awarded non-pecuniary damages of $15,000, aggravated damages of $3,000 and punitive damages of $20,000.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and psychological injuries — Head injuries — Nose — Jaw — Teeth — Action for damages for assault and battery against defendant night club and one of its security personnel allowed — Security personnel were entitled to deny to plaintiff entry into club and to physically remove him — However, sole security guard who was identified as assaulting plaintiff was liable and club was vicariously liable for beating inflicted on plaintiff — There was no justification for this conduct — Plaintiff was awarded non-pecuniary damages of $15,000, aggravated damages of $3,000 and punitive damages of $20,000.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Non-pecuniary loss — Exemplary or punitive damages — Where high-handed, malicious, arbitrary or highly-reprehensible misconduct — Aggravated damages — Action for damages for assault and battery against defendant night club and one of its security personnel allowed — Security personnel were entitled to deny to plaintiff entry into club and to physically remove him — However, sole security guard who was identified as assaulting plaintiff was liable and club was vicariously liable for beating inflicted on plaintiff — There was no justification for this conduct — Plaintiff was awarded non-pecuniary damages of $15,000, aggravated damages of $3,000 and punitive damages of $20,000.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Trespass — To person — Assault — Battery — Action for damages for assault and battery against defendant night club and one of its security personnel allowed — Security personnel were entitled to deny to plaintiff entry into club and to physically remove him — However, sole security guard who was identified as assaulting plaintiff was liable and club was vicariously liable for beating inflicted on plaintiff — There was no justification for this conduct — Plaintiff was awarded non-pecuniary damages of $15,000, aggravated damages of $3,000 and punitive damages of $20,000.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Vicarious liability — Liability of employer for acts of employee — Action for damages for assault and battery against defendant night club and one of its security personnel allowed — Security personnel were entitled to deny to plaintiff entry into club and to physically remove him — However, sole security guard who was identified as assaulting plaintiff was liable and club was vicariously liable for beating inflicted on plaintiff — There was no justification for this conduct — Plaintiff was awarded non-pecuniary damages of $15,000, aggravated damages of $3,000 and punitive damages of $20,000.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8" w:name="Case Summary_24"/>
            <w:bookmarkEnd w:id="18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Jacob Reimer against the defendants Rooster's Country Cabaret Ltd., Timothy Spry and Sam Turnau for damages for assault and battery. Reimer, who was intoxicated, attempted to enter Rooster's, which was night club, with a male friend and two female friends. Turnau and Spry were security personnel at Rooster's when the incident happened. Reimer was denied entry because he tried to smuggle in a can of beer and he was removed by two security personnel after he became aggressive. After being ejected Reimer and his male friend walked to a nearby area. In the interim the assistant manager of Rooster's told Turnau to hold Reimer and to get someone to call the police. Moments later, Reimer was beaten by more than one person and he sustained serious injuries. The reason for the beating was alleged to be that Turnau and other security staff detained Reimer to hold him until the police arrived. When the police arrived Turnau and Spry were arrested as they were identified as being two of the assailants. Reimer sought damages against the assailants and vicariously against their employer Rooster's. He also sought damages from Rooster's for their negligent policy of detaining patrons while awaiting the arrival of police.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9" w:name="Holdings of Court_24"/>
            <w:bookmarkEnd w:id="189"/>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Reimer breached the Liquor Control and Licensing Act when he tried to take a can of beer into Rooster's and security personnel were entitled to require Reimer to leave. They were also entitled to use reasonable force to remove Reimer when he did not leave when requested to do so. However, Turnau and the other security personnel used excessive force to subdue Reimer and they deliberately set out to inflict serious harm on Reimer. Thus, the torts of assault and battery were made out. The assistant manager was negligent in sending his staff to find Reimer and to detain him. Turnau was the only security staff member who was liable because he was only one who could be identified as having beaten Reimer. Rooster's was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staff and for the assault and battery inflicted by Turnau and the other security staff. Rooster's was also directly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assault on Reimer. There was no reasonable justification for the security staff to hunt down Reimer in the parking lot and for the assault that they inflicted upon him. Reimer suffered many head injuries and he sustained many lacerations to his head, his forehead and to his nose. He lost an upper tooth and he had a sore jaw. Over the months that followed Reimer was able to return to his normal activities. Reimer was awarded non-pecuniary damages of $15,000. He was awarded special damages of $3,693 for the cost of dental surgery to replace his upper tooth. The Minister of Health was awarded $3,103 for the health care costs incurred to treat Reimer's injuries. Reimer was awarded aggravated damages of $3,000 for the humiliation he suffered as a result of the assault. He was also awarded, against Rooster's and Turnau, punitive damages of $20,000 for the beating which was unnecessary and was totally unacceptable.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0" w:name="Legislation Cited_17"/>
      <w:bookmarkEnd w:id="19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6"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Criminal Code, </w:t>
      </w:r>
      <w:hyperlink r:id="rId498"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Health Care Costs Recovery Act, </w:t>
      </w:r>
      <w:hyperlink r:id="rId695" w:history="1">
        <w:r>
          <w:rPr>
            <w:rFonts w:ascii="arial" w:eastAsia="arial" w:hAnsi="arial" w:cs="arial"/>
            <w:i/>
            <w:color w:val="0077CC"/>
            <w:sz w:val="20"/>
            <w:u w:val="single"/>
            <w:shd w:val="clear" w:color="auto" w:fill="FFFFFF"/>
            <w:lang w:val="en-US" w:eastAsia="en-US" w:bidi="ar-SA"/>
          </w:rPr>
          <w:t>SBC 2008, CHAPTER 27, s. 16</w:t>
        </w:r>
      </w:hyperlink>
      <w:r>
        <w:rPr>
          <w:rFonts w:ascii="arial" w:eastAsia="arial" w:hAnsi="arial" w:cs="arial"/>
          <w:color w:val="000000"/>
          <w:sz w:val="20"/>
          <w:lang w:val="en-US" w:eastAsia="en-US" w:bidi="ar-SA"/>
        </w:rPr>
        <w:t>, s.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Liquor Control and Licensing Act, </w:t>
      </w:r>
      <w:hyperlink r:id="rId696" w:history="1">
        <w:r>
          <w:rPr>
            <w:rFonts w:ascii="arial" w:eastAsia="arial" w:hAnsi="arial" w:cs="arial"/>
            <w:i/>
            <w:color w:val="0077CC"/>
            <w:sz w:val="20"/>
            <w:u w:val="single"/>
            <w:shd w:val="clear" w:color="auto" w:fill="FFFFFF"/>
            <w:lang w:val="en-US" w:eastAsia="en-US" w:bidi="ar-SA"/>
          </w:rPr>
          <w:t>RSBC 1996, CHAPTER 267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1" w:name="Counsel_26"/>
      <w:bookmarkEnd w:id="19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7"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 Morishita.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W.D. Murdoch.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2" w:name="Judgment_26"/>
      <w:bookmarkEnd w:id="192"/>
      <w:r>
        <w:pict>
          <v:line id="_x0000_s1158" style="position:absolute;z-index:2518384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3" w:name="R.W. JENKINS J."/>
            <w:bookmarkEnd w:id="193"/>
            <w:r>
              <w:rPr>
                <w:rFonts w:ascii="arial" w:eastAsia="arial" w:hAnsi="arial" w:cs="arial"/>
                <w:b/>
                <w:color w:val="000000"/>
                <w:sz w:val="30"/>
                <w:lang w:val="en-US" w:eastAsia="en-US" w:bidi="ar-SA"/>
              </w:rPr>
              <w:t>R.W. JENKINS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the evening of September 12, 2009, Jacob Reimer consumed almost a dozen cans of beer and at approximately 1:00 a.m. the next morning, entered a night club known as Rooster's Country Cabaret Ltd. ("Rooster's"), which is located in a small shopping center in Pitt Meadows, B.C. At the time, Mr. Reimer was with his friend, Ryan Murchie, and two young women, all of whom had also been drinking alcohol, although not as excessively as had Mr. Reimer.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After being denied entry into Rooster's for concealing a can of beer in his cargo shorts, Mr. Reimer became very animated and aggressive. As a result, he was physically removed by two security personnel employed by Rooster's.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After being ejected, Mr. Reimer and Mr. Murchie walked to an area of the parking lot approximately 100 feet from the entrance of Rooster's. Moments later, Mr. Reimer was seriously beaten by more than one person. The beating resulted in head injuries including a concussion, laceration of the right eyebrow, a swollen right eye with swelling and contusions of the right temple, and bruises on his neck and ear, as well as injuries to his right shoulder and other soft tissue injuries and sprains.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Reimer seeks damages for assault and battery against the assailants and vicariously against their employer, Rooster's. He also seeks damages directly from Rooster's for their negligent policy of detaining patrons while awaiting RCMP arrival.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 claim has also been advanced against the defendants under s. 16 of the </w:t>
      </w:r>
      <w:r>
        <w:rPr>
          <w:rFonts w:ascii="arial" w:eastAsia="arial" w:hAnsi="arial" w:cs="arial"/>
          <w:i/>
          <w:color w:val="000000"/>
          <w:sz w:val="20"/>
          <w:lang w:val="en-US" w:eastAsia="en-US" w:bidi="ar-SA"/>
        </w:rPr>
        <w:t>Health Care Costs Recovery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2008, c. 27</w:t>
      </w:r>
      <w:r>
        <w:rPr>
          <w:rFonts w:ascii="arial" w:eastAsia="arial" w:hAnsi="arial" w:cs="arial"/>
          <w:color w:val="000000"/>
          <w:sz w:val="20"/>
          <w:lang w:val="en-US" w:eastAsia="en-US" w:bidi="ar-SA"/>
        </w:rPr>
        <w:t xml:space="preserve">, to recover the health care services "relating to a health care services claim for Jacob R[eimer]... for personal injuries suffered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wrongful act or omission of a wrongdoer on or about 2009/09/13."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PARTIES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Jacob Reimer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time of the assault, Mr. Reimer was 20 years of age. He has been active in community athletics, including rugby. He appears to be less than six feet tall and can best be described as having a slim build. At the time of the incident he had been working odd jobs in the construction industry, and had been laid off from seasonal work on the greenskeeping crew at the Pitt Meadows Golf Club two days previous.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Rooster's Country Cabaret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Rooster's is a country and western themed night club, which, according to several witnesses, is very popular with young adults who attend to dance, drink alcohol and otherwise socialize. Rooster's has been in business at the same Pitt Meadows location since approximately 1996. As of the date of trial, the general manager of Rooster's, Cliff Barber, testified at trial that Rooster's employs a staff of approximately 25 people, eight of which are security personnel.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these reasons I will refer to the security staff employed by Rooster's as the "security personnel" or the "bouncers". Mr. Barber, the general manager of Rooster's, objected to the use of the term "bouncers" and preferred the term security personnel or staff, whereas others in their evidence commonly referred to the same group as bouncers.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Sam Turnau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Mr. Turnau was one of the security personnel at Rooster's on the night in question. Mr. Turnau was charged with assault causing bodily harm under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following the incident in question and was acquitted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Turnau is an experienced "bouncer" who testified he had received training in how to deal with belligerent patrons who are often under the influence of a significant amount of alcohol. At the time of the incident, Mr. Turnau stated he weighed between 240 and 250 pounds and stood six feet three inches tall. His hair was blonde and witnesses described one of the security personnel as having "shaggy blonde hair". Mr. Turnau testified that he "worked out" four days per week in cardiovascular exercise and weight training. He had been taking protein supplements daily since 2009 to build muscle. Mr. Turnau was described at trial as "huge" and was clearly much larger than Mr. Reimer.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For identification purposes it is significant to point out that all Rooster's security personnel wore identical dark blue t-shirts on which there was yellow printing stating "Security" and the name "Rooster's".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Timothy Spry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Spry was named as a defendant in this action. He, too, was a security guard at Rooster's on the night in question and was charged with assault causing bodily harm on Mr. Reimer; however, the charges against Mr. Spry were withdrawn or stayed prior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response to civil claim was filed for all defendants in this action including Mr. Spry. Plaintiff's counsel did not attempt to schedule an examination for discovery of Mr. Spry until early 2013, some three years after the commencement of this action. Mr. Spry did not appear for two scheduled examinations for discovery, following which counsel for the defendants had advised they were no longer able to contact Mr. Spry.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the commencement of the trial, counsel for Mr. Reimer brought a notice of application seeking an order that this action proceed as if no response to civil claim had been filed on Mr. Spry's behalf. In the response to application, the defendants opposed the application on the basis that the plaintiff had not pursued an examination for discovery until early 2013, and in the meantime counsel and the other defendants were no longer in contact with Mr. Spry. The defendants also submitted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Rooster's needs the opportunity to defend Spry at trial to avoid any possible vicarious liability against itself. Striking out the Defence of Spry would be "Draconian" as it would deprive Rooster's of a trial on the evidence, with respect to Spry.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reserved my decision on the application relating to Mr. Spry.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After considering the material submitted on the application, I am dismissing the plaintiff's application that the action proceed as if no response to civil claim had been filed on Mr. Spry's behalf. My reasons for doing so include the plaintiff's delay in arranging an examination for discovery of Mr. Spry and the resulting difficulties for the defence due to their loss of contact with Mr. Spry. In addition, Rooster's admitted at trial that they are vicariously liable for the actions of the security personnel defendants who were at all material times acting in the course of their employment with Rooster's. Thus, if I were to grant the order, I would not only be denying the defendant Spry the right to proceed to trial, but also the defendant Rooster's the right to do so.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John Doe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Several other security personnel on duty for Rooster's on the night of the alleged assault have been identified through examinations for discovery and at trial; however, none of those persons have been added as defendants. In light of the conclusions I have come to in these reasons for judgment, it is unnecessary to deal with the issue of the further "John Does", if any, and whether they should have been added as defendants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EVIDENCE OF THE EVENTS OF SEPTEMBER 13, 2009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reviewing the facts of this case, I will occasionally refer to the recordings generated by Rooster's video surveillance systems in place on the evening in question. Although the recordings do not extend to the area of the parking lot where the assault on Mr. Reimer occurred, the recordings have been helpful in setting the scene both of the entrance vestibule or coat check area inside Rooster's premises, and of the front door and view from Rooster's toward the parking lot outside of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When Mr. Reimer, his friend, Ryan Murchie, and two young women arrived at Rooster's at approximately 1:00 a.m. on the morning of September 13, 2009, Mr. Reimer had already consumed at least 10 to 12 cans of beer.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two young women entered Rooster's before Mr. Reimer and Mr. Murchie. Mr. Reimer was stopped at the entrance after a "pat down" by a Rooster's staff member revealed that Mr. Reimer had an unopened can of beer in a pocket in his cargo shorts. The beer was confiscated by Rooster's staff as required by regulation. At around the same time, Mr. Murchie was not allowed to enter Rooster's as he did not have any photo identification. He had recently received a new driver's license but only possessed the temporary license which did not include his photograph.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Reimer then asked to enter the premises to find the two young women to explain why Mr. Murchie could not enter. He was allowed to temporarily enter for that reason. Mr. Reimer could not find the young women. On his way back through the lobby vestibule, he saw his can of beer on a shelf and asked the female coat check person to return it. He was advised that staff were not allowed to, and would not, return his can of beer.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this point, Mr. Reimer became quite animated and argumentative in demanding return of his can of beer. Voices were raised as he argued with the coat check person. She eventually called for assistance from the security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Turnau and another member of the Rooster's security staff, named "Jas" or "Jaspreet", arrived. An argument continued between the two security personnel and Mr. Reimer, which eventually resulted in all three men throwing punches. It is not clear from the video surveillance of the entrance area who commenced the physical altercation. It was clear, however, that Mr. Reimer was being argumentative. It was also clear that both Mr. Turnau and Jas were both much larger in stature and weight than Mr. Reimer. Although Mr. Turnau and Jas appeared at first to make efforts to hold Mr. Reimer at bay, the situation quickly turned into, for lack of a better word, a "slugfest".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altercation continued out the front door of Rooster's and continued on the sidewalk adjacent to Rooster's. Mr. Murchie, who witnessed the fight from close by, gave evidence that Mr. Reimer had thrown a few punches to the body of Mr. Turnau, and Mr. Turnau had thrown several punches at Mr. Reimer. My review of the video surveillance confirms that Mr. Turnau and Mr. Reimer were both throwing punches with the majority clearly being delivered by Mr. Turnau. The video clearly shows Mr. Reimer kicking, punching and pulling on Mr. Turnau's t-shirt, causing it to rip. Mr. Turnau was clearly fighting back, taking wide swings at Mr. Reimer. Jas appeared to be the most passive of the three. Once the fighting moved outside, a third security staff member also became involved in the altercation.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Eventually Mr. Murchie broke up the fight. Mr. Murchie then took Mr. Reimer approximately 100 feet from the entrance to Rooster's into the parking lot near a lamp standard. Mr. Murchie intended to get Mr. Reimer away from the security personnel while waiting for the young women to come out of Rooster's, and then to leave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This first altercation likely lasted less than a minute. Both Mr. Reimer and Mr. Turnau had been overly aggressive and both had received minor injuries. Unfortunately, the worst of the fighting was yet to 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Turnau and other security staff then went into the club and told Rooster's assistant manager about the incident. Rooster's management had a policy of detaining patrons who may have committed a crime so the assistant manager instructed the security staff to go back out to the parking lot to detain Mr. Reimer until the police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video then shows several security personnel leaving the front door of Rooster's and heading toward the parking lot. In his evidence at trial, Mr. Turnau stated he did not go out into the parking lot in search of Mr. Reimer. I do not accept this evidence. As I will describe below, it is completely at odds with the video and eye witness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video surveillance does not show the assault in the parking lot. It was only helpful in identifying those coming and going from the area of the front door of Rooster's out towards the area of the lamp standard where the assault took place. Evidence of the assault in the parking lot for the plaintiff was given by Mr. Reimer, Mr. Murchie, and Rhiannon Griffiths and Jenny McGuire, two young women who came upon the events in the parking lot both of whom had no previous knowledge of Mr. Reimer. Only Mr. Turnau and Cliff Barber, the manager of Rooster's who appears to have arrived at the scene in the parking lot as the fighting concluded, gave evidence for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there are significant differences in the accounts of the assault, I will review each party's evidence and make findings of credibility and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Reimer testified that after the incident in the foyer he and Mr. Murchie went out into the parking lot and stopped near a lamp post about 100 feet from the entrance to Rooster's. He was intending to continue the night elsewhere, and he and Mr. Murchie were waiting to see if the girls they had arrived with were going to join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Once at the lamp post, he heard the security personnel yelling and coming towards him and he was attacked. The security personnel were screaming obscenities, and saying things like "you are coming with us." Mr. Reimer was "attacked, choked, dragged, [and] punched" out by the lamp post. He stated he had difficulty breathing and was panicked. He testified that he was thrashing, kicking and yelling, and tried to get away. He said the security personnel dragged him back towards the entrance to Rooster's. Mr. Reimer stated that the assault went on long enough that he asked the security personnel to stop more than once. He recalled hearing "girls screaming." He could not identify the security personnel who were assaulting him, which may be explained by his state of impairment the entire time he was at Rooster's.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Murchie's evidence of the events in the parking lot near the lamp standard included the following statements:</w:t>
      </w:r>
      <w:r>
        <w:rPr>
          <w:rFonts w:ascii="arial" w:eastAsia="arial" w:hAnsi="arial" w:cs="arial"/>
          <w:sz w:val="20"/>
          <w:lang w:val="en-US" w:eastAsia="en-US" w:bidi="ar-SA"/>
        </w:rPr>
        <w:cr/>
      </w:r>
    </w:p>
    <w:p>
      <w:pPr>
        <w:numPr>
          <w:numId w:val="1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Reimer was catching his breath, and the two of them were trying to figure out what happened because it was quite a shock. Mr. Murchie soon heard incoherent yelling and people coming up behind him, and he turned to see three bouncers coming across the parking lot. He recognized the tall Caucasian with because he stood out, but did not recognize the others. The tall Caucasian man had Mr. Reimer in a headlock, threw him to the ground, picked him up, and the others were punching, kicking, kneeing and elbowing him. All of the bouncers were punching Mr. Reimer, the tall Caucasian man was kneeing him, and Mr. Murchie did not recall who was kicking Mr. Reimer.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Murchie was "eight to 10 feet" away while this was happening. He stated that "a couple other [security personnel] after a short duration."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Reimer "was trying to defend himself as much as he could." He tried to cover areas of his body. He was flailing around to try to get away and he tried to throw a couple of punches, but his punches did not connect.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Murchie stated he heard Mr. Reimer yelling at them to "stop" and asking why they were doing this to him.</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Murchie stated that at this point he was in shock and turned around in disbelief.</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response to being asked whether he noticed if any of the security personnel were injured, he stated that "the taller Caucasian person had his shirt almost completely ripped off".</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Murchie said that when he turned around again Mr. Reimer and the security personnel were up by the entrance to the bar. At that point, Mr. Reimer was on his back and was "pinned down" by one of the security personnel who put his knee on Mr. Reimer's chest. At that point, "he was trying to plead with them to let him go and stop hurting him" but they did not stop.</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Murchie noticed the taller Caucasian security person with the torn shirt returning to the front entrance of Rooster's from the area of the lamp post in the parking lot.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approximately "20 or so people" around the entrance when this was going on. One woman offered Mr. Reimer water, and a few told the security personnel to "let him go". In response, the security people "told them all to go away".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Once the police arrived, the security personnel let Mr. Reimer get up. Mr. Murchie then tried to clean up Mr. Reimer and waited for an ambulance. Mr. Reimer's face was swollen around his eye and cheekbone, almost his entire face was swollen, he had a tooth missing, his lip was cut and he had many scratches on his face, knees and arms. Mr. Reimer was taken away in an ambulance.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Murchie gave his contact information to the police officer, Cst. Sparks. Cst. Sparks asked Mr. Murchie to point out the bouncers who had been involved, and Mr. Murchie pointed out the tall Caucasian man and the man who had been holding Mr. Reimer on the ground.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cross-examination, Mr. Murchie stated that Mr. Turnau, the tall Caucasian security person with blonde hair, was very distinct from the other security personnel and also that he did not notice that any of the other security personnel had blonde hair.</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Also on cross-examination Mr. Murchie was shown a photograph of Timothy Spry, one of the defendants and stated the photo reminded him of "the guy holding him [Mr. Reimer] down" but was uncertain if Mr. Spry was one of the security personnel who was at the incident by the lamp post.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Murchie was a very credible witness overall. He was and is Mr. Reimer's friend but I did not sense any exaggeration of the events in the parking lot in particular. His evidence was also consistent with the other witnesses who were neither previously known to him nor friends or acquaintances of Mr. Reimer. Mr. Murchie was clearly shaken by the savage nature of the beating absorbed by Mr. Reimer.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Rhiannon Griffiths stated at the opening of her evidence that she "does not know Mr. Reimer". Her evidence can be summarized as follows: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Griffiths had been in Rooster's with five friends and they had left to go across the parking lot to McDonald's. She, her friend, Paula Schugg and Ms. Shugg's boyfriend were walking back through the parking lot to return to Rooster's when they ran across security people in a fight with another person. Ms. Griffiths stood about ten feet away from the fight which was taking place near a lamp post.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Griffiths saw a "huge guy with shaggy blonde hair throwing punches at and kneeing a person, I guess Mr. Reimer, and ... two or three other bouncers also ... throwing punches and kneeing." With the several "bouncers" she was not sure who threw what punches, except she knew that the shaggy blonde haired man threw some. She was not able to describe the security personnel other than the "tall shaggy-haired one".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saw the huge blonde person throw at least eight punches, and kneeing Mr. Reimer two or three times while Mr. Reimer was "cowering ... trying to defend himself". The huge, shaggy-haired person had his shirt ripped. She said "he [Mr. Reimer] might have thrown a punch to defend himself but he was definitely cowering ... underneath the rest of the security".</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Griffiths described the assault as "brutal, it was not right" because there was "one guy and four bouncers on this one guy brutally beating him up." She observed Mr. Reimer "was bleeding from the face". She said the security personnel were all "much bigger" than Mr. Reimer.</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moved over to the "bar area", that is, in front of the entrance to Rooster's, and she followed them and was a few feet away. At that location someone was "kneeing" him, on top of him, and "I called the cops." There were lots of people around, "he was begging them to stop" but they did not stop. She said at this point Mr. Reimer was not fighting back. She stated that she told the security personnel she was on the phone with the police and they said "she is not welcome back" and one of the security personnel told another to take a photograph of Ms. Griffiths.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other independent witness who observed the incident in the parking lot was Jenny McGuire. Like Ms. Griffiths, she did not know Mr. Reimer. Ms. McGuire's evidence was similar to Ms. Griffiths' and can be summarized as follows:</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McGuire was with a group of friends at Rooster's on the evening of September 12, 2009, into the following morning and at approximately 1:30 a.m. noticed a swarm of people outside of Rooster's and bouncers coming out of Rooster's towards the parking lot. She saw a fight and a guy getting stomped. She said "there were four guys on top of him ... and he was getting beaten bad ... by a lamp post." The guy was asking the security personnel to "please stop" several times.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described "a tall, huge blonde-haired guy, I believe there was a bald guy, and I also remember a brown-haired bigger, stockier guy" and one other bouncer who "all rushed out at him". She said that the blond-haired guy could further be described as having "a bowl cut" and being a Caucasian male.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previously seen Mr. Reimer involved in an argument in the foyer of Rooster's.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security personnel were "beating [Mr. Reimer's] head in", and were "way bigger than him." Mr. Reimer was on the ground just trying to get away from them. She stated that the blonde man did more than the others.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Near the entrance, she was about three feet away and she tried to help him but her friends pulled her away. Mr. Reimer was bleeding in the mouth. She stated "he was begging them to stop" and "everyone was begging them to stop, get off of him." She got a good look at the blonde bouncer who was "angry when he came out". She said he was "so angry" and "did the most damage".</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Towards the conclusion of her evidence, Ms. McGuire stated, "in the parking lot they were not restraining him, they were pummeling him, beating him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evidence of both Ms. McGuire and Ms. Griffiths, who are friends, was generally consistent with that of Mr. Murchie and I found all three of those witnesses to be credible. Also, all three were clear that the person inflicting a beating on Mr. Reimer with the most effort was the "huge", "tall", "blonde" security person with the "shaggy" haircut, who I am satisfied was Mr. Turnau. These witnesses were not able to identify the other security personnel inflicting the beating, but they were consistent that all were members of the security staff employed by Rooster's.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Turnau stated at trial that he had four years' experience as a bouncer or security staff member before joining Rooster's, where he had worked for one and a half months before September 13, 2009. He stated that he understood his role in dealing with drunks and others at a nightclub. He "used only the force that was necessary to remove somebody from the bar if necessary" and the security personnel's main objective was "to keep the peace ... and make sure everybody was following the liquor 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 first encountered Mr. Reimer when the pat down security person called him over as she was having difficulty with Mr. Reimer, who had refused to leave without taking his can of beer which had previously been confiscated. He asked Mr. Reimer to leave. He was joined by Jas and as "we had given him enough chances to leave under his own free will ... we [then] escalat[ed] to removing him and using as much force as necessary to get him out of the bar." He then testified as to the scuffle between him, Jas and Mr. Reimer, which included grabbing Mr. Reimer, and Mr. Reimer in turn grabbing his shirt. He testified that there was some pushing and shoving in an attempt to get Mr. Reimer out the door. He stated that Mr. Reimer punched him twice, once inside and once out of the door, and when they had just gotten out of the door, Mr. Reimer looked like he was going to throw another punch so Mr. Turnau punched him. He noticed his shirt had been ripped. Mr. Turnau further testified that Mr. Reimer's friend, who I understand to have been Mr. Murchie, "told us he was getting [Mr. Reimer] out of there ... and they walked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Turnau then went inside the cabaret and went to alert the manager about the event. He saw Mike Skulsky, the assistant manager of Rooster's, who told him to hold Mr. Reimer and get Cliff Barber to call the police. Mike instructed Mr. Turnau to "go get" Mr. Reimer. Mr. Turnau had been made aware of a policy of Rooster's that if the Rooster's staff believes someone has committed a crime, the person should be detained until the police arrive. Mr. Turnau stated that as he had already fought with Mr. Reimer, he would probably not be the right guy to go out to detain him until the police arrived. He stated that he "stayed back" and "Calvin, Adam and Vic went out", towards the parking lot where Mr. Reimer was believed to have gone. He stated that he exited from the front door of Rooster's, "went ten feet into the parking lot" and then went around the outside of Rooster's to the back patio where the smoking area was and where he hoped to find Cliff. Surveillance video shows Mr. Turnau walking out the front door wearing his torn t-shirt, but does not indicate how far Mr. Turnau may have continued out into the parking lot or whether he went around the sidewalk towards the back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Turnau could not find Cliff at the outside patio smoking area so proceeded back around to the front entrance and went inside to see if Cliff was there. He stated that he then saw Mr. Reimer being held on the ground not far from the entrance to Rooster's. In the process of re-entering Rooster's, he stated he passed approximately five feet from where Mr. Reimer was being held on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Turnau testified that after the first incident inside the foyer and outside the front door of Rooster's, he had no further dealings with Mr. Reimer. He testified that he never went into the parking lot to the lamp post area, that he did not punch or kick Mr. Reimer, and that his shirt did not rip any more during any further incident in the parking lot. The video surveillance clearly shows Mr. Turnau, who had been described as having blonde, "shaggy" hair and whose blue t-shirt was clearly ripped, walking in the direction of the parking lot. It also shows him returning a few moments later, after Mr. Reimer was taken to an area near the front door and was being held down by other security personnel. The video shows that Mr. Turnau was no longer wearing the blue t-shirt, or any shirt at all, and appeared to be holding the torn t-shirt in his left hand. He also appeared to have blood on his chest. Mr. Turnau testified that he had further ripped his t-shirt when taking it off, and also did not see any blood or injury on Mr. Reimer when he was lying on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Turnau also gave descriptions of the other security personnel who were on duty at Rooster's on the night in question. He said that two of the security personnel had short blonde hair, presumably trying to describe who, among the security personnel, may have gone out into the parking lot. One of the persons he described was Calvin, who was the head person in security. Calvin was Caucasian, an "inch or two taller" than Mr. Turnau, with a "medium build, lighter than" Mr. Turnau was, and "he had short blonde hair". He also described Adam, who was Caucasian, between five feet ten inches to six feet tall, considerably heavier than Mr. Turnau weighing about 260 to 270 pounds, and "he had short, dirty blonde hair as well". The other security personnel were all distinguished as having darker skin, being shorter, and having black hair or being bald.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well as this video evidence, eye-witnesses described a large person with shaggy blonde hair, which matches Mr. Turnau's description, being involved in the attack in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am satisfied on all of the evidence, in particular that of Mr. Murchie, Ms. Griffiths and Ms. McGuire together with the surveillance video, that Mr. Turnau was the large, blonde, security person who was involved in the assault on Mr. Reimer near the lamp post in the parking lot. The evidence is not clear as to which of the other security personnel were also involved in the assault, either by holding, kicking or punching Mr. Reimer as described by the witnesses. The witnesses' testimony and the surveillance video make it abundantly clear, however, that there were three other people involved in the assault, and that all of the others involved were wearing the distinctive Rooster's security t-shirts.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final witness was Mr. Barber who described himself as the manager and staff supervisor at Rooster's. He testified that staff were directed to retain people believed to have committed an offence and that people had been detained on many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Barber stated in evidence that after being advised by Vic, one of the security personnel, of what had happened in the foyer and near the front entrance to Rooster's, he went out to the lamp post area where he witnessed at least three security personnel holding onto Mr. Reimer, who was lying on his back. He stated that "one security was holding one arm and another holding another arm, and a third was grappling with a leg that [Mr. Reimer] was kicking around." He further stated that they should "get him up ... to his feet and take him over to the [sidewalk]" to wait for the police. He testified that he did not see any of the security staff punch or kick Mr. Reimer. On cross-examination he stated that "Calvin, Adam and Jas" were the security people at the lamp post but thinks he also saw "Gerald".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Barber stated that Mr. Reimer continued "kicking and thrashing", was "never quiet and continued to swear", and made strange sounds, which Mr. Barber said sounded like "barking". He acknowledged that Mr. Reimer had injuries when he saw him out by the lamp post and stated that neither Mr. Spry nor Mr. Turnau were among the security staff who were restraining Mr. Reimer in the parking lot. He acknowledged that Mr. Spry took over holding Mr. Reimer at some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Barber agreed on cross-examination that he often took written statements from staff if there were assaults or altercations between staff and customers but that he did not take any written statements on this occasion. He also did not recall asking if any of his staff had struck Mr. Reimer and did not investigate if Mr. Reimer had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Soon, the police arrived at the scene. The first responding officer was Cst. Sparks of the Ridge Meadows RCMP detachment. He stated that the RCMP had received a call at 1:25 a.m. from a female who said that bouncers who were employed by Rooster's had been beating up a male.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Cst. Sparks testified that near the front entrance to Rooster's he found a bunch of bar staff, a young male on the ground face-down with a security person on top with his knee placed in the center of the young man's back. The young male was vocal, and upset. Cst. Sparks spoke to the young male, noticed he was intoxicated, injured, bloodied, and complaining about his shoulder. Cst. Sparks eventually calmed the young man down and told staff to get off of the young man. Cst. Sparks checked the young man, who he identified as Mr. Reimer, for injuries, and noted that Mr. Reimer had "lots of abrasions ..., his lip was bashed up, he had a gash on the top of his head, ... he was complaining a lot about his arm, and he had blood and a lot of abrasions on his knees. His lip was actually the bad one, and I found out later he had lost a tooth." He did not note any injuries to any of the security personnel. There were six or eight security staff nearby. Cst. Sparks stated that although the young man was intoxicated, he was coherent.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Paramedics arrived and took Mr. Reimer to the hospital in an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Cst. Sparks stayed and spoke to Mr. Murchie, who Cst. Sparks stated was "not as drunk as his friend" and was "coherent". Eventually after investigations he and the other RCMP officers who had arrived arrested Mr. Spry and Mr. Turnau who had been identified as being among the assailants.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Cst. Sparks later checked on Mr. Reimer at the hospital and took a statement and some photographs of his injuries. He interviewed Mr. Reimer again a few days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Cst. Sparks stated that in two and a half years, Rooster's staff had never called them regarding retaining a patron at the bar after an altercation.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DISCUSSION AND ANALYSIS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Liability for Assault and Battery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alleges that he was assaulted and battered by the security personnel at Rooster's, including Mr. Spry and Mr. Turnau, and seeks damages for these torts from the Rooster's security personnel and from Rooster's. The claim against Rooster's is twofold. First, Mr. Reimer claims that Rooster's is vicariously liable for the actions of the security staff. Second, Mr. Reimer alleges that Rooster's is directly negligent as a result of its policy of detaining persons for the police following fights or other incidents.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altercation in the foyer of Rooster's ultimately led to the incident in the parking lot; however, the plaintiff's claim relates only to the incident in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By trying to take a can of beer into Rooster's, Mr. Reimer was in breach of the </w:t>
      </w:r>
      <w:r>
        <w:rPr>
          <w:rFonts w:ascii="arial" w:eastAsia="arial" w:hAnsi="arial" w:cs="arial"/>
          <w:i/>
          <w:color w:val="000000"/>
          <w:sz w:val="20"/>
          <w:lang w:val="en-US" w:eastAsia="en-US" w:bidi="ar-SA"/>
        </w:rPr>
        <w:t>Liquor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Control and Licensing Act</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R.S.B.C. 1996, c. 267</w:t>
        </w:r>
      </w:hyperlink>
      <w:r>
        <w:rPr>
          <w:rFonts w:ascii="arial" w:eastAsia="arial" w:hAnsi="arial" w:cs="arial"/>
          <w:color w:val="000000"/>
          <w:sz w:val="20"/>
          <w:lang w:val="en-US" w:eastAsia="en-US" w:bidi="ar-SA"/>
        </w:rPr>
        <w:t>, and the security personnel were entitled to require Mr. Reimer to leave the premises. Mr. Reimer did not leave when requested to do so, and the security personnel were entitled to use reasonable force to have him leave the premises. After the altercation in the foyer, which temporarily spilled out the front door of Rooster's, Mr. Reimer was taken by his friend, Mr. Murchie, out into the parking lot to cool off. For all intents and purposes, Mr. Reimer had left the premises of Rooster's.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There was a period of time when Mr. Reimer and Mr. Murchie had gone out into the parking lot when the security staff who had been involved in the first incident walked back into Rooster's and spoke to Mr. Skulsky. The evidence on the timing between the two altercations is not clear, but it appears to have been a matter of a few minutes before members of the security staff went back out to find and detain Mr. Reimer as instructed by Mr. Skulsky.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find that even if the Rooster's security staff's intent in going out to the parking lot was simply to detain Mr. Reimer until the RCMP arrived, which I do not accept, the security personnel were fully capable of restraining Mr. Reimer without inflicting the beating he eventually received. There were four or five large, strong security staff at the incident in the parking lot. In those circumstances it would have been very easy for all of them to restrain Mr. Reimer in a way that prevented him from punching or kicking in retaliation. It was also apparent from Mr. Murchie's evidence in particular that the security personnel approached Mr. Reimer in the parking lot with the intention of inflicting further harm. Mr. Murchie described how all of the security personnel in the parking lot were punching and kicking Mr. Reimer while one or two of the others were holding Mr. Reimer in a headlock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To summarize, I find that Mr. Turnau and others among the Rooster's security personnel on the night in question used force far in excess of what would have been required or reasonable to subdue Mr. Reimer and they deliberately set out to inflict serious harm on Mr. Reimer. Thus, the torts of assault and battery are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Murchie's evidence in this respect is corroborated by that of Ms. McGuire and Ms. Griffiths. The assault is even more disturbing when considering the evidence that Mr. Reimer, Ms. Griffiths, Ms. McGuire and possibly others witnessing the attack were pleading for the security personnel to stop beating and kicking Mr. Reimer. This evidence is inconsistent with the defendants' contention that the security personnel were acting with a reasonable amount of force to protect themselves. If the security personnel had been merely protecting themselves from attacks by Mr. Reimer it would be very unlikely that those witnessing the event would be pleading with the assailants to stop the beating. It is even less likely that between three and five large, strong men charged with keeping the staff and patrons safe would have any difficulty restraining Mr. Reimer. I do not believe the security personnel were restraining Mr. Reimer for any purpose other than administering a significant beating.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At one point, the security personnel dragged Mr. Reimer across the parking lot to an area near the front door of Rooster's. The evidence is that Mr. Reimer continued to scream and ask them to stop and let him go, but that they did not release him. I find, on a balance of probabilities, that Mr. Reimer received injuries as a result of being dragged unnecessarily across the parking lot in addition to the injuries suffered in the assault near the lamp post.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also find that Mr. Skulsky was negligent in sending his staff out to find Mr. Reimer after the first altercation for the purpose of detaining him for the RCMP. The first incident in the foyer had ended. There was no justifiable reason to send out the security personnel to restrain Mr. Reimer.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Barber testified that he went out into the parking lot near the lamp post and witnessed his security staff attempting to restrain Mr. Reimer, who was kicking and punching them. I do not accept that evidence and prefer the evidence of Mr. Murchie, Ms. McGuire and Ms. Griffiths as to the beating that was being inflicted on Mr. Reimer by the security staff. I find on a balance of probabilities that Mr. Barber witnessed the beating of Mr. Reimer and did nothing to end the violence. Furthermore, I find that Mr. Barber was aware that one of the security staff beating Mr. Reimer was Mr. Turnau, and I do not accept the evidence of Mr. Turnau and Mr. Barber that Mr. Turnau was not among the security personnel involved in the incident in the parking lot. Mr. Barber's failure to obtain statements from his staff after a patron had been seriously injured is also contrary to his stated policy and unexplainable.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 have no hesitation in finding that Mr. Turnau was engaged in the beating of Mr. Reimer in the parking lot; however, I am not able to identify on a balance of probabilities who the other security staff involved in this assault were. Nevertheless, I am satisfied those persons were employees of Rooster's acting in the course of their employment. Based upon all of the evidence I accept, none of those security personnel made any attempt to calm the situation or end the continuing assault on Mr. Reimer. Likewise, Mr. Barber made no effort to instruct his staff to end the beating of Mr. Reimer.To make out a successful claim for vicarious liability, plaintiffs must demonstrate two things: first, that the relationship between the tortfeasor and the person against whom liability is sought is sufficiently close; and second, that the tort is sufficiently connected to the tortfeasor's assigned tasks that the tort can be regarded as a materialization of the risks created by the enterprise: </w:t>
      </w:r>
      <w:r>
        <w:rPr>
          <w:rFonts w:ascii="arial" w:eastAsia="arial" w:hAnsi="arial" w:cs="arial"/>
          <w:i/>
          <w:color w:val="000000"/>
          <w:sz w:val="20"/>
          <w:lang w:val="en-US" w:eastAsia="en-US" w:bidi="ar-SA"/>
        </w:rPr>
        <w:t>K.B.L. v. British Columbia,</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[2003] 2 S.C.R. 403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Cole v. California Entertainment Ltd.</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[1989] B.C.J. No. 2162</w:t>
        </w:r>
      </w:hyperlink>
      <w:r>
        <w:rPr>
          <w:rFonts w:ascii="arial" w:eastAsia="arial" w:hAnsi="arial" w:cs="arial"/>
          <w:color w:val="000000"/>
          <w:sz w:val="20"/>
          <w:lang w:val="en-US" w:eastAsia="en-US" w:bidi="ar-SA"/>
        </w:rPr>
        <w:t xml:space="preserve"> (B.C.C.A.), is particularly relevant to the facts of this case. In that decision the Court of Appeal dismissed the appeal from Mr. Justice Gow's trial. In doing so, they reproduced the following words from Gow J.'s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circumstances here are very different. The employer Lalli, because he had complete control of the staff, the hired staff of California Entertainment Ltd., including the bouncers, having unleashed the dogs of war, retreated to his office and left it to them to carry out his express instructions that evening to clear the doorway. They applied themselves to that task and such was their zeal that the whole of that part of Broad Street shown in the photographs to which I have referred became, in the words of Cst. Smith, a chaotic scene. I should say, of course, that the creating of that scene was not wholly that of the bouncers, that Cole's group had not an unimportant part to play in what happened that night.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find that what [the defendant] did to [the plaintiff] was an act so closely connected with and consequential upon the instructions which he and his fellow doormen had received from their employer that night, that it was an act done in the course of his employment, and for it and the consequences thereof California Entertainment Ltd. is vicariously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Rooster's is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their staff and, as they admitted at trial, for the assault and battery inflicted by Mr. Turnau and the other security staff. The security personnel were doing the type of task they were hired to do and with instructions from Mr. Skulsky. The security staff were clearly working in the course of their employment of Rooster's and the assault was sufficiently connected to the job description of the security staff so as to find Rooster's liable under the tests set out in </w:t>
      </w:r>
      <w:r>
        <w:rPr>
          <w:rFonts w:ascii="arial" w:eastAsia="arial" w:hAnsi="arial" w:cs="arial"/>
          <w:i/>
          <w:color w:val="000000"/>
          <w:sz w:val="20"/>
          <w:lang w:val="en-US" w:eastAsia="en-US" w:bidi="ar-SA"/>
        </w:rPr>
        <w:t>K.B.L.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Furthermore, in this case, the policy put in place by Mr. Barber and his failure to take steps to end the assault being carried out by his staff clearly implicates Rooster's in the assault upon Mr. Reimer, for which I find Rooster's to be directly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also find that Mr. Reimer was not contributorily negligent for the injuries inflicted upon him. Following the first altercation, Mr. Reimer and Mr. Murchie had left the area near the entrance to Rooster's and had walked approximately 100 feet away to the area of the lamp post. The first altercation was over and both Mr. Reimer and Mr. Murchie had "left the building". There was no reasonable justification for the security staff to hunt down Mr. Reimer in the parking lot, nor was there a justification for the assault they inflicted upon Mr. Reimer.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Injuries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Reimer testified that prior to the events of September 13, 2009, he was generally healthy. He regularly participated in hiking, community rugby and soccer, running and other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Several photographs of Mr. Reimer are in evidence which clearly depict injuries he suffered as a result of the assault. One group of the photographs was taken by Cst. Sparks when he attended at the hospital during the early morning hours after leaving Rooster's. A second set of photographs was taken by Mr. Reimer's mother later in the daytime hours after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injuries apparent from the photographs include: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Head injuries, including a lump on the back of his head, scrapes and lacerations in many locations including his scalp, a bruise and laceration near his left temple, a cut over his right eye which required stitches, and substantial bruising and swelling of the left eye such that the eye was closed. There were also extensive lacerations, scrapes and bruising to his forehead and to his nose, lacerations to his lip and chin, and a cut inside his lower lip which later developed a cyst. He lost an upper tooth and had a sore jaw.</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Injuries to both knees including several lacerations, scrapes and bruising.</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Lacerations to his left elbow and forearm.</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"bone bruise" on his left shin.</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Significant bruises on the left side of his neck.</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photographs taken by Mr. Reimer's mother several hours after the first photographs taken by Cst. Sparks, additional bruising to several of the injured areas had become apparent.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As a result of the injuries, Mr. Reimer was obviously in substantial pain. He suffered headaches and was later advised by his family doctor that he had suffered a concussion. Mr. Reimer felt pain and dizziness for at least three weeks. He testified that the headaches were intense for three weeks, that after three or four weeks they gradually began to lessen, and that at the time of trial, the headaches had "for the most part gone".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Reimer testified that in the weeks following the assault he was embarrassed to be seen in public and so rarely ventured outside. He also stated he had a black eye for over one month and the scar from the cut remained visible for a long time. The stitches were removed from his eye lid after four or five weeks. He also described his mood as poor during the weeks and first few months after the incident, and says he was "down in the dumps". Once he returned to work after the incident, he felt better but also stated that he "cannot say he has not been depressed since the fight". A few months before the trial, Mr. Reimer visited his family doctor regarding his depression and sought anti-depressant medication. His father testified that his son has not been the same person since the incident and at times was "down and sad".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Peet Du Toit, Mr. Reimer's family doctor, testified at the trial, and two medical-legal reports were filed as part of Exhibit 2 at trial. In his first report, Dr. Du Toit stated that Mr. Reimer "made a spontaneous recovery from the multiple injuries as described including the concussion", and further that "I don't foresee any probable or possible disability due to the injuries sustained, as described." The injuries referred to in his reports were generally as described earlier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his most recent report dated June 4, 2012, Dr. Du Toit added "anxiety and depression symptoms" as an injury but stated that symptoms of the same were "now settled" and he had no further recommendations for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Reimer attended upon Dr. Preet Bhatti, a dentist practicing in Pitt Meadows. Dr. Bhatti established that "tooth #11 (upper right central incisor) had been completely avulsed [that is, removed]" and stated that Mr. Reimer "also had a laceration to the left upper and a large swelling of the left lower lip." Dr. Bhatti referred Mr. Reimer to Dr. Michael Henry, who on September 24, 2009, inserted a "root form dental implant". Eventually in April 2010, an abutment and a ceramic crown were placed in the area of the missing incisor.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Bhatti stated, in his letter of July 19, 2011, that "there is the possibility of future complications with implant supported prosthetic treatment. Dental implants have a success rate of over 90% and offered the most predictable and conservative treatment in Jacob's case." However, he also stated that "[t]here is a reasonable possibility that the crown on the implant may require replacement in the future due to esthetic concerns". In cross-examination, Dr. Bhatti explained further, stating that since Mr. Reimer is young and natural teeth will change colour over time, if he were to make "an educated guess... is would not be unreasonable to think that the crown on this implant may not look natural and [Mr. Reimer] may want to consider having it replaced."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conclude from the evidence of Dr. Bhatti that it is unlikely but not unrealistic to assume that Jacob may require replacement of his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Within four weeks of the assault, Mr. Reimer had resumed playing community rugby. Over the months that followed, he returned to his normal activities. From my observation of the photographs of Mr. Reimer's injuries and the descriptions of the assault on September 13, 2009, Mr. Reimer has been fortunate that he did not suffer greater and longer-lasting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Assessment of Damages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 seeks non-pecuniary damages for pain and suffering in an amount of $15,000, whereas the defence submits that $2,500 is sufficient in light of what the defence describes as the "minor injuries" suffered by Mr. Reimer.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defendants in this case are most fortunate that Mr. Reimer did not suffer more serious injuries considering the extent of the assault upon him. However, the fortune of the defendants is not a factor in assessing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light of the prompt recovery from his injuries, which at most was after approximately two months excluding the completion of dental work, the amount of damages is admittedly not large; however, is clearly not as insignificant as submitted by the defendants. I agree with the submissions made by counsel for the plaintiff that an award of non-pecuniary damages of $15,000 is reasonable in these circumstances. In support of this award, I have reviewed the decisions referred to by counsel for the plaintiff, all of which are appropriate comparisons: see </w:t>
      </w:r>
      <w:r>
        <w:rPr>
          <w:rFonts w:ascii="arial" w:eastAsia="arial" w:hAnsi="arial" w:cs="arial"/>
          <w:i/>
          <w:color w:val="000000"/>
          <w:sz w:val="20"/>
          <w:lang w:val="en-US" w:eastAsia="en-US" w:bidi="ar-SA"/>
        </w:rPr>
        <w:t>De Leon v. Harold</w:t>
      </w:r>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2010 BCSC 1802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Fiessel v. Fiessel</w:t>
      </w:r>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2006 BCSC 1113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Thatcher v. Schell</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2005 BCSC 1121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Wade v. McLeish</w:t>
      </w:r>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2006 BCSC 1056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Wong v. City of Vancouver</w:t>
      </w:r>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2001 BCSC 693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Reimer claims $3,693 in special damages. This is the cost of dental surgery to replace his upper tooth, all of which is clearly recoverable. I therefore award special costs as claimed by Mr. Reimer.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Mr. Reimer claims future dental costs, should he require replacement of his crown and possibly the supporting abutment. Dr. Bhatti's evidence as to the likelihood of a replacement being required was summarized above, and I am not convinced that a replacement of the crown and abutment will be required in the future. The claim does not meet the test of "a real and substantial possibility and not mere speculation" as set out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While Mr. Reimer may make an aesthetic decision to undergo this replacement in the future, the likelihood of a crown and abutment replacement is remote and closer to "mere speculation" than a "real and substantial possibility". Accordingly this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1135"/>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4.</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xml:space="preserve">Claim for Health Care Costs under the </w:t>
            </w:r>
            <w:r>
              <w:rPr>
                <w:rFonts w:ascii="arial" w:eastAsia="arial" w:hAnsi="arial" w:cs="arial"/>
                <w:b/>
                <w:i/>
                <w:color w:val="000000"/>
                <w:sz w:val="18"/>
                <w:lang w:val="en-US" w:eastAsia="en-US" w:bidi="ar-SA"/>
              </w:rPr>
              <w:t>Health Care Costs Recovery 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Section 16 of the </w:t>
      </w:r>
      <w:r>
        <w:rPr>
          <w:rFonts w:ascii="arial" w:eastAsia="arial" w:hAnsi="arial" w:cs="arial"/>
          <w:i/>
          <w:color w:val="000000"/>
          <w:sz w:val="20"/>
          <w:lang w:val="en-US" w:eastAsia="en-US" w:bidi="ar-SA"/>
        </w:rPr>
        <w:t>Health Care Costs Recovery Act</w:t>
      </w:r>
      <w:r>
        <w:rPr>
          <w:rFonts w:ascii="arial" w:eastAsia="arial" w:hAnsi="arial" w:cs="arial"/>
          <w:color w:val="000000"/>
          <w:sz w:val="20"/>
          <w:lang w:val="en-US" w:eastAsia="en-US" w:bidi="ar-SA"/>
        </w:rPr>
        <w:t xml:space="preserve"> provides for a certificate to be issued by or on behalf of the Minister of Health that amounts to a claim for the health care costs incurred by the Minister for personal injuries suffered by a "beneficiary" as defined in that Act. Section 16 further provides that such certificates are conclusive proof of the services provided in relation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wrongdoing.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this matter a certificate was issued on March 5, 2013, claiming health care costs for the personal injuries suffered by Mr. Reimer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wrongful act or omission of a wrongdoer on or about 2009/09/13". The amount claimed in the Certificate is $3,103.33 and attached as an appendix to the Certificate is a record of the services claimed by Mr. Reimer including ambulance, hospital, and medical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defence has not taken exception to these claims. Therefore, I designate, under s. 20 of the Act, that the amount of $3,103.33 is applicable to the claim for health care services.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Thomson v. Friedmann,</w:t>
      </w:r>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2008 BCSC 703</w:t>
        </w:r>
      </w:hyperlink>
      <w:r>
        <w:rPr>
          <w:rFonts w:ascii="arial" w:eastAsia="arial" w:hAnsi="arial" w:cs="arial"/>
          <w:color w:val="000000"/>
          <w:sz w:val="20"/>
          <w:lang w:val="en-US" w:eastAsia="en-US" w:bidi="ar-SA"/>
        </w:rPr>
        <w:t xml:space="preserve">, aff'd </w:t>
      </w:r>
      <w:hyperlink r:id="rId704" w:history="1">
        <w:r>
          <w:rPr>
            <w:rFonts w:ascii="arial" w:eastAsia="arial" w:hAnsi="arial" w:cs="arial"/>
            <w:i/>
            <w:color w:val="0077CC"/>
            <w:sz w:val="20"/>
            <w:u w:val="single"/>
            <w:shd w:val="clear" w:color="auto" w:fill="FFFFFF"/>
            <w:lang w:val="en-US" w:eastAsia="en-US" w:bidi="ar-SA"/>
          </w:rPr>
          <w:t>2010 BCCA 277</w:t>
        </w:r>
      </w:hyperlink>
      <w:r>
        <w:rPr>
          <w:rFonts w:ascii="arial" w:eastAsia="arial" w:hAnsi="arial" w:cs="arial"/>
          <w:color w:val="000000"/>
          <w:sz w:val="20"/>
          <w:lang w:val="en-US" w:eastAsia="en-US" w:bidi="ar-SA"/>
        </w:rPr>
        <w:t>, Madam Justice Gerow discussed aggravated damages and the distinction between aggravated damages and punitive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Ms. Thomson is seeking both aggravated and punitive damages. Aggravated damages are a compensatory award that takes account of the intangible injuries such as distress and humiliation caused by a defendant's insulting behaviour. Aggravated damages are often claimed as compensation for mental distress caused by a defendant's behaviour. Aggravated damages will frequently cover conduct which would also be subject to punitive damages, but their role is compensatory. They are designed to compensate a plaintiff and are measured by the plaintiff's suffering such as pain, anguish, grief, humiliation, wounded pride, damaged self-confidence or self-esteem, and similar matters caused by the conduct of a defendant: </w:t>
      </w:r>
      <w:r>
        <w:rPr>
          <w:rFonts w:ascii="arial" w:eastAsia="arial" w:hAnsi="arial" w:cs="arial"/>
          <w:i/>
          <w:color w:val="000000"/>
          <w:sz w:val="20"/>
          <w:lang w:val="en-US" w:eastAsia="en-US" w:bidi="ar-SA"/>
        </w:rPr>
        <w:t>Vorvis v. Insurance Corp. of British Columbia</w:t>
      </w:r>
      <w:r>
        <w:rPr>
          <w:rFonts w:ascii="arial" w:eastAsia="arial" w:hAnsi="arial" w:cs="arial"/>
          <w:color w:val="000000"/>
          <w:sz w:val="20"/>
          <w:lang w:val="en-US" w:eastAsia="en-US" w:bidi="ar-SA"/>
        </w:rPr>
        <w:t xml:space="preserve">, </w:t>
      </w:r>
      <w:hyperlink r:id="rId705"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There is a close relationship between aggravated and punitive damages. The harshness of a defendant's conduct may give rise to both types of damages. However, it is important that a plaintiff not be compensated twice for the same harm or a defendant punished twice for the same type of moral culpability: </w:t>
      </w:r>
      <w:r>
        <w:rPr>
          <w:rFonts w:ascii="arial" w:eastAsia="arial" w:hAnsi="arial" w:cs="arial"/>
          <w:i/>
          <w:color w:val="000000"/>
          <w:sz w:val="20"/>
          <w:lang w:val="en-US" w:eastAsia="en-US" w:bidi="ar-SA"/>
        </w:rPr>
        <w:t>Huff v. Price</w:t>
      </w:r>
      <w:r>
        <w:rPr>
          <w:rFonts w:ascii="arial" w:eastAsia="arial" w:hAnsi="arial" w:cs="arial"/>
          <w:color w:val="000000"/>
          <w:sz w:val="20"/>
          <w:lang w:val="en-US" w:eastAsia="en-US" w:bidi="ar-SA"/>
        </w:rPr>
        <w:t xml:space="preserve"> </w:t>
      </w:r>
      <w:hyperlink r:id="rId706" w:history="1">
        <w:r>
          <w:rPr>
            <w:rFonts w:ascii="arial" w:eastAsia="arial" w:hAnsi="arial" w:cs="arial"/>
            <w:i/>
            <w:color w:val="0077CC"/>
            <w:sz w:val="20"/>
            <w:u w:val="single"/>
            <w:shd w:val="clear" w:color="auto" w:fill="FFFFFF"/>
            <w:lang w:val="en-US" w:eastAsia="en-US" w:bidi="ar-SA"/>
          </w:rPr>
          <w:t>(1990), 51 B.C.L.R. (2d) 282</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In my view, the conduct of Mr. Friedmann in striking Ms. Thomson with a baseball bat when she had her hands up and had indicated that she was going to leave the premises showed a wilful or reckless indifference to Ms. Thomson's rights. Although Mr. Friedmann argues that a landlord has the right to protect his property, it was obvious from Ms. Thomson's conduct prior to the assault that she presented no threat and was going to leave the property on her own accord. Even though Ms. Thomson was defenceless and trying to leave, Mr. Friedmann struck her at least three times with a baseball bat, fracturing her arm.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The evidence is that Mr. Friedmann's behaviour caused mental distress for Ms. Thomson. Ms. Thomson testified that the assault will always be with her. She suffered from anxiety and sleeplessness after the incident. Her evidence is that she still occasionally has flashbacks to the incident when someone makes a movement around her head. In the circumstances, it is my view that an award of $2,500 is appropriate for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assault by the security staff of Rooster's has caused Mr. Reimer distress and humiliation. He was attacked in front of several patrons of Rooster's and stayed home due to embarrassment over his appearance after the beating. He also postponed seeking work and he was "down in the dumps" for a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Such a reaction by Mr. Reimer could have been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circumstances in this case are comparable to the facts in </w:t>
      </w:r>
      <w:r>
        <w:rPr>
          <w:rFonts w:ascii="arial" w:eastAsia="arial" w:hAnsi="arial" w:cs="arial"/>
          <w:i/>
          <w:color w:val="000000"/>
          <w:sz w:val="20"/>
          <w:lang w:val="en-US" w:eastAsia="en-US" w:bidi="ar-SA"/>
        </w:rPr>
        <w:t>Thomson</w:t>
      </w:r>
      <w:r>
        <w:rPr>
          <w:rFonts w:ascii="arial" w:eastAsia="arial" w:hAnsi="arial" w:cs="arial"/>
          <w:color w:val="000000"/>
          <w:sz w:val="20"/>
          <w:lang w:val="en-US" w:eastAsia="en-US" w:bidi="ar-SA"/>
        </w:rPr>
        <w:t xml:space="preserve"> in that Mr. Reimer was not a threat to the security staff after he and Mr. Murchie had gone out in the parking lot and were planning to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award aggravated damages in an amount of $3,000 in these circumstances.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Reimer seeks punitive damages in an amount of $12,000. Counsel for the defence did not address the claim for punitive damages in his written or oral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Thomson,</w:t>
      </w:r>
      <w:r>
        <w:rPr>
          <w:rFonts w:ascii="arial" w:eastAsia="arial" w:hAnsi="arial" w:cs="arial"/>
          <w:color w:val="000000"/>
          <w:sz w:val="20"/>
          <w:lang w:val="en-US" w:eastAsia="en-US" w:bidi="ar-SA"/>
        </w:rPr>
        <w:t xml:space="preserve"> Gerow J. also reviewed factors to consider for determining whether punitive damages are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In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[2002] 1 S.C.R. 595</w:t>
        </w:r>
      </w:hyperlink>
      <w:r>
        <w:rPr>
          <w:rFonts w:ascii="arial" w:eastAsia="arial" w:hAnsi="arial" w:cs="arial"/>
          <w:color w:val="000000"/>
          <w:sz w:val="20"/>
          <w:lang w:val="en-US" w:eastAsia="en-US" w:bidi="ar-SA"/>
        </w:rPr>
        <w:t>, the Supreme Court of Canada stated at para.94 that the following points are important in determining whether an award of punitive damages is appropriate:</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Punitive damages are very much the exception rather than the rule, (2) imposed </w:t>
      </w:r>
      <w:r>
        <w:rPr>
          <w:rFonts w:ascii="arial" w:eastAsia="arial" w:hAnsi="arial" w:cs="arial"/>
          <w:i/>
          <w:color w:val="000000"/>
          <w:sz w:val="20"/>
          <w:lang w:val="en-US" w:eastAsia="en-US" w:bidi="ar-SA"/>
        </w:rPr>
        <w:t>only</w:t>
      </w:r>
      <w:r>
        <w:rPr>
          <w:rFonts w:ascii="arial" w:eastAsia="arial" w:hAnsi="arial" w:cs="arial"/>
          <w:color w:val="000000"/>
          <w:sz w:val="20"/>
          <w:lang w:val="en-US" w:eastAsia="en-US" w:bidi="ar-SA"/>
        </w:rPr>
        <w:t xml:space="preserve"> if there has been high-handed, malicious, arbitrary or highly reprehensible misconduct that departs to a marked degree from ordinary standards of decent behaviour. (3) Where they are awarded, punitive damages should be assessed in an amount reasonably proportionate to such factors as the harm caused, the degree of the misconduct, the relative vulnerability of the plaintiff and any advantage or profit gained by the defendant, (4) having regard to any other fines or penalties suffered by the defendant for the misconduct in question. (5) Punitive damages are generally given only where the misconduct would otherwise be unpunished or where other penalties are or are likely to be inadequate to achieve the objectives of retribution, deterrence and denunciation. (6) Their purpose is not to compensate the plaintiff, but (7) to give a defendant his or her just desert (retribution), to deter the defendant and others from similar misconduct in the future (deterrence), and to mark the community's collective condemnation (denunciation) of what has happened. (8) Punitive damages are awarded </w:t>
      </w:r>
      <w:r>
        <w:rPr>
          <w:rFonts w:ascii="arial" w:eastAsia="arial" w:hAnsi="arial" w:cs="arial"/>
          <w:i/>
          <w:color w:val="000000"/>
          <w:sz w:val="20"/>
          <w:lang w:val="en-US" w:eastAsia="en-US" w:bidi="ar-SA"/>
        </w:rPr>
        <w:t>only</w:t>
      </w:r>
      <w:r>
        <w:rPr>
          <w:rFonts w:ascii="arial" w:eastAsia="arial" w:hAnsi="arial" w:cs="arial"/>
          <w:color w:val="000000"/>
          <w:sz w:val="20"/>
          <w:lang w:val="en-US" w:eastAsia="en-US" w:bidi="ar-SA"/>
        </w:rPr>
        <w:t xml:space="preserve"> where compensatory damages, which to some extent are punitive, are insufficient to accomplish these objectives, and (9) they are given in an amount that is no greater than necessary to rationally accomplish their purpose. (10) While normally the state would be the recipient of any fine or penalty for misconduct, the plaintiff will keep punitive damages as a "windfall" in addition to compensatory damages. (11) Judges and juries in our system have usually found that moderate awards of punitive damages, which inevitably carry a stigma in the broader community, are generally sufficient.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The court went on to note at para.95 that what is essential in determining whether an award of punitive damages should be made, and the amount of the award are the particular circumstances of the case, the fact that the remedy is exceptional, and fairness to both sides. In determining if punitive damages should be awarded, the court is to consider whether the conduct of a defendant should be punished over and above the requirement that he pay non-pecuniary, pecuniary, and aggravated damages: </w:t>
      </w:r>
      <w:r>
        <w:rPr>
          <w:rFonts w:ascii="arial" w:eastAsia="arial" w:hAnsi="arial" w:cs="arial"/>
          <w:i/>
          <w:color w:val="000000"/>
          <w:sz w:val="20"/>
          <w:lang w:val="en-US" w:eastAsia="en-US" w:bidi="ar-SA"/>
        </w:rPr>
        <w:t>Huff</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conduct of Mr. Turnau and Mr. Barber in particular, and to a slightly lesser extent the other security staff who either participated in the beating or stood idly by while the beating continued, was unnecessary, totally unacceptable, "high-handed, malicious, arbitrary and reprehensible" to a major degree. Further, compensatory damages in this case are inadequate to compensate Mr. Reimer. They would not provide the defendants with, as Gerow J. put it, their "just deserts", nor would they serve the objectives of "retribution, deterrence and denunciation" of the defendants'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assault in the parking lot was unprovoked and the entire episode should have ended with Mr. Reimer and Mr. Murchie walking out through the parking lot. It is also particularly objectionable that the beating was carried out in front of several of the patrons of Rooster's who had proceeded outside and into the parking lot, where, as completely independent witnesses, they were exposed to incredible brutality.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Considering all of the authorities referred to me on the issue of quantum, I award a sum of $20,000 as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award of punitive damages is made against both Mr. Turnau and Rooster's, as I have found the latter directly liable in addition to being vicariously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Costs will follow the event, subject to any information to which I am not currently privy. The parties may speak to entitlement on costs and the appropriate scale of costs to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R.W. JENKINS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9"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Reyes v. Marsden, [2015] B.C.J. No. 1080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J.C. Grauer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April 20-24, 28-30, May 1, 4-8, 2015.</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May 28, 2015.</w:t>
      </w:r>
    </w:p>
    <w:p>
      <w:pPr>
        <w:spacing w:before="120" w:line="260" w:lineRule="atLeast"/>
        <w:jc w:val="center"/>
        <w:rPr>
          <w:lang w:val="en-US" w:eastAsia="en-US" w:bidi="ar-SA"/>
        </w:rPr>
      </w:pPr>
      <w:r>
        <w:rPr>
          <w:rFonts w:ascii="arial" w:eastAsia="arial" w:hAnsi="arial" w:cs="arial"/>
          <w:color w:val="000000"/>
          <w:sz w:val="20"/>
          <w:lang w:val="en-US" w:eastAsia="en-US" w:bidi="ar-SA"/>
        </w:rPr>
        <w:t>Docket: S130578</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[2015] B.C.J. No. 1080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2015 BCSC 884</w:t>
      </w:r>
    </w:p>
    <w:p>
      <w:pPr>
        <w:spacing w:before="120" w:line="260" w:lineRule="atLeast"/>
        <w:rPr>
          <w:lang w:val="en-US" w:eastAsia="en-US" w:bidi="ar-SA"/>
        </w:rPr>
      </w:pPr>
      <w:r>
        <w:rPr>
          <w:rFonts w:ascii="arial" w:eastAsia="arial" w:hAnsi="arial" w:cs="arial"/>
          <w:color w:val="000000"/>
          <w:sz w:val="20"/>
          <w:lang w:val="en-US" w:eastAsia="en-US" w:bidi="ar-SA"/>
        </w:rPr>
        <w:t>Between Jerry Bulwan Reyes, Plaintiff, and Dr. J. Marsden,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(113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60" style="position:absolute;z-index:25168691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94" w:name="Keywords_26"/>
      <w:bookmarkEnd w:id="194"/>
      <w:r>
        <w:rPr>
          <w:rFonts w:ascii="arial" w:eastAsia="arial" w:hAnsi="arial" w:cs="arial"/>
          <w:b/>
          <w:color w:val="000000"/>
          <w:sz w:val="20"/>
          <w:lang w:val="en-US" w:eastAsia="en-US" w:bidi="ar-SA"/>
        </w:rPr>
        <w:t>Damages — Physical and psychological injuries — Physical injuries — Head injuries — Eyes — Total loss of vision — Considerations impacting on award — Degree of impairment — Permanent total or partial disability — Action by plaintiff for damages for medical malpractice allowed — Plaintiff went to emergency department of hospital, with complaints of worsening headache, vomiting and high fever — Emergency physician ordered plain head CT scan, which he read as normal because he missed brain tumor, so proceeded to conduct lumbar puncture — Plaintiff was blind a few hours later — Emergency physician fell below standard of care — Lumbar puncture caused blindness — Plaintiff was awarded $1,513,000.</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Standard of care — Particular professions — Doctors — Action by plaintiff for damages for medical malpractice allowed — Plaintiff went to emergency department of hospital, with complaints of worsening headache, vomiting and high fever — Emergency physician ordered plain head CT scan, which he read as normal because he missed brain tumor, so proceeded to conduct lumbar puncture — Plaintiff was blind a few hours later — Emergency physician fell below standard of care — Lumbar puncture caused blindness — Plaintiff was awarded $1,513,000.</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Professions responsibility — Self-governing professions — Duties — Duty of care — Standard of care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Liability — Causation — Damages — Professions — Health care — Doctors — Action by plaintiff for damages for medical malpractice allowed — Plaintiff went to emergency department of hospital, with complaints of worsening headache, vomiting and high fever — Emergency physician ordered plain head CT scan, which he read as normal because he missed brain tumor, so proceeded to conduct lumbar puncture — Plaintiff was blind a few hours later — Emergency physician fell below standard of care — Lumbar puncture caused blindness — Plaintiff was awarded $1,513,000.</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Causation — Action by plaintiff for damages for medical malpractice allowed — Plaintiff went to emergency department of hospital, with complaints of worsening headache, vomiting and high fever — Emergency physician ordered plain head CT scan, which he read as normal because he missed brain tumor, so proceeded to conduct lumbar puncture — Plaintiff was blind a few hours later — Emergency physician fell below standard of care — Lumbar puncture caused blindness — Plaintiff was awarded $1,513,000.</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95" w:name="Case Summary_25"/>
            <w:bookmarkEnd w:id="195"/>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the plaintiff for damages for medical malpractice. The plaintiff went to the emergency department of a hospital, with complaints of a worsening headache, vomiting and high fever. The emergency physician ordered a plain head CT scan, which he read as normal because he missed a brain tumor, so proceeded to conduct a lumbar puncture. A radiologist showed him the tumor. The plaintiff was blind a few hours later. </w:t>
            </w:r>
            <w:r>
              <w:rPr>
                <w:lang w:val="en-US" w:eastAsia="en-US" w:bidi="ar-SA"/>
              </w:rPr>
              <w:cr/>
            </w:r>
          </w:p>
          <w:p>
            <w:pPr>
              <w:spacing w:before="120" w:line="260" w:lineRule="atLeast"/>
              <w:ind w:left="240"/>
              <w:jc w:val="both"/>
              <w:rPr>
                <w:lang w:val="en-US" w:eastAsia="en-US" w:bidi="ar-SA"/>
              </w:rPr>
            </w:pPr>
            <w:bookmarkStart w:id="196" w:name="Holdings of Court_25"/>
            <w:bookmarkEnd w:id="196"/>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It was standard and accepted practice, at least among senior emergency physicians in urban centres in British Columbia, to read, interpret and act upon plain head CT scans. However, the emergency physician, having done so without availing himself of the assistance of a radiologist who was immediately at hand and in missing the tumor, fell below the standard of care reasonably expected of an emergency physician. The tumor was a "significant contraindication". The lumbar puncture caused the blindness. On a balance of probabilities, a process of infarction occurred in the tumor before the lumbar puncture, but had not yet reached the stage where vision was decreasing virtually by the minute. The lumbar puncture exacerbated and accelerated the process, resulting in the blindness. The plaintiff was awarded $1,513,000, as the parties agreed. </w:t>
            </w:r>
            <w:r>
              <w:rPr>
                <w:lang w:val="en-US" w:eastAsia="en-US" w:bidi="ar-SA"/>
              </w:rPr>
              <w:cr/>
            </w:r>
          </w:p>
          <w:p>
            <w:pPr>
              <w:rPr>
                <w:lang w:val="en-US" w:eastAsia="en-US" w:bidi="ar-SA"/>
              </w:rPr>
            </w:pPr>
          </w:p>
        </w:tc>
      </w:tr>
    </w:tbl>
    <w:p>
      <w:pPr>
        <w:jc w:val="both"/>
        <w:rPr>
          <w:lang w:val="en-US" w:eastAsia="en-US" w:bidi="ar-SA"/>
        </w:rPr>
      </w:pPr>
      <w:bookmarkStart w:id="197" w:name="Counsel_27"/>
      <w:bookmarkEnd w:id="197"/>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61" style="position:absolute;z-index:25173811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B.W. Lemer, F. Schweitzer.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Defendant:J.W. Lepp, Q.C., M.K. Gill.</w:t>
      </w:r>
      <w:r>
        <w:rPr>
          <w:lang w:val="en-US" w:eastAsia="en-US" w:bidi="ar-SA"/>
        </w:rPr>
        <w:cr/>
      </w:r>
    </w:p>
    <w:p>
      <w:pPr>
        <w:spacing w:after="240"/>
        <w:rPr>
          <w:lang w:val="en-US" w:eastAsia="en-US" w:bidi="ar-SA"/>
        </w:rPr>
      </w:pPr>
      <w:bookmarkStart w:id="198" w:name="Judgment_27"/>
      <w:bookmarkEnd w:id="198"/>
      <w:r>
        <w:pict>
          <v:line id="_x0000_s1162" style="position:absolute;z-index:251789312"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99" w:name="J.C. GRAUER J."/>
            <w:bookmarkEnd w:id="199"/>
            <w:r>
              <w:rPr>
                <w:rFonts w:ascii="arial" w:eastAsia="arial" w:hAnsi="arial" w:cs="arial"/>
                <w:b/>
                <w:color w:val="000000"/>
                <w:sz w:val="30"/>
                <w:lang w:val="en-US" w:eastAsia="en-US" w:bidi="ar-SA"/>
              </w:rPr>
              <w:t>J.C. GRAUER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I. 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May 4, 2012, the plaintiff, Mr. Reyes, began to feel unwell. He was then 42 years old. His chief symptom was headache. What he did not know is that he had a brain tumor, a meningioma, growing slowly but relentlessly from the base of his skull upwards against his optic nerves, stretching them and compressing them against his brain. The tumor had been growing for some considerable time, possibly as long as a decade.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By Monday, May 7, things had gotten bad enough to keep Mr. Reyes home from work, and on May 8, he went to see his family doctor. His physician thought the problem was likely due to flu or allergies, and recommended Tylenol cold medicine. He gave Mr. Reyes a note for being off work to May 13.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Wednesday, May 9, Mr. Reyes' headache became worse. He started vomiting, and he had a fever. Naturally concerned, he and his wife arranged for his transportation by ambulance to the emergency department of Mount Saint Joseph Hospital, where Mr. Reyes came under the care of the defendant, Dr. Julian Marsden, the attending emergency room physician. He was admitted at 1120. Investigation included a head CT scan that Dr. Marsden read as normal, and a lumbar puncture that would not have been undertaken had the tumor been identified.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1745, Mr. Reyes reported to the nurse who was conducting a neuro-vital sign check that he could not see. He remains functionally blind.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case concerns the events that took place at Mount Saint Joseph Hospital between those two times. There are two issues. Did Dr. Marsden fall below the appropriate standard of professional care in treating Mr. Reyes? If so, did his failure to meet the appropriate standard of care cause Mr. Reyes' blindness? If the answer to both questions is in the affirmative, the parties have agreed that Mr. Reyes is entitled to damages in the amount of $1,513,000.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To assist me in answering these questions, I have had the advantage of expert opinion evidence from a number of very eminent and experienced medical specialists, including three leading and highly-respected members of the Division of Neurosurgery in the University of British Columbia and Vancouver General Hospital. That these experts could not agree on just what happened here illustrates the difficulty of the task I have at hand.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II. CHRONOLOGY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Reyes' ambulance arrived at Mount Saint Joseph at 1120 on Wednesday, May 9, 2012. The admit time is shown as 1122. The nursing assessment is timed at 1125, while the note of Dr. David King, the attending resident who was working with Dr. Marsden, is timed at 1130. It is also noted that Dr. Marsden saw the patient on arrival.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ambulance crew reported a chief complaint of frontal headache and vomiting starting Friday, gradually increasing since then, with a runny nose and body pain and chills beginning yesterday (Tuesday). The pain was much worse today, with two episodes of vomiting before the ambulance arrived and one after. The patient complained of a headache at a pain level of 8/10, with sharp pain in both frontal areas. He reported that he suffered from migraines, but today's headache was not like those. No neuro deficits were recorded and no trauma was noted. Vital signs were essentially normal, except for a temperature of 39.0[degrees].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Dr. King's history at 1130 recorded that the headache had begun seven days ago and progressed gradually over five days. The patient was now achey, febrile, with rhinorrhea (runny nose). He had vomited several times today, his headache was now 10/10, the worst headache ever, and not like his normal migraines. There was no photophobia (light sensitivity), and throbbing was bilateral. Dr. King reported some vision blurring, but no weakness or numbness. There was no neck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King noted a past medical history of migraines and hypertension, and sensitivity to Advil. Mr. Reyes' medications consisted of a blood pressure medication, and Tylenol #3.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King then carried out an examination. He did not, however, chart what he learned from his examination beyond one brief note: "O/E-Drowsy." The "O/E" stands for "on examination". Dr. King acknowledged that he ought to have completed the charting of his examination, but Dr. Marsden then took over and indicated that he would complete this part of the chart.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Marsden conducted and charted his own examination, adding the words "but easy arousible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after Dr. King's "Drowsy".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Marsden's addition to Dr. King's note was the subject of controversy at trial. Mr. Reyes' level of consciousness at this time was a factor in considering whether a CT scan should be undertaken before a lumbar puncture. It was suggested to Dr. Marsden that, in effect, he altered the chart by adding his qualification of Dr. King's observation well after the time of his examination, when he knew that he had made a serious mistake. Dr. Marsden vociferously denied this, stating that this was his contemporary note intended to clarify Dr. King's description of Mr. Reyes' status. This was necessary, he said, because "drowsy" is an imprecise term that covers a wide range from nearly unconscious to a little tired.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accept Dr. Marsden's evidence in this regard. I do so for two reasons. First, the proposition that Mr. Reyes was easily arousable from whatever drowsiness was observed is consistent with the surrounding evidence, including the independent observations of the nurses that he was alert, oriented and conversant, his ability to interact with nurses and doctors, and the assessment of a Glasgow Coma Score of 15 (the highest level of consciousness).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second reason is that I found Dr. Marsden to be an impressively forthright witness, and I have no difficulty in accepting his evidence in the absence of some clear indication of error.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Marsden went on to note that Mr. Reyes' ears were clear (and so likely not the source of infection), that his pupils were equal and reactive to light, and that his cranial nerves III through XII were normal. The discs of the eyes were clear with no papilledema (a swelling or bulging of the optic discs due to increased intracranial pressure), the neck was supple, the chest was clear, and the cardiovascular system and heart sounds were normal. He did not check visual acuity or visual fields.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Marsden testified that the features that were most important to him were the fact that the problem had been progressing over five days or so, and was then suddenly much worse with a headache that was now 10/10, with a high fever. The fever would suggest an infection until proven otherwise.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these circumstances, the differential diagnosis he developed was fairly wide. High on the list was acute bacterial meningitis, which could have exceedingly serious consequences if not treated quickly. Also on the list were other infectious processes including sinusitis and a brain abscess. That the headache was getting worse could indicate a bleed into the brain or a tumor, with a possible bleed or infarct in the tumor. Consequently these, too, were on the list. Other possibilities, more remote, included vasculitis, systemic reasons (an infection elsewhere), and an unusual migraine presentation.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With this differential, Dr. Marsden thought it important to rule meningitis in or out, which could only be done through a lumbar puncture to permit analysis of the cerebrospinal fluid ("CSF"). But in order to ensure that it was safe to proceed with a lumbar puncture, he first ordered a plain (that is, without contrast) CT scan of the head. This would enable him to assess whether there was an abscess, a brain tumor or sinusitis, any of which would contraindicate a lumbar puncture.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 complete blood count was ordered and the results, available at 1208, were essentially normal, including a normal white blood cell count.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Marsden's order for a head CT scan was entered into the computer at 1151, and by 1215, the scan was in the computer and available to be read.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Marsden read it shortly thereafter (the precise time is not recorded), and interpreted it as normal. He therefore thought it appropriate to proceed to conduct a lumbar puncture. Had he seen the tumor, he testified, he would have consulted a neurosurgeon and would not have carried out the lumbar puncture.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lumbar puncture was performed by Dr. King under Dr. Marsden's supervision and began at about 1315. A total of 2.5 mL of fluid was taken according to the volume recorded by the lab. This, too, was a matter of some controversy; the manner in which the volume was recorded was somewhat ambiguous as to whether it related to just one tube, or all four tubes into which the CSF was placed. There was other evidence that it would be more typical to take a total of between 4 and 8 mL of fluid. After hearing all of the evidence, and in particular the evidence of Katherine Martinuk, manager of pathology and laboratory medicine at St. Paul's Hospital and Mount Saint Joseph Hospital, I find that the total volume taken was indeed 2.5 mL as recorded.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 approximately 1330 to 1335, Dr. Marsden had the CSF tubes in his hands and was ordering labels when the staff radiologist, Dr. Richard Lee, came into the room (the radiology department is next door to the emergency department). He asked Dr. Marsden whether he had seen the tumor. Dr. Marsden testified that his world turned upside down at this moment. He was shocked that he had missed such a thing, and very concerned that he had performed a lumbar puncture on someone with a brain tumor. Dr. Lee showed him the tumor, and then urged him to order a second head CT, this time with contrast. He did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Marsden acknowledged that it would have been appropriate at this time to order antibiotics to deal with any remaining possibility of meningitis. The CSF was clear, indicating no aggressive meningitis, but it could not be ruled out until the CSF had been analysed. He did not make that order, explaining that the patient was stable, the fluid was clear, and he was distracted by the "bombshell" he had just received. Nothing came of this omission.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order for the CT with contrast was entered at 1349, and the results were in the computer by 1416. Dr. Lee discussed this imaging with Dr. Marsden. The results from the CSF analysis started coming in at about 1445 and continued coming in through 1530. At about 1500, with more information at hand, Dr. Marsden put in a request for a consultation with the neurosurgeon on call at Vancouver General Hospital. That neurosurgeon was Dr. Gary Redekop, who gave expert opinion evidence at this trial on behalf of the plaintiff. Dr. Redekop is Head of the Department of Surgery in the University of British Columbia and Vancouver General Hospital, an associate professor in the UBC Division of Neurosurgery (an academic, as distinct from clinical, appointment), and holds the Alcan Chair in neuroscience.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There is no record of the time Dr. Redekop called back, but Dr. Marsden believes he must have spoken with Dr. Redekop not long after 1500.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Marsden testified that before speaking with Dr. Redekop, he carried out a further examination of Mr. Reyes in order to confirm his neurological status before talking to the neurosurgeon. He made no record of this exam, but I accept his evidence that he carried one out, and that it was normal. I am satisfied that he would want to make sure that he had the appropriate information available for his consultation with the on-call neurosurgeon, and that if he did not, Dr. Redekop would have required it. The consultation could not otherwise have been meaningful. Moreover, Dr. Redekop's response was inconsistent with the report of anything other than a normal neurological status.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Marsden's evidence is also consistent with the nursing neurovital sign check that was undertaken at 1530, and which was entirely normal. At that time, Mr. Reyes reported to the nurse that his headache was better. His temperature had fallen to 37.5[degrees]. His pupils were of an appropriate size, equal, and briskly reactive to light.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Marsden expected that when he explained to Dr. Redekop what had happened, he would be told he had caused a problem and to transfer Mr. Reyes to Vancouver General Hospital immediately. He was, he said, quite relieved when that proved not to be the case. Instead, Dr. Redekop told him that Mr. Reyes could go home when ready, and that Dr. Redekop's office would contact Mr. Reyes to arrange for an appointment as soon as possible. Accordingly, Dr. Marsden instructed the unit clerk to fax Mr. Reyes' chart to Dr. Redekop's office, and made sure that Mr. Reyes' cell number was included. Dr. King saw to it that Mrs. Reyes' number was also on the chart. Dr. Marsden felt like he (and his patient) had dodged a bullet.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1610, one of the nurses checked on Mr. Reyes, and recorded "no voiced complaints". I accept the nurse's explanation that this means that he did not carry out an examination, but asked Mr. Reyes if he was okay and whether he needed anything. The response from Mr. Reyes was that he was okay. Mr. Reyes was awake and responsive.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1630, Dr. Marsden prepared a discharge summary, stating: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Increasing headache x 1 week. Febrile. Drowsy but easily arousable, oriented x 3. No papilledema. CT contrast suggests a planum sphenoidal meningioma. LP done -- gram stain negative. No WBC. Will [follow up] with Dr. Redekop. Chart faxed to Dr. Redekop's office.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Marsden's shift ended at 1700, and he left the hospital. As far as he was aware, Mr. Reyes was in satisfactory condition at that time, and getting ready to go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At 1745, another nurse carried out a further neurovital sign check. These checks begin with taking vital signs and then move to an assessment of the Glasgow Coma Scale, an examination of the pupils, and a check of limb strength. The pupil exam consists of estimating the size of the pupils, and shining a light in them to determine their reaction.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nurse testified, and I accept, that Mr. Reyes said nothing until she began to check his eyes. At that point, she noted that the pupils had increased in size and were fixed, and Mr. Reyes told her that he was unable to see. She immediately advised the emergency physician who had taken over from Dr. Marsden, and began to prepare Mr. Reyes for transfer to neurosurgery at Vancouver General Hospital. Until then, she had understood that he was to go home and follow-up at Vancouver General Hospital as an outpatient.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Reyes was transferred to the care of Dr. Redekop, and arrived at Vancouver General Hospital at 2107 on May 9. He was seen by the ophthalmology service, which confirmed his profound vision loss with absent light perception. Dr. Redekop dictated that, "Although the mechanism and pathophysiology is not entirely clear, I presume that this is a compressive optic neuropathy relating to the suprasellar tumor". Dr. Redekop arranged for an urgent MRI scan, and then, on May 10, carried out an urgent craniotomy to remove the tumor and decompress the optic apparatus.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Although Mr. Reyes experienced some recovery in his vision, it remained severely impaired. He asked his ophthalmologist, Dr. Anderson, for a referral for a second neurosurgical opinion regarding his situation. Dr. Anderson referred him to Dr. Brian Toyota, who also gave expert evidence at this trial. Mr. Reyes and his wife saw Dr. Toyota on July 10 and September 6, 2012. According to Mrs. Reyes, it was Dr. Toyota who recommended that they talk to a lawyer, because he believed that something had gone wrong in Mr. Reyes' case. She reported that Dr. Toyota was particularly concerned that a lumbar puncture had been carried out in the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III. DISCUSSION</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 xml:space="preserve">A. </w:t>
      </w:r>
      <w:r>
        <w:rPr>
          <w:rFonts w:ascii="arial" w:eastAsia="arial" w:hAnsi="arial" w:cs="arial"/>
          <w:b/>
          <w:color w:val="000000"/>
          <w:sz w:val="20"/>
          <w:u w:val="single"/>
          <w:lang w:val="en-US" w:eastAsia="en-US" w:bidi="ar-SA"/>
        </w:rPr>
        <w:t>Standard of Care</w:t>
      </w:r>
    </w:p>
    <w:p>
      <w:pPr>
        <w:spacing w:before="120" w:line="260" w:lineRule="atLeast"/>
        <w:ind w:left="1080"/>
        <w:rPr>
          <w:lang w:val="en-US" w:eastAsia="en-US" w:bidi="ar-SA"/>
        </w:rPr>
      </w:pPr>
      <w:r>
        <w:rPr>
          <w:rFonts w:ascii="arial" w:eastAsia="arial" w:hAnsi="arial" w:cs="arial"/>
          <w:b/>
          <w:i/>
          <w:color w:val="000000"/>
          <w:sz w:val="20"/>
          <w:lang w:val="en-US" w:eastAsia="en-US" w:bidi="ar-SA"/>
        </w:rPr>
        <w:t>1. The Issues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From what I have set out above, it will be apparent that a lumbar puncture is generally considered medically contraindicated in the presence of a brain tumor. That is the clear consensus of all of the experts who testified on the issue, as well as the articles entered into evidence that were considered authoritative. One of the defence experts on standard of care, Dr. Joseph Haegert, a very experienced emergency physician who was formerly chief of emergency medicine at Royal Columbian Hospital, and is currently chief of that hospital's trauma service, did go so far as to suggest that it would have been appropriate to proceed to lumbar puncture even with knowledge of the tumor in this case, given the absence of any evidence of increased intracranial pressure. He was alone in advancing that view, and retreated from it somewhat in his evidence at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That is, in any event, a red herring. Dr. Marsden was quite clear that he would not have proceeded to carry out a lumbar puncture had he realized that there was a tumor, but would instead have consulted the on-call neurosurgeon. The on-call neurosurgeon was Dr. Redekop. Dr. Redekop was equally clear in his evidence that if he had been consulted before the lumbar puncture took place, he would have told Dr. Marsden not to do it. Consequently, it follows, and I find, that if Dr. Marsden had become aware of the tumor before the lumbar puncture procedure, the lumbar puncture would not have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reason for not doing a lumbar puncture in the face of a mass lesion such as a tumor is the potential for serious damage resulting from a change in the pressure around the brain due to the removal of cerebrospinal fluid. This can lead to neurological consequences including brain herniation, a potentially catastrophic problem, due to the intracranial pressure exceeding the pressure in the spinal compartment below, exerting downward force on the brain that leads to compression of the brainstem. Whether it was this kind of process that led to the final damage to the optic nerves in this case will be discussed below.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Much time was spent on the indications for undertaking a head CT scan before proceeding to lumbar puncture. What signs and symptoms should raise concern in this regard? What level of consciousness? What focal neurological symptoms? Dr. Andrew Woolfenden, an expert in neurology called by the defence, testified that in his opinion, the clinical picture presented by Mr. Reyes did not require a CT scan before proceeding to lumbar puncture. I was not convinced. But once again, it is my view that these questions are largely irrelevant in the circumstances of this case. The fact is that Dr. Marsden did order a head CT scan before proceeding to lumbar puncture, and the weight of the expert evidence, which I accept, is that it was prudent and proper for him to do so in the circumstances. The issues arise in what he did with that CT scan.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What he did was read it himself and act upon his own interpretation, which happened to be incorrect. From this, two questions arise. Did Dr. Marsden fall below the standard of care reasonably to be expected of emergency physicians in interpreting and acting upon the CT scan himself, instead of obtaining a radiological consultation? As we have seen, the staff radiologist saw the tumor and immediately went down the hall to ask Dr. Marsden about it. Obviously, if Dr. Marsden had consulted the radiologist before doing the lumbar puncture, he would have learned of the tumor's existence.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If it was reasonable for Dr. Marsden to interpret and act upon the CT scan himself, then the second question arises: did he fall below the standard of care reasonably to be expected of emergency physicians in his circumstances by failing to see the tumor that was there?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am satisfied that these are the only two meaningful issues. No expert seriously disputed the wisdom of including acute bacterial meningitis high on the differential diagnosis, and planning to rule it out through a lumbar puncture. Dr. Marsden properly included other potential problems on his differential, including brain tumor. That is why he took the prudent step of ordering a plain CT scan of the head before proceeding to a lumbar puncture.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One of the plaintiff's experts, Dr. R.W. Bullock, also a very experienced emergency physician who is an associate clinical professor in the Division of Emergency Medicine at McMaster University, suggested that acute bacterial meningitis should have been rather far down the differential list in view of the absence of neck symptoms, and the normal white blood cell count. While I accept that these features might reduce the likelihood of acute bacterial meningitis being the problem, I find that they would not by any means eliminate it from of the differential or reduce the reasonableness of a lumbar puncture as a diagnostic tool once a normal CT scan was obtained. Not in the face of a temperature of 39[degrees], a sign associated with infection, not with a tumor. The problem here was that the CT scan was erroneously read. As noted, if properly read, there would have been no lumbar puncture.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Although I have referred to two meaningful issues, I find that I am unable to discuss them separately. They intertwine. This is because the degree to which it may have been reasonable for Dr. Marsden to miss the tumor is likely to inform the degree to which it was reasonable for him to eschew reliance on a readily-available radiologist. Similarly, the degree to which it was reasonable for him to read it himself may be informed by how certain he could be that he would not miss something as important as a tumor.</w:t>
      </w:r>
      <w:r>
        <w:rPr>
          <w:lang w:val="en-US" w:eastAsia="en-US" w:bidi="ar-SA"/>
        </w:rPr>
        <w:cr/>
      </w:r>
    </w:p>
    <w:p>
      <w:pPr>
        <w:spacing w:line="260" w:lineRule="atLeast"/>
        <w:ind w:left="1080"/>
        <w:rPr>
          <w:lang w:val="en-US" w:eastAsia="en-US" w:bidi="ar-SA"/>
        </w:rPr>
      </w:pPr>
      <w:r>
        <w:rPr>
          <w:rFonts w:ascii="arial" w:eastAsia="arial" w:hAnsi="arial" w:cs="arial"/>
          <w:b/>
          <w:i/>
          <w:color w:val="000000"/>
          <w:sz w:val="20"/>
          <w:lang w:val="en-US" w:eastAsia="en-US" w:bidi="ar-SA"/>
        </w:rPr>
        <w:t>2. Was it reasonable for Dr. Marsden to read and act upon the CT scan himself, and was it reasonable for him to miss the tumor?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defence led expert evidence on the practice in this regard from Dr. Haegert, who has practised emergency medicine for 23 years at Royal Columbian Hospital and also at Eagle Ridge Hospital, Dr. Bruce Long, who worked as a full-time emergency physician at Lions Gate Hospital from 1990 through 2013, and of course from Dr. Marsden who has practised as a full-time staff emergency physician at St. Paul's Hospital since 1992, and as part of a group covering both St. Paul's Hospital and Mount Saint Joseph Hospital since 2000. The expert evidence upon which the plaintiff relies came principally from Dr. Bullock and from Dr. Brian Toyota.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defence objected to the admissibility of expert evidence from Dr. Toyota on this issue, given that Dr. Toyota is a neurosurgeon, and practised only a year or so as an emergency physician in the early part of his distinguished career. Dr. Toyota is presently Head of the Division of Neurosurgery in the University of British Columbia and Vancouver General Hospital, president of the Canadian Neurosurgical Society and an assistant professor (again an academic, as distinct from clinical, appointment) in the UBC Division of Neurosurgery, Department of Surgery.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allowed most of Dr. Toyota's opinion to be received into evidence, but subject to weight, given that he did not have extensive or current expertise as an emergency physician. I noted, however, that his opinion was based principally on what he described as elementary principles as taught to students at medical school, he is active in national committees that deal with standards of patient safety, and he is a member of the specialty with which emergency physicians would consult about precisely the sort of problem that arose 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defence also objected that Dr. Toyota was an advocate, having been the one to refer the plaintiff to a lawyer, and given the nature of his evidence. I agree that Dr. Toyota was an advocate - not, however, for the plaintiff, but rather for high standards of patient safety, about which he was passionate. The real question is whether the standard he advocates is higher than what is reasonably to be expected of an emergency physician in the circumstances. In his view, emergency physicians contemplating a procedure such as a lumbar puncture should invariably consult a radiologist before acting on a head CT scan, as the potential consequences of a misinterpretation are so serious.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the end, I rely more heavily on the evidence of the emergency physicians in analysing the standard of care issues.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thrust of the opinion of the plaintiff's experts is simple: emergency physicians are not as good at reading head CT scans as radiologists. In situations where, as here, the patient is stable, the potential consequences of a mistaken reading include the catastrophic, and a radiologist is readily at hand, reasonable care demands that, for the safety of the patient, the emergency physician take that extra step of consulting with the radiologist. There is no downside to doing so, and in this way, the physician complies with his duty to make use of available resources, and to understand the limits of his own expertise; see, for instance, </w:t>
      </w:r>
      <w:r>
        <w:rPr>
          <w:rFonts w:ascii="arial" w:eastAsia="arial" w:hAnsi="arial" w:cs="arial"/>
          <w:i/>
          <w:color w:val="000000"/>
          <w:sz w:val="20"/>
          <w:lang w:val="en-US" w:eastAsia="en-US" w:bidi="ar-SA"/>
        </w:rPr>
        <w:t>De la Giroday v Brough</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[1997] 6 WWR 585</w:t>
        </w:r>
      </w:hyperlink>
      <w:r>
        <w:rPr>
          <w:rFonts w:ascii="arial" w:eastAsia="arial" w:hAnsi="arial" w:cs="arial"/>
          <w:color w:val="000000"/>
          <w:sz w:val="20"/>
          <w:lang w:val="en-US" w:eastAsia="en-US" w:bidi="ar-SA"/>
        </w:rPr>
        <w:t xml:space="preserve"> at para 9 (BCCA), </w:t>
      </w:r>
      <w:r>
        <w:rPr>
          <w:rFonts w:ascii="arial" w:eastAsia="arial" w:hAnsi="arial" w:cs="arial"/>
          <w:i/>
          <w:color w:val="000000"/>
          <w:sz w:val="20"/>
          <w:lang w:val="en-US" w:eastAsia="en-US" w:bidi="ar-SA"/>
        </w:rPr>
        <w:t>Phillips v Central Cariboo Chilcotin Council</w:t>
      </w:r>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2002 BCSC 860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Williams (Litigation Guardian of) v Bowler</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[2005] OJ No. 3323</w:t>
        </w:r>
      </w:hyperlink>
      <w:r>
        <w:rPr>
          <w:rFonts w:ascii="arial" w:eastAsia="arial" w:hAnsi="arial" w:cs="arial"/>
          <w:color w:val="000000"/>
          <w:sz w:val="20"/>
          <w:lang w:val="en-US" w:eastAsia="en-US" w:bidi="ar-SA"/>
        </w:rPr>
        <w:t xml:space="preserve"> (SCJ) at para 239 </w:t>
      </w:r>
      <w:r>
        <w:rPr>
          <w:rFonts w:ascii="arial" w:eastAsia="arial" w:hAnsi="arial" w:cs="arial"/>
          <w:i/>
          <w:color w:val="000000"/>
          <w:sz w:val="20"/>
          <w:lang w:val="en-US" w:eastAsia="en-US" w:bidi="ar-SA"/>
        </w:rPr>
        <w:t>et seq</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To the response that it is standard and accepted practice for emergency physicians to read their own head CT scans and act on them in all situations, the plaintiff asserts that in the circumstances just outlined, where the consequences are potentially serious, the patient is stable, and a radiologist is readily at hand, then the practice is itself negligent. By following it, the plaintiff argues, the defendant engaged in ritualistic reliance on practice at the expense of patient safety: </w:t>
      </w:r>
      <w:r>
        <w:rPr>
          <w:rFonts w:ascii="arial" w:eastAsia="arial" w:hAnsi="arial" w:cs="arial"/>
          <w:i/>
          <w:color w:val="000000"/>
          <w:sz w:val="20"/>
          <w:lang w:val="en-US" w:eastAsia="en-US" w:bidi="ar-SA"/>
        </w:rPr>
        <w:t>Smith (Litigation Guardian of) v MacRae</w:t>
      </w:r>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[2008] OJ No. 3930</w:t>
        </w:r>
      </w:hyperlink>
      <w:r>
        <w:rPr>
          <w:rFonts w:ascii="arial" w:eastAsia="arial" w:hAnsi="arial" w:cs="arial"/>
          <w:color w:val="000000"/>
          <w:sz w:val="20"/>
          <w:lang w:val="en-US" w:eastAsia="en-US" w:bidi="ar-SA"/>
        </w:rPr>
        <w:t xml:space="preserve"> (SCJ) at paras 53-54; </w:t>
      </w:r>
      <w:r>
        <w:rPr>
          <w:rFonts w:ascii="arial" w:eastAsia="arial" w:hAnsi="arial" w:cs="arial"/>
          <w:i/>
          <w:color w:val="000000"/>
          <w:sz w:val="20"/>
          <w:lang w:val="en-US" w:eastAsia="en-US" w:bidi="ar-SA"/>
        </w:rPr>
        <w:t>Roberge v Bolduc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[1991] 1 SCR 374</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at paras 42-44.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Alternatively, the plaintiff submits, if the emergency physician is going to take sole responsibility for reading head CT scans, he must be held to the same standard as a radiologist. He ought not to be heard to excuse his failure to see a tumor by saying he does not have the expertise of a radiologist, while at the same time maintaining that it would be unreasonable to expect him to consult with a radiologist.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From the evidence of the defence experts, there can be no doubt, and I find, that it is standard and accepted practice, at least among senior emergency physicians in urban centres in British Columbia, for emergency physicians to read, interpret and act upon plain head CT scans. They do it all the time. They have learned on the job through years of experience. It has not been a matter of formal training.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At hospitals like St. Paul's, Royal Columbian and Lions Gate, the emergency physicians note their interpretations on the computer when they read the films, and if the radiologists who subsequently review them note any discrepancy, that will be immediately communicated, although this may be some time after the emergency physician has read and acted on the scan. In this way, the emergency physicians can test their skill on an ongoing basis. The results have been reassuring.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Even Dr. Bullock noted that some emergency doctors are very skilled at interpreting subtle tumors on CT (although he did not think this one was subtle), while others rely on the radiologist. So the practice of self-reliance among very skilled emergency doctors is not limited to British Columbia.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justifying the practice, Dr. Haegert explained how very highly skilled emergency doctors have become at interpreting plain CT scans of the head, so that it is the standard for them to do so across Canada. He would consider himself an expert at reading such scans, something at which he and other senior emergency physicians are "very, very good". According to Dr. Haegert, "It is often many hours later that CT's are read by radiologists and it would ruin the patient flow-through in the department if we had to wait for CT head scans to be read by a radiologist".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Marsden testified that he has read between 3,000 and 5,000 plain head CT scans over his 25-year career and has had only one "miss" before, a small hematoma that was fortunately of no consequence. When he reviewed that film with his colleagues on rounds, they missed it too. He and his colleagues do not read their own CT scans of the spine or of the abdomen, but head scans have been around a good deal longer, and tend to be more urgent.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Marsden agreed that the younger emergency doctors at St. Paul's tend not to read their own head scans. They now have a CT scanner and radiologist in the emergency department so the younger emergency physicians have not gained the experience of reading them on their 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When asked what would be the downside of waiting for the radiologist's confirmation given the risk of significant neurological complications, Dr. Marsden answered, "None, but that's not the way we practice". That practice is based upon long experience, he said, that shows that they have been very good at reading head CTs and acting on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When asked why he missed the tumor, Dr. Marsden explained that the tumor was "fairly similar" in density to the surrounding tissues, and, though large, had no mass effect that distorted other structures. One exception to this observation pointed out to me on the CT scan by Dr. Ryojo Akagami, another defence expert, is the change caused by the tumor to the shape of the bone structure around it. The bone had been eroded by the tumor's long-standing presence, leaving the edges rounded where they should have been sharp.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Marsden went on to explain that the cisterns (open areas around the area of the tumor normally filled with CSF) were "fairly symmetrical", and were not compressed or distorted as one might expect with a tumor, and the tumor was right in the middle so that there was no asymmetry.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Haegert testified that he did a blind test. He was given the CT scan to look at without knowing what to look for or what the case was about, and he, too, missed the tumor. Dr. Long stated that although the tumor can be seen in retrospect, "most emergency physicians and I would not have identified the planum sphenoidal meningioma on this non-contrast CT Head".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Dr. Toyota's view, that Dr. Haegert and Dr. Long say they would, like Dr. Marsden, have missed this tumor, demonstrates the danger of the practice they support. For my part, I was not particularly impressed by the evidence of Dr. Haegert and Dr. Long in this regard. The defence points out that Dr. Haegert underwent a true blind test, so that his evidence should be preferred to that of Dr. Bullock, who conceded that he had been "cued" as to where to look by the clinical findings. But Dr. Marsden had Mr. Reyes' clinical picture to cue him, which had led him to include a brain tumor in his differential diagnosis. A blind test undertaken in a medical-legal context does not tell me what could reasonably be expected of Dr. Marsden faced with a very ill patient with a possible brain tumor.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defence asserts, correctly, that the law requires Dr. Marsden to be judged by the standards of physicians of his own specialty of emergency medicine, not the standards to be expected of specialists in other fields; see, for instance</w:t>
      </w:r>
      <w:r>
        <w:rPr>
          <w:rFonts w:ascii="arial" w:eastAsia="arial" w:hAnsi="arial" w:cs="arial"/>
          <w:i/>
          <w:color w:val="000000"/>
          <w:sz w:val="20"/>
          <w:lang w:val="en-US" w:eastAsia="en-US" w:bidi="ar-SA"/>
        </w:rPr>
        <w:t>, Wilson v Swanson</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xml:space="preserve"> at 811-12, and </w:t>
      </w:r>
      <w:r>
        <w:rPr>
          <w:rFonts w:ascii="arial" w:eastAsia="arial" w:hAnsi="arial" w:cs="arial"/>
          <w:i/>
          <w:color w:val="000000"/>
          <w:sz w:val="20"/>
          <w:lang w:val="en-US" w:eastAsia="en-US" w:bidi="ar-SA"/>
        </w:rPr>
        <w:t>Ter Neuzen</w:t>
      </w:r>
      <w:r>
        <w:rPr>
          <w:rFonts w:ascii="arial" w:eastAsia="arial" w:hAnsi="arial" w:cs="arial"/>
          <w:color w:val="000000"/>
          <w:sz w:val="20"/>
          <w:lang w:val="en-US" w:eastAsia="en-US" w:bidi="ar-SA"/>
        </w:rPr>
        <w:t xml:space="preserve"> at paras 33-38. The defence further says, correctly, that the law does not require of Dr. Marsden a standard of perfection. It is a standard of reasonableness he must meet, not of excellence: </w:t>
      </w:r>
      <w:r>
        <w:rPr>
          <w:rFonts w:ascii="arial" w:eastAsia="arial" w:hAnsi="arial" w:cs="arial"/>
          <w:i/>
          <w:color w:val="000000"/>
          <w:sz w:val="20"/>
          <w:lang w:val="en-US" w:eastAsia="en-US" w:bidi="ar-SA"/>
        </w:rPr>
        <w:t>Carlsen v Southerland</w:t>
      </w:r>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2006 BCCA 214</w:t>
        </w:r>
      </w:hyperlink>
      <w:r>
        <w:rPr>
          <w:rFonts w:ascii="arial" w:eastAsia="arial" w:hAnsi="arial" w:cs="arial"/>
          <w:color w:val="000000"/>
          <w:sz w:val="20"/>
          <w:lang w:val="en-US" w:eastAsia="en-US" w:bidi="ar-SA"/>
        </w:rPr>
        <w:t xml:space="preserve"> at paras 13-15.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On the evidence, however, I find that while Dr. Marsden should not be judged by the standard of a specialist in radiology (as to which standard I have little evidence), he is nevertheless required to meet a high standard indeed when it comes to the interpretation of plain head CT scans. This follows from his own evidence and that of the expert emergency physicians who testified on his behalf. As Dr. Long put it, "it is a skill of emergency medicine specialists to be able to independently assess a non-contrast CT head to the level of expertise to exclude significant contraindications prior to LP". I find that this tumor was such a 'significant contraindication'. It follows that the level of expertise reasonably to be expected of Dr. Marsden should have enabled him to identify it. This is consistent with Dr. Haegert's description of emergency physicians being "expert" at reading head CT scans, and "very, very good" at it, and with Dr. Marsden's experience of only one minor miss in interpreting over 3,000 such scans.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That a high level of skill in interpretation is reasonably to be expected is the only possible justification for the standard of practice that Dr. Marsden and the defence experts all follow. Otherwise, the standard would itself appear to be negligent, as it would expose patients to a risk of significant harm in circumstances where there were no exigencies requiring immediate action, and no downside to consulting a radiologist who was present and available.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Did Dr. Marsden meet that high standard? In my view, he did not. The whole point of undertaking the CT scan was to look for problems of this very nature. While Dr. Marsden and others have explained why it was not easy to see, no one has suggested that emergency physicians should be expected to see only what is obvious or easily discerned. Dr. Bullock considered that "the tumor in this case was not subtle", and, of course, Dr. Lee did not miss it. There was certainly no evidence that the tumor was rare or that it presented in an unexpected location. On the contrary, it was among the very things that Dr. Marsden was looking for. Dr. Toyota testified that the tumor was located in a "very common site for meningiomas". Although Dr. Akagami suggested that meningiomas in this area were "relatively uncommon" (they are not necessarily skull-based), he noted that it was invariably the site for pituitary tumors, which behave like meningiomas. Clearly, it was an area where a tumor might reasonably be expected to occur. It was relatively large, yet Dr. Marsden missed it. He then carried out a procedure he would never have undertaken had he seen the tumor. He was horrified to learn that he had done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defence points out that, under cross-examination, Dr. Bullock (who did not think the tumor subtle) conceded that if this case were only about whether Dr. Marsden should have seen the tumor, he would not have taken it on. Be that as it may, it is a necessary corollary of his observation that some emergency doctors are very skilled at interpreting subtle tumors on CT while others rely on the radiologist, that those whose practice is not to rely on the radiologist should have the appropriate level of skill. That seems to me to be obvious, and consistent with the evidence of Dr. Haegert and Dr. Marsden about their practice and skill levels.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Accordingly, I conclude that in missing this tumor, having taken on the responsibility of interpreting and acting upon the CT scan without availing himself of the assistance of a radiologist who was immediately at hand, Dr. Marsden fell below the standard of care reasonably to be expected of an emergency physician in his circumstances. The defence cannot have it both ways. If Dr. Marsden could not reasonably be expected to see a meningioma in this location with this level of visibility, then reasonable care would require him to consult someone who could. The fact that standard and accepted emergency medicine practice was to read the scan and act without consultation emphasizes the high degree of skill reasonably to be expected of an emergency physician in interpreting the scan. Notwithstanding his considerable skill and experience, I find that Dr. Marsden uncharacteristically failed to meet that expectation on this one occasion.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turn next to consider the question of causation: whether that failure caused Mr. Reyes' blindness.</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 xml:space="preserve">B. </w:t>
      </w:r>
      <w:r>
        <w:rPr>
          <w:rFonts w:ascii="arial" w:eastAsia="arial" w:hAnsi="arial" w:cs="arial"/>
          <w:b/>
          <w:color w:val="000000"/>
          <w:sz w:val="20"/>
          <w:u w:val="single"/>
          <w:lang w:val="en-US" w:eastAsia="en-US" w:bidi="ar-SA"/>
        </w:rPr>
        <w:t>Causation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legal test for causation is now clear. As the Supreme Court of Canada put it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[2012] 2 SCR 181</w:t>
        </w:r>
      </w:hyperlink>
      <w:r>
        <w:rPr>
          <w:rFonts w:ascii="arial" w:eastAsia="arial" w:hAnsi="arial" w:cs="arial"/>
          <w:color w:val="000000"/>
          <w:sz w:val="20"/>
          <w:lang w:val="en-US" w:eastAsia="en-US" w:bidi="ar-SA"/>
        </w:rPr>
        <w: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[6] On its own, proof by an injured plaintiff that the defendant was negligent does not make that defendant liable for the loss. The plaintiff must also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the standard of care) </w:t>
      </w:r>
      <w:r>
        <w:rPr>
          <w:rFonts w:ascii="arial" w:eastAsia="arial" w:hAnsi="arial" w:cs="arial"/>
          <w:i/>
          <w:color w:val="000000"/>
          <w:sz w:val="20"/>
          <w:lang w:val="en-US" w:eastAsia="en-US" w:bidi="ar-SA"/>
        </w:rPr>
        <w:t>caused</w:t>
      </w:r>
      <w:r>
        <w:rPr>
          <w:rFonts w:ascii="arial" w:eastAsia="arial" w:hAnsi="arial" w:cs="arial"/>
          <w:color w:val="000000"/>
          <w:sz w:val="20"/>
          <w:lang w:val="en-US" w:eastAsia="en-US" w:bidi="ar-SA"/>
        </w:rPr>
        <w:t xml:space="preserve"> the injury. That link is causation.</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[8] The test for showing causation is the "but for" test. The plaintiff must show on a balance of probabilities that "but for" the defendant's negligent act, the injury would not have occurred. Inherent in the phrase "but for" is the requirement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necessary to bring about the injury -- in other words that the injury would not have occurred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is a factual inquiry. If the plaintiff does not establish this on a balance of probabilities, having regard to all the evidence, her action against the defendant fails.</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[9] The "but for" causation test must be applied in a robust common sense fashion. There is no need for scientific evidence of the precise contribution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made to the injury. See </w:t>
      </w:r>
      <w:r>
        <w:rPr>
          <w:rFonts w:ascii="arial" w:eastAsia="arial" w:hAnsi="arial" w:cs="arial"/>
          <w:i/>
          <w:color w:val="000000"/>
          <w:sz w:val="20"/>
          <w:lang w:val="en-US" w:eastAsia="en-US" w:bidi="ar-SA"/>
        </w:rPr>
        <w:t>Wilsher v. Essex Area Health Authority</w:t>
      </w:r>
      <w:r>
        <w:rPr>
          <w:rFonts w:ascii="arial" w:eastAsia="arial" w:hAnsi="arial" w:cs="arial"/>
          <w:color w:val="000000"/>
          <w:sz w:val="20"/>
          <w:lang w:val="en-US" w:eastAsia="en-US" w:bidi="ar-SA"/>
        </w:rPr>
        <w:t xml:space="preserve">, [1988] A.C. 1074 (H.L.), at p. 1090,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Lord Bridge;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As discussed above, it is clear that if Dr. Marsden had identified the tumor on the head CT scan, he would not have carried out the lumbar puncture. Instead, he would have consulted the neurosurgeon on call, who was Dr. Redekop. Dr. Redekop, we know, would have instructed Dr. Marsden not to proceed with a lumbar puncture. I infer that Dr. Redekop would then have proceeded as he did, and arrange for his office to contact Mr. Reyes to schedule an appointment on an urgent basis, which means within one or two days.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question is whether, on this scenario, Mr. Reyes would nevertheless have lost his vision just as he did; or, in the absence of the lumbar puncture, would his vision have been preserved pending removal of the tumor. In short, but for the lumbar puncture, would Mr. Reyes still have functional vision?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Looking at the morning of May 9, 2012, there is no doubt, on the evidence, that Mr. Reyes' optic nerves had been badly stretched and compressed by the pressure of the tumor. It would take very little additional stress to induce the blindness that occurred. That last bit of stress, that final straw, says the plaintiff, was provided by effect on the brain of the pressure change caused by the removal of CSF during the lumbar puncture together with CSF leakage thereafter.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Not so, argues the defendant. Rather, an acute process had been developing in the tumor over the past few days, causing the plaintiff's illness. That process became suddenly worse on May 9, leading to an apoplexy in the tumor resulting in necrosis and infarct. This led Mr. Reyes to the hospital, and along the path to a CT scan and lumbar puncture. But quite independently, the infarct led to sufficient expansion of the tumor to provide that last bit of stress necessary to push the optic nerves past their tipping point, and the vision loss followed. The lumbar puncture had nothing to do with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plaintiff's theory is supported by the expert opinion evidence of Dr. Toyota and Dr. Redekop, although their opinions differ as to the mechanics. The plaintiff also relies on the opinion evidence of Dr. Hamed Farid, a neuroradiologist who is an associate professor of Radiology and Neurosurgery at the University of California at Irvine.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defendant's theory is supported by the third distinguished member of the UBC/VGH Division of Neurosurgery, Dr. Ryojo Akagami, a clinical associate professor and Program Director for UBC's Neurosurgical Residency Program. Dr. Akagami has a subspecialty in Cranial Base Microneurosurgery. As such, his practice is focused on skull base tumors, of which Mr. Reyes' meningioma was one, and his experience with such tumors is unusually extensive. Further support comes from Dr. William Siu, a neuroradiologist at Royal Columbian Hospital.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 found all of these experts to be impressively knowledgeable and sincere, and I am sure that all were doing their best to comply with their duty to help the Court understand what happened here. Regrettably, the answer is not one that can be determined with certainty, and I must do my best to weigh the evidence to determine the balance of probabilities. This is not, then, a case like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where it was considered that very little affirmative evidence on the part of the plaintiff will justify the drawing of an inference of causation in the absence of evidence to the contrary from a defendant with knowledge of the facts. Here, there is considerable evidence on both sides.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most important competing opinions, in my view, are those of Dr. Redekop and Dr. Akagami. Dr. Redekop has the advantage of having been the surgeon who removed Mr. Reyes' tumor, and who visualized it. Dr. Akagami has the advantage of the most experience and specialized knowledge in the area of skull base tumors.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his report, Dr. Toyota expressed no doubt that the blindness was caused by the lumbar puncture, pronouncing it "100% likely". He described the mechanism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large intracranial mass (meningioma) was perched above and adjacent to both optic nerves, but was not causing a functional loss of vision. The performance of a lumbar puncture in this scenario involves the removal of fluid (CSF) from the lumbar thecal space, in so doing it causes a rapid pressure gradient between the intra-cranial space and the spinal compartment. The consequence of this pressure gradient in Mr. Reyes is shifting of the intra-cranial mass in a posterior/caudal [head to tail] direction. Since the optic nerves were situated immediately beneath the tumor, this led to compression of these nerves. This compression led to their damage and thus the permanent blindness. I do not know of another more plausible explanation...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his testimony at trial, Dr. Akagami observed that Dr. Toyota "gets the anatomy wrong". In fact, as both he and Dr. Redekop pointed out, the meningioma was anchored in the base of the skull, and grew upwards under the optic nerve and optic chiasm, stretching them and compressing them against the underside of the brain. It was not perched above, and would not shift. Dr. Redekop described the optic nerves as being draped over top of the tumor. Dr. Akagami agreed with that description, and I find that to be the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But, according to Dr. Toyota, the mechanism he described is nevertheless consistent with that proffered by Dr. Redekop, who wrote: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agree that meningiomas are usually slowly growing tumors, although the rate of growth can be variable and unpredictable. If progression is very gradual, the optic nerves can tolerate a remarkable degree of compression before vision symptoms manifest. However, once the limit of tolerance is reached, every additional small increment of pressure can cause significant deterioration of visual function. Removal of CSF via lumbar puncture could definitely cause enough of a pressure differential between the intracranial and spinal compartments to result in slight movement of the brain in a rostral to caudal direction, leading to further stretching and mechanical compression of the optic nerves and chiasm. In my opinion, this is the most likely explanation for the acute vision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On the witness stand, Dr. Redekop explained things this way::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You have postulated that CSF removal may have caused the brain to shift down on top of the optic apparatus that was positioned below the brain?</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Well, I think it's not...it's not really so much the brain pressing down on the optic nerves, but I think that there was a significant degree of stretching and --and compromise of the optic structures draped over this fairly large tumor already, and by removing cerebrospinal fluid from below, I think it's quite reasonable to think that-- that even a very minor amount of further sort of downwards stretch of the nerves over the tumor would further compromise their physiology. I don't think it's really a matter of the brain pressing on to the optic nerves. ...</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ind w:left="720"/>
        <w:rPr>
          <w:lang w:val="en-US" w:eastAsia="en-US" w:bidi="ar-SA"/>
        </w:rPr>
      </w:pPr>
      <w:r>
        <w:rPr>
          <w:rFonts w:ascii="arial" w:eastAsia="arial" w:hAnsi="arial" w:cs="arial"/>
          <w:color w:val="000000"/>
          <w:sz w:val="20"/>
          <w:lang w:val="en-US" w:eastAsia="en-US" w:bidi="ar-SA"/>
        </w:rPr>
        <w:t>... So as the brain moves it's actually-- the whole-- I mean the optic nerves are connected to the brain, but it's not a matter of the brain compressing the optic nerves; it's everything shifting down and adding a bit more stretch to the optic nerves. ...</w:t>
      </w:r>
    </w:p>
    <w:p>
      <w:pPr>
        <w:spacing w:before="120" w:line="260" w:lineRule="atLeast"/>
        <w:ind w:left="720"/>
        <w:rPr>
          <w:lang w:val="en-US" w:eastAsia="en-US" w:bidi="ar-SA"/>
        </w:rPr>
      </w:pPr>
      <w:r>
        <w:rPr>
          <w:rFonts w:ascii="arial" w:eastAsia="arial" w:hAnsi="arial" w:cs="arial"/>
          <w:color w:val="000000"/>
          <w:sz w:val="20"/>
          <w:lang w:val="en-US" w:eastAsia="en-US" w:bidi="ar-SA"/>
        </w:rPr>
        <w:t>I think that the optic structures, the optic nerve and chiasm were already markedly distorted by this tumor.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81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And it would probably take very little additional to significantly worsen the functioning. Think of it like a rubber band that you stretch. There is a certain amount of ability to stretch. But at some point that last little further increment will cause the rubber band to break, and it might be no greater of an increment than you've applied 100 times before. But at some point you reach the threshold. And I think this reached the threshold.</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81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This band could've broken on May 7th or 8th?</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81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Could have. But didn't.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Both Dr. Toyota and Dr. Redekop, then, postulate a structural shift downwards around the optic nerves resulting in added stress and stretching, as a result of a change in the intracranial pressure caused by the lumbar puncture. If this was indeed the mechanism, it could not have been as described by Dr. Toyota, given the location of the tumor. It would have to be as described by Dr. Redekop.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According to Dr. Akagami, if that were the mechanism, it would be a first. He has never seen or heard of a lumbar puncture leading to blindness. He has, however, frequently encountered this process as a result of a hemorrhagic or ischemic apoplexy in a skull base tumor. As he put it in his report: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lumbar puncture is very unlikely to have had anything to do with the blindness. The blindness occurred due to the infarct/hemorrhage (or necrosis/hemorrhage described in the pathology) that had probably started earlier in the day (possibly started to a lesser extent on Friday prior) when the headache changed and became severe. This caused some local expansion and stretching of the already affected optic (vision) nerves, which continued to occur during the day until the optic nerves could not compensate anymore and the vision was completely lost (probably only millimetres of change at most but significant if occurs over a short (hours) period of time.</w:t>
      </w:r>
    </w:p>
    <w:p>
      <w:pPr>
        <w:spacing w:before="120" w:line="260" w:lineRule="atLeast"/>
        <w:ind w:left="720"/>
        <w:rPr>
          <w:lang w:val="en-US" w:eastAsia="en-US" w:bidi="ar-SA"/>
        </w:rPr>
      </w:pPr>
      <w:r>
        <w:rPr>
          <w:rFonts w:ascii="arial" w:eastAsia="arial" w:hAnsi="arial" w:cs="arial"/>
          <w:color w:val="000000"/>
          <w:sz w:val="20"/>
          <w:lang w:val="en-US" w:eastAsia="en-US" w:bidi="ar-SA"/>
        </w:rPr>
        <w:t>I see this exact scenario a few times each year, albeit with pituitary tumors (which is the other benign tumor that occurs in this exact area but much more common), where tumors undergo 'apoplexy' either hemorrhagic or ischemic or more often a combination (as in this case), where patients lose vision, and/or cranial nerve III palsy (extra ocular movement/ptosis). This occurs over similar timeframe of hours to develop after the initial headache.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All three neurosurgeons were in agreement that by May 9, 2012, Mr. Reyes' optic nerves were stretched and stressed to the point where it would take very little additional force to induce loss of vision. Was that force the result of the lumbar puncture, or of an apoplexy that became acute that day, leading to the very severe headache that caused Mr. Reyes to attend the hospital? Each expert sincerely believes his explanation is the more likely 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There was also agreement, at least between Dr. Redekop and Dr. Akagami, that there was some infarction within the tumor on May 9. Infarction means cell death (necrosis) caused by loss of blood supply (ischemia) resulting in an infarct (lesion). As Dr. Redekop put it in his report: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We know that he did not have meningitis, and do know that there was some infarction within the tumor. It is likely that necrosis within the tumor was the cause of the headaches, malaise, and fever, and that this process had been evolving for several days.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This is essentially the process described by Dr. Akagami. As I understand it, Dr. Akagami bases his conclusion largely on the proposition that common things commonly happen. He described his experience in this way:</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my practice, patients who come in with blurred vision and headache usually have a tumor in this area, either a pituitary tumor, or meningioma, that is causing pressure. And when it's an unusual headache, and acute headache, something that brings the patient to the hospital, it's usually something different. Usually something happened that day to bring the patient to hospital. And it's usually an event like a pituitary apoplexy, you know, where a tumor dies and swells and sometimes bleeds. ...</w:t>
      </w:r>
    </w:p>
    <w:p>
      <w:pPr>
        <w:spacing w:before="120" w:line="260" w:lineRule="atLeast"/>
        <w:ind w:left="720"/>
        <w:rPr>
          <w:lang w:val="en-US" w:eastAsia="en-US" w:bidi="ar-SA"/>
        </w:rPr>
      </w:pPr>
      <w:r>
        <w:rPr>
          <w:rFonts w:ascii="arial" w:eastAsia="arial" w:hAnsi="arial" w:cs="arial"/>
          <w:color w:val="000000"/>
          <w:sz w:val="20"/>
          <w:lang w:val="en-US" w:eastAsia="en-US" w:bidi="ar-SA"/>
        </w:rPr>
        <w:t>Apoplexy is a sudden event, okay, that involves blood vessels. It's usually a stroke or hemorrhage, or a combination of. The tumors -- that's what happens when patients -- it usually happens when patients present with an acute headache. Tumors have abnormal blood vessels. The tumors often are growing and outgrow their blood vessels. And small parts of the tumor become ischemic, or it doesn't get enough blood supply, and they die off. And when it dies, there swelling, the tumor can swell a little bit, the dead cells, blood vessels flowing through that die as well, tend to leak and we have hemorrhage. And that's... What's happening to tumors when patients present with headache. ...</w:t>
      </w:r>
    </w:p>
    <w:p>
      <w:pPr>
        <w:spacing w:before="120" w:line="260" w:lineRule="atLeast"/>
        <w:ind w:left="720"/>
        <w:rPr>
          <w:lang w:val="en-US" w:eastAsia="en-US" w:bidi="ar-SA"/>
        </w:rPr>
      </w:pPr>
      <w:r>
        <w:rPr>
          <w:rFonts w:ascii="arial" w:eastAsia="arial" w:hAnsi="arial" w:cs="arial"/>
          <w:color w:val="000000"/>
          <w:sz w:val="20"/>
          <w:lang w:val="en-US" w:eastAsia="en-US" w:bidi="ar-SA"/>
        </w:rPr>
        <w:t>I often see patients after they have been through the emergency room, for example. They would've come in with a bad headache and blurred vision at the Royal Columbian Hospital, and even seen a neurosurgeon there who has recognized a pituitary tumor, but they didn't think of apoplexy and they have been sent home saying that the tumor's not related.</w:t>
      </w:r>
    </w:p>
    <w:p>
      <w:pPr>
        <w:spacing w:before="120" w:line="260" w:lineRule="atLeast"/>
        <w:ind w:left="720"/>
        <w:rPr>
          <w:lang w:val="en-US" w:eastAsia="en-US" w:bidi="ar-SA"/>
        </w:rPr>
      </w:pPr>
      <w:r>
        <w:rPr>
          <w:rFonts w:ascii="arial" w:eastAsia="arial" w:hAnsi="arial" w:cs="arial"/>
          <w:color w:val="000000"/>
          <w:sz w:val="20"/>
          <w:lang w:val="en-US" w:eastAsia="en-US" w:bidi="ar-SA"/>
        </w:rPr>
        <w:t>They come into emergency into the Vancouver hospital and eventually I get called, and I look at the scan and clinically it's a typical -- it's an area for me, the patients are losing their vision, the vision is decreasing, you know, by the minute virtually. Sometimes other nerves were affected and they can't open their eyelids or their pupils start to get affected, and they have a very bad headache. I rush into the operating room, and it's obvious the tumor is necrotic, with some microhemorrhages into it, and the patient wakes up, and they're well and their vision improves. But sometimes it's difficult to diagnose.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There is clear evidence of a small area of ischemia (loss of blood supply) in a portion of the tumor, as identified by Dr. Siu on the contrast CT scan of the head. Turning to the susceptibility weighted imaging ("SWI"), Dr. Siu testified that it was impossible to tell with certainty whether there was also micro-hemorrhaging, and there was no evidence of macro-hemorrhaging. In his opinion, the existence of necrosis made it probable that micro-hemorrhaging had occurred even though it could not be detected on the imaging. Dr. Akagami thought that he could see some micro-hemorrhaging on the imaging.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difficulty, noted by both Dr. Akagami and Dr. Siu, is that it is not possible to say with any degree of confidence how long that necrosis had been there.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On the basis of the evidence I have reviewed, I find on a balance of probabilities that in the period from May 4-9, a process of infarction occurred in Mr. Reyes' tumor, causing him to feel unwell and develop headache. Would this process have led inevitably to a loss of vision on May 9, or did it require the addition of the effects of the lumbar puncture?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Akagami was of the view that no pressure gradient would have developed as a result of the lumbar puncture. He explained that a pressure gradient develops when the CSF cannot circulate properly due to blockage by the tumor. In these circumstances, when fluid is removed from below the blockage, reducing the pressure in the spinal compartment, the intracranial pressure above the blockage remains high instead of quickly equalizing. This can exert a downward pressure on the brain. But in this case, he testified, there was no impediment to the flow of CSF through the intracranial compartment given the amount of space visible around the tumor. In his opinion, then, no pressure gradient would have developed, although there could have been a transitory reduction in overall pressure.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Akagami agreed that it was theoretically possible for the lumbar puncture to have accelerated the effect of the infarct/hemorrhage by changing overall intracranial pressure. He thought this unlikely, however, as he commonly performs procedures to decrease intracranial pressure in such cases, and this rarely causes further bleeding.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Redekop bases his opinion, again as I understand him, largely on the temporal connection:</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think the fundamental question is, at some point this man, who had vision that was adequate for him to function, became unable to see. And what's the most likely cause of that? Was this an evolving and gradual process of something going on in the tumor and it expanding and causing compression of the optic nerves and structures, and regardless of what had been done that day, when the sun set, he was not going to be able to see? Or was the fact that he couldn't see a consequence of something that was done during that day? To me that's really what the question 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Temporal reasoning is a legitimate form of analysis, but must be exercised with caution: </w:t>
      </w:r>
      <w:r>
        <w:rPr>
          <w:rFonts w:ascii="arial" w:eastAsia="arial" w:hAnsi="arial" w:cs="arial"/>
          <w:i/>
          <w:color w:val="000000"/>
          <w:sz w:val="20"/>
          <w:lang w:val="en-US" w:eastAsia="en-US" w:bidi="ar-SA"/>
        </w:rPr>
        <w:t>Chen v Ross</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2014 BCSC 374</w:t>
        </w:r>
      </w:hyperlink>
      <w:r>
        <w:rPr>
          <w:rFonts w:ascii="arial" w:eastAsia="arial" w:hAnsi="arial" w:cs="arial"/>
          <w:color w:val="000000"/>
          <w:sz w:val="20"/>
          <w:lang w:val="en-US" w:eastAsia="en-US" w:bidi="ar-SA"/>
        </w:rPr>
        <w:t xml:space="preserve"> at para 295; </w:t>
      </w:r>
      <w:r>
        <w:rPr>
          <w:rFonts w:ascii="arial" w:eastAsia="arial" w:hAnsi="arial" w:cs="arial"/>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721"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 xml:space="preserve"> at paras 74-75. In this case, it plays a part in both scenarios: temporally related to Mr. Reyes' blindness were both the lumbar puncture, and the changes in his condition that led him to the hospital in the first place.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Like Dr. Akagami, Dr. Redekop would expect vision symptoms as a result of the process that I have found was taking place.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defence sought to weaken the force of Dr. Redekop's opinion by pointing out that he obviously concluded there was no risk of harm from the lumbar puncture at the time that he was consulted by Dr. Marsden at about 1530 on May 9. But as Dr. Redekop observed, assessing what is likely to happen is not the same as determining what likely happened. I agree. The fact is that Dr. Redekop did not anticipate a problem from either the lumbar puncture or any complication of necrosis given that Mr. Reyes was neurologically intact at the time. But something happened nevertheless.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observe several things about Dr. Akagami's evidence as outlined above.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First, in the cases described by Dr. Akagami, there was no other potential cause of the problems that his patients presented. That is why, as he put it, the patients get sent home notwithstanding awareness of the tumor. That is what would have happened here had Dr. Marsden seen the tumor. Being neurologically intact, Mr. Reyes would have been sent home with instructions to follow-up with the neurosurgeon in a day or two.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But here, another process occurred -- the lumbar puncture. In rejecting it as causally related, Dr. Akagami seemed to me to concentrate on his experience of what, statistically, commonly caused vision problems (pituitary apoplexy) without weighing the specific and possibly unique facts of this case, including the observations of Dr. Redekop.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Second, the pattern described by Dr. Akagami is different from the pattern we have here. There is no evidence at all that Mr. Reyes' vision was deteriorating quickly over the time in question, whether one looks at the period from May 4-9, or just May 9 itself, nor was there any sign of cranial nerve III palsy. Again, it would appear that as of May 9, he had not yet reached the degree of seriousness described by Dr. Akagami, but was more likely at the earlier "go home" stage.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this regard, I note that the "blurry vision" that Mr. Reyes reported on admission was described by the experts as a non-specific symptom. The kind of vision loss typically associated with pressure from a skull-based tumor is loss of vision that begins at the extreme periphery and slowly spreads inward with the increasing pressure on the optic nerves over time. The patient may not notice this because it is a very slow process. But in the acute phase, as Dr. Akagami described it, the deterioration is rapid and noticeable, often with cranial nerve signs. There is no evidence that such a process occurred 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Third, Dr. Redekop conducted the surgery in this case, and visualized the tumor. It was not at all obvious to him that the process of necrosis and hemorrhage had occurred to the extent suggested by Dr. Akagami. On the contrary, Dr. Redekop testified, notwithstanding what his resident recorded in the operation report (cautiously written, Dr. Redekop pointed out, in the context of a vision problem temporally related to a diagnostic procedure), there was no significant hemorrhage within the tumor, although some microscopic hemorrhage was a possibility. I accept his evidence in this regard.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Fourth, the evidence of Dr. Siu, the neuroradiologist called by the defence, while not inconsistent with the acute process suggested by Dr. Akagami, was inconclusive.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Taking all of the evidence into account, I conclude on a balance of probabilities that, while the process identified by Dr. Akagami was in fact underway by May 9, it had not yet reached the stage he described where vision is decreasing virtually by the minute, and in the operating room, the necrosis is obvious.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Nevertheless, within hours of the lumbar puncture, Mr. Reyes was in a condition well beyond the acute stage detailed by Dr. Akagami, to the extent that his vision had deteriorated to the point of blindness and could not be restored.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Physicians are warned not to carry out lumbar punctures in patients who have brain tumors. Dr. Akagami said that making a "general rule" like this is just the easiest way to avoid physicians getting into trouble, and it does not mean that serious consequences necessarily occur. It depends on the situation.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this case, taking a common sense approach, I conclude on a balance of probabilities that a serious consequence did occur: it took the lumbar puncture to exacerbate and accelerate the process identified by Dr. Akagami by reducing overall intracranial pressure enough to cause a very minor additional downward stretch of the optic nerves over the tumor, as described by Dr. Redekop. The result was permanent visual impairment.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It follows that the lumbar puncture was necessary to bring about the injury that is the subject of Mr. Reyes' claim. Causation is established.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IV. 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plaintiff is entitled to judgment against the defendant for the amount and on the terms to which the parties agreed.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If necessary, the parties may speak to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J.C. GRAUER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8394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22"/>
          <w:headerReference w:type="default" r:id="rId723"/>
          <w:footerReference w:type="even" r:id="rId724"/>
          <w:footerReference w:type="default" r:id="rId725"/>
          <w:headerReference w:type="first" r:id="rId726"/>
          <w:footerReference w:type="first" r:id="rId72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28" w:history="1">
        <w:r>
          <w:rPr>
            <w:rFonts w:ascii="arial" w:eastAsia="arial" w:hAnsi="arial" w:cs="arial"/>
            <w:b/>
            <w:bCs/>
            <w:i/>
            <w:color w:val="0077CC"/>
            <w:kern w:val="32"/>
            <w:sz w:val="28"/>
            <w:szCs w:val="32"/>
            <w:u w:val="single"/>
            <w:shd w:val="clear" w:color="auto" w:fill="FFFFFF"/>
            <w:lang w:val="en-US" w:eastAsia="en-US" w:bidi="ar-SA"/>
          </w:rPr>
          <w:t>Sikora v. Brown, [2014] B.C.J. No. 31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F.E. Verhoeven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18-21, 25-29, December 2-4,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9,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M89340 and M045156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30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Laureen Sikora, Plaintiff, and Anthony Gordon Brown, Defendant And between Anthony Gordon Brown, Plaintiff, and Laureen Sikora, Mann Motors Ltd.,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4"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0" w:name="Keywords_27"/>
      <w:bookmarkEnd w:id="200"/>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Equal apportionment — Motor vehicles — Liability of driver — Passengers — Determination of liability and damages for injuries arising from motor vehicle accident — Both parties were negligent and contributed equally to accident; Sikora was awarded $80,000 in non-pecuniary damages, $39,397 for past loss of income and $221 in special damages; Brown was awarded $38,000 in non-pecuniary damages, $16,300 for past loss of income and $250 in special damages — Sikora invited Brown to feel steering wheel while Sikora was driving — Both parties suffered physical injuries — Each party was entitled to recover 50 per cent of amounts awarded from other.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Physical and psychological injuries — Physical injuries — Considerations impacting on award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Determination of liability and damages for injuries arising from motor vehicle accident — Both parties were negligent and contributed equally to accident; Sikora was awarded $80,000 in non-pecuniary damages, $39,397 for past loss of income and $221 in special damages; Brown was awarded $38,000 in non-pecuniary damages, $16,300 for past loss of income and $250 in special damages — Sikora invited Brown to feel steering wheel while Sikora was driving — Both parties suffered physical injuries — Each party was entitled to recover 50 per cent of amounts awarded from other.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Retroactive loss of income — Special damages — Non-pecuniary loss — Determination of liability and damages for injuries arising from motor vehicle accident — Both parties were negligent and contributed equally to accident; Sikora was awarded $80,000 in non-pecuniary damages, $39,397 for past loss of income and $221 in special damages; Brown was awarded $38,000 in non-pecuniary damages, $16,300 for past loss of income and $250 in special damages — Sikora invited Brown to feel steering wheel while Sikora was driving — Both parties suffered physical injuries — Each party was entitled to recover 50 per cent of amounts awarded from other.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Assessment of damages — Limiting factors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Determination of liability and damages for injuries arising from motor vehicle accident — Both parties were negligent and contributed equally to accident; Sikora was awarded $80,000 in non-pecuniary damages, $39,397 for past loss of income and $221 in special damages; Brown was awarded $38,000 in non-pecuniary damages, $16,300 for past loss of income and $250 in special damages — Sikora invited Brown to feel steering wheel while Sikora was driving — Both parties suffered physical injuries — Each party was entitled to recover 50 per cent of amounts awarded from other.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1" w:name="Case Summary_26"/>
            <w:bookmarkEnd w:id="20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liability and damages for injuries arising from a motor vehicle accident. Sikora was the driver of the vehicle and Brown was the passenger. The vehicle passed through an intersection, went off the road and crashed into a ditch. Each party blamed the other for the accident, with Sikora claiming that Brown grabbed the steering wheel and Brown saying that Sikora invited him to feel it. Sikora was 43 and returned to her work as a store clerk 16 months after the accident. Brown was 37, was laid off from his work as a heavy equipment operator at the time of the accident and returned to work eight months after.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2" w:name="Holdings of Court_26"/>
            <w:bookmarkEnd w:id="202"/>
            <w:r>
              <w:rPr>
                <w:rFonts w:ascii="arial" w:eastAsia="arial" w:hAnsi="arial" w:cs="arial"/>
                <w:color w:val="000000"/>
                <w:sz w:val="20"/>
                <w:lang w:val="en-US" w:eastAsia="en-US" w:bidi="ar-SA"/>
              </w:rPr>
              <w:t>HELD: Both parties were negligent and contributed equally to the accident; Sikora was awarded $80,000 in non-pecuniary damages, $39,397 for past loss of income and $221 in special damages; Brown was awarded $38,000 in non-pecuniary damages, $16,300 for past loss of income and $250 in special damages.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Sikora did not slow down before entering the intersection or when going through it, despite being very familiar with defects in the road and their effects on the vehicle. She invited Brown to feel the steering wheel when she should have known that it could affect her ability to control the vehicle. She did not slow down when he held the steering wheel for several seconds and she lost control of the vehicle after he let go. Brown should have known that his actions could affect Sikora's ability to control the vehicle. His actions materially contributed to the loss of control and the accident would not have otherwise occurred. Sikora suffered significant bony injuries; soft tissues injuries to her neck and back that continued to cause ongoing discomfort; soft tissue injuries to her hip and ankle; and knee pain. She developed early degenerative changes to the hip. Brown suffered a shoulder injury that continued to cause regular pain and modest limitation of function; and soft tissues injuries to his knees, shoulders, elbow and back that resolved within a year. The award for past loss of income reflected loss for four months, considering that there was no evidence as to when the layoff would have ended. Each party was entitled to recover 50 per cent of the amounts awarded from the other.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3" w:name="Legislation Cited_18"/>
      <w:bookmarkEnd w:id="20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5"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hyperlink r:id="rId432" w:history="1">
        <w:r>
          <w:rPr>
            <w:rFonts w:ascii="arial" w:eastAsia="arial" w:hAnsi="arial" w:cs="arial"/>
            <w:i/>
            <w:color w:val="0077CC"/>
            <w:sz w:val="20"/>
            <w:u w:val="single"/>
            <w:shd w:val="clear" w:color="auto" w:fill="FFFFFF"/>
            <w:lang w:val="en-US" w:eastAsia="en-US" w:bidi="ar-SA"/>
          </w:rPr>
          <w:t>RSBC 1996, CHAPTER 231, s. 98</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241" w:history="1">
        <w:r>
          <w:rPr>
            <w:rFonts w:ascii="arial" w:eastAsia="arial" w:hAnsi="arial" w:cs="arial"/>
            <w:i/>
            <w:color w:val="0077CC"/>
            <w:sz w:val="20"/>
            <w:u w:val="single"/>
            <w:shd w:val="clear" w:color="auto" w:fill="FFFFFF"/>
            <w:lang w:val="en-US" w:eastAsia="en-US" w:bidi="ar-SA"/>
          </w:rPr>
          <w:t>RSBC 1996, CHAPTER 333, s. 1</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4" w:name="Counsel_28"/>
      <w:bookmarkEnd w:id="20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6"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L. Sikora: P. Buxton, M. Cheema,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Defendant/Plaintiff, A. Brown: T. Harding.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L. Sikora: A. Urquhart.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ICBC: D. James.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5" w:name="Judgment_28"/>
      <w:bookmarkEnd w:id="205"/>
      <w:r>
        <w:pict>
          <v:line id="_x0000_s1167" style="position:absolute;z-index:2518405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6" w:name="F.E. VERHOEVEN J."/>
            <w:bookmarkEnd w:id="206"/>
            <w:r>
              <w:rPr>
                <w:rFonts w:ascii="arial" w:eastAsia="arial" w:hAnsi="arial" w:cs="arial"/>
                <w:b/>
                <w:color w:val="000000"/>
                <w:sz w:val="30"/>
                <w:lang w:val="en-US" w:eastAsia="en-US" w:bidi="ar-SA"/>
              </w:rPr>
              <w:t>F.E. VERHOEVEN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parties make claims against each other for personal injury damages arising out of a motor vehicle accident that occurred in the early morning hours of Saturday, December 14,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that occasion Ms. Sikora was the driver of a 1989 Ford Escort she leased from the vehicle's owner, the defendant Mann Motors Ltd. Mr. Brown was her passenger. They were travelling westbound on Fraser Highway in Langley, B.C., at about 2:25 a.m. Just after they went through the intersection of Fraser Highway and 64th Avenue, the vehicle went off the road and crashed into a ditch. Both parties sustained injuries. Each blames the other for causing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Sikora says that Mr. Brown caused the accident by grabbing hold of the steering wheel, thereby interfering with her control of the vehicle and causing it to veer off the road to the right, into the ditch. Mr. Brown says that Ms. Sikora invited him to feel the steering wheel, which was shaking, but that his action in so doing did not cause the accident, and that Ms. Sikora is solely at fault for causing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time of the accident, Ms. Sikora was 43 years of age. She worked as a store clerk for the B.C. Liquor Distribution Branch ("LDB"), working at various government liquor stores. She resided in Surrey B.C. with her teenage son and daughter. An older son was independent.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Brown was 37 years of age. He worked as an excavator operator for Bray Enterprises Ltd. He resided in Surrey with his wife and three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Sikora and Mr. Brown first met in July 2002 when they went with Mr. Brown's sister to the Merritt Mountain Music Festival. She was divorced. He was married. An intimate relationship began in the late summer or early fall. The relationship was not revealed to Mr. Brown's wife. Over the next several weeks they spent time together in activities such as meals, walks, movies, concerts, and visits at Ms. Sikora's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the evening of Friday, December 13, 2002, they met at Gabby's Cabaret in central Langley. Mr. Brown had played hockey that evening at a rink in Langley. He called Ms. Sikora at her home and invited her to meet him at the nightclub. She agreed. He drove from the rink to the nightclub in his truck. Ms. Sikora drove to the nightclub in her Ford Escort. She had leased the car for about a year and a half prior to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Brown telephoned Ms. Sikora at about 11:00 p.m. He arrived at the nightclub before she did. They socialized at the nightclub together, drinking Long Island Iced Teas, which are alcoholic mixed drinks. Ms. Sikora says that she drank only one drink. Mr. Brown says they each had "a couple". Mr. Brown also had one or two pints of beer after his hockey game. The nightclub closed at 2:00 a.m. They left prior to closing, at about 1:30 or 1:45 a.m. As noted the accident happened at about 2:25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Their versions of events begin to diverge with their departure from the nightclub. She says they had no plans to leave together, and that she said good-bye to him in the nightclub. She says she walked to her car in the parking lot alone, but encountered a friend in the parking lot, who she spoke with for several minutes before entering her vehicle. She says she was surprised to find Mr. Brown in the car. She says that although she was surprised she did not object to his presence, and that she proceeded to drive to her home in Surrey with Mr. Brown in the passenger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Brown says that they walked out of the nightclub together. He was planning to leave his truck near the nightclub. It was parked on the road nearby. He agrees with her that she met a friend in the parking lot, who she conversed with for a few minutes. He says he waited nearby while this occurred. They then got in her car. He denies surprising her by getting into the vehicle surreptitiously. He says he suggested they go to the Knight and Day restaurant in Surrey. He says they were on the way to the restaurant when the accident occurred a few minutes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Whether they were headed to the restaurant or to Ms. Sikora's home, their route took them westbound on Fraser Highway, and through the major intersection with 64th Avenue, in the vicinity of the place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Both were very familiar with the intersection. Ms. Sikora had travelled through the intersection many times prior to the accident. There was an LDB liquor store in Langley and when she worked at that store she drove through the intersection twice each day. She testified that the intersection was uneven, in that there were what she described as "troughs" or "divots" in the intersection. She says the troughs caused her vehicle to shake as it went over them. She says that as she drove she was telling Mr. Brown about her new car that she had ordered that day. She says she commented that, "I couldn't understand why they never fixed them [i.e. the troughs in the road]" and "[t]hese Fords all have this weak [or "sloppy"] steering." The road made the steering wheel and the car shake. She says she may have said to him, "[l]ook at the wheel, how it's shaking." She says that after successfully proceeding through the intersection, Mr. Brown suddenly grabbed the steering wheel. He held onto it while she struggled to retain control. He pulled down on the wheel causing the vehicle to veer to the right. She says he only let go of the wheel when it was too late; she could not bring the vehicle back to the left, as they were already headed for the ditch, where they ended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She testified that it was her habit to always slow down for this intersection due to its condition, but she did not specifically testify to slowing down on this occasion. She gave no evidence that she applied the brakes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Brown confirmed that at the time of the accident the pavement in the intersection was "kind of dished" due to the passage of heavy trucks. From past experience he was familiar with the sensations of shaking and vibration as he drove through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Brown says that he had never been a passenger in Ms. Sikora's Ford Escort before. As they went through the intersection with 64th Avenue her steering wheel was shaking. She said, "[o]h no, there goes my steering again, it's shaking". She asked him to feel the wheel. He placed his left open hand on the wheel, then removed it. He denies that he "grabbed" the wheel. He denies that there was a struggle for control. He says several seconds after he removed his hand from the wheel, the car went somewhat to the left, and then "the car just took off" to the right, into the ditch.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ANALYSIS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Determining the facts of the accident is very difficult. The accident occurred almost 11 years prior to the trial. There is no independent corroborative evidence of any kind with respect to the accident itself. There is no scene diagram or photograph, analyst's opinion, or independent witness. The intersection in question has been reconfigured since the accident. There is no independent evidence about the vehicle, other than several post-accident photographs taken by ICBC showing severe damage to the vehicle. Thus the events relating to the accident must be determined based solely on the parties' testimony. However I do not find either party's version of what occurred in the accident to be very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difficulties I have with Ms. Sikora's testimony begin with her version of the events upon her departure from the nightclub, which I reject. In chief she testified that she and Mr. Brown had no further plans to be together for the evening. She did not invite Mr. Brown to accompany her when she left the nightclub. After saying good-bye to Mr. Brown in the nightclub, she proceeded to walk to her car in the parking lot, where she encountered an old friend who she chatted with for five minutes. She then walked to her car, got in, and noticed that Mr. Brown was in her car. Although I would expect that in the circumstances this would be very surprising and would have resulted in some comment from her, she testified that she "really didn't say anything to him". She did not say, "what are you doing here?" or something along those lines. She testified that she just "got in my car and started to drive" home. On its face this version of events is quite peculiar.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cross-examination she was asked how Mr. Brown could have managed to mysteriously enter her vehicle. She acknowledged that she would have locked the vehicle when it was parked, and that Mr. Brown had no key. The car was an older model with manual locks. In other words the doors could not be unlocked remotely using a signal from a key fob, so she could not unlock the vehicle from a distance. She tried to explain by saying that she unlocked the driver's door while she was talking to her friend. She then turned around to talk to her friend, with her back to the car. Both of them were standing within a foot or two of the vehicle. This was inconsistent with her evidence-in-chief, where she had said that after the conversation, she walked to the car. She surmised that Mr. Brown may have slipped in behind her during the conversation, entering the vehicle through the driver's door, without her noticing. It seems highly unlikely that Mr. Brown, who is a large man, could accomplish this in the circumstances. He would also have to escape notice or at least comment by Ms. Sikora's friend, who was also standing very nearby the vehicle, and presumably facing her and the vehicle. It would require him to climb from the driver's seat over to the passenger seat. Given the nature of their relationship, there is no reason for Mr. Brown to act in such a strange manner. It seemed obvious to me that Ms. Sikora was fabricating her evidence on cross-examination in this respect in order to make sense of her testimony in chief. Although the episode is itself collateral, Ms. Sikora's testimony about it puts the entirety of her testimony about the accident into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had difficulty making sense of her testimony concerning the accident itself. She testified in chief that as the wheel began to shake, caused by the troughs in the intersection, she commented about the car's steering and may have invited Mr. Brown to look at the shaking of the wheel. I have difficulty comprehending how the conversation Ms. Sikora testified about could have occurred in the short amount of time it would take to cross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chief and in cross-examination she testified that the steering wheel was shaking as she drove through the intersection, and that Mr. Brown grabbed the wheel after they were through the intersection. It does not make sense to me that Mr. Brown would grab the steering wheel after the car had already gone through the intersection. Ms. Sikora did not testify that the troughs led to any sustained reaction in the steering.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sense of her testimony was that the struggle for control was somewhat prolonged. She said he "finally" let go, but by then it was "too late, we were already on our way in." She estimated that four or five seconds elapsed from when he grabbed the wheel and when the car came to rest in the ditch. She says that she was travelling at a speed of about 50 km/h. In cross-examination she said that "some seconds" passed after Mr. Brown let go of the wheel and the car hit the ditch. These time estimates are difficult to reconcile. In general I am not able to develop a coherent understanding of the sequence of events relating to the accident from Ms. Sikora's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does not make sense to me that Mr. Brown would actually pull the wheel downwards with his hand, thus causing the vehicle to leave the roadway, as Ms. Sikora describes. I considered it likely that this evidence was an embellishment on her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Her behaviour after the accident is difficult to reconcile with her current testimony. There is no evidence that in the immediate aftermath of the accident Ms. Sikora held Mr. Brown responsible for causing it. She was taken by ambulance to Langley Hospital. Mr. Brown went with her. She told the attending physician that she was the driver and that she "lost control" of the vehicle. She did not mention a struggle with the passenger.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police took her from the hospital to the police station. Later that morning she allowed Mr. Brown to drive her home from the police station and help carry her inside. He remained at her home for some time. Her eldest son, her mother and her brother arrived. When her son asked her how the accident happened, she said that the car may have had a mechanical problem. At trial she explained this falsehood by saying that she was attempting to protect Mr. Brown because she was afraid of the consequences if her son were to know the truth. I do not find this explanation convincing. The suggestion that Mr. Brown might be physically harmed is without foundation. As for his reputation in the eyes of her family, she did not seem concerned about that when she later brought legal proceedings against Mr. Brown in late 2004, well before their relationship ended in early 2006. Her statement is more consistent with a sense of embarrassment on her part, perhaps because the accident was the result of joint foolishness on the part of both parties, which is my conclusion, as I will explain.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 few days after the accident she told her family doctor, Dr. Arnold, that the car's steering was "loose" and the "car lost control." This is supported by his clinical records. At trial she denied saying this to Dr. Arnold although it is similar to what she agrees she said to the doctor at the hospital. Dr. Arnold testified. Based on his testimony and clinical notes, I find that his notes are an accurate reflection of what she said. However a year later in the context of her ICBC claim she told Dr. Arnold that her passenger had caused the accident by grabbing the steering wheel. The statements she made to her doctor are inconsistent. The change in her statements to her doctor supports a conclusion that she began blaming Mr. Brown after she decided to make a claim and she had a financial incentive.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 days and weeks following the accident Ms. Sikora allowed Mr. Brown to drive her to medical and other appointments. They went to ICBC together on January 6, 2003, about three weeks post-accident. There, in her presence, Mr. Brown signed a statement stating that he "reached over and grabbed the steering wheel" to stop it from shaking. At some later point in 2003 ICBC told her that Mr. Brown's claim against her could exceed her policy limits. When interviewed by ICBC later in 2003, she said that Mr. Brown caused the accident by grabbing the steering wheel. By this point she had very strong financial reasons to blame Mr. Brown exclusively.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another collateral matter going to her credibility, I do not accept Ms. Sikora's evidence as to what she was told by the doctor at Langley Hospital on the night of the accident. She says that when the doctor discharged her from the hospital she was continuing to complain about her injuries, and he said, "[s]top being such a baby, there is nothing wrong with you." The emergency department records show that she was diagnosed with a fractured right ankle, facial laceration and chest wall contusion. It may be that Ms. Sikora felt that the doctor's bedside manner left something to be desired, but in my view it is highly unlikely that any emergency department physician would use such language, particularly where significant injuries have been diagnosed.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However, I also have difficulty accepting Mr. Brown's version of events relating to the accident. In general I did not find Mr. Brown to be a reliable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accept that Ms. Sikora and Mr. Brown left the nightclub together as he states, and that they were headed to her house or perhaps at his suggestion, they would go to her house after first going to a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trial, in his evidence-in-chief, Mr. Brown testified that he only placed his open hand on the steering wheel. He denied that he "grabbed" the steering wheel in the sense of wrapping his fingers around it and holding it. At trial he denied the truth of his examination for discovery evidence where he said that he "squeezed his hand over [it] to feel it and then I let go of it again." In his examination for discovery he denied holding the wheel in order to stabilize it. His evidence at trial was markedly inconsistent with his ICBC statement. At trial he reluctantly admitted the truth of his January 6, 2003 statement to ICBC in which he states that he grabbed the steering wheel, that he tried to stop it from shaking, and that he held it for a few seconds before letting 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He confirmed at trial his examination for discovery evidence that Ms. Sikora was driving at about 60 km/h. In my view her estimate of 50 km/h is likely an underestimate. The higher speed is supported by Mr. Brown's evidence, the fact of the accident, and the severe damage to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his ICBC statement, Mr. Brown said that "Laureen did not tell me to let go of the steering wheel." He confirmed this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Apart from his evidence concerning the accident, there are other difficulties with Mr. Brown's credibility as a witness. I will refer to some of these concerns below, in relation to his credibility regarding his accident injuries and their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When Mr. Brown returned home on the morning of Saturday, December 14, 2002, he told Mrs. Brown that he had been injured when he intervened in a fight at the nightclub. She initially accepted this, but it appears that Mrs. Brown did not inquire too deeply as to his story. In the days following the accident she repeatedly had to help remove bits of automotive windshield glass embedded in his face. Mrs. Brown did not learn the truth about Mr. Brown's relationship with Ms. Sikora and about the accident until late in 2004, when Mrs. Brown read the endorsed Writ of Summons served by Ms. Sikora at that time, which referred to the accident. Mrs. Brown demanded that Mr. Brown tell her the truth. He says he did so then. Standing alone Mr. Brown's lies to his wife are not very material to his credibility as a witness. However of real significance is that on examination for discovery in January 2006 Mr. Brown lied under oath about the nature of his relationship with Ms. Sikora prior to the accident. According to his evidence at trial he had by then already revealed the truth to his wife, and therefore had no purpose in lying about it on the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An important question is whether Ms. Sikora invited Mr. Brown to feel the steering wheel, as he claims, but she denies. On balance, I think it likely that she did so. She initiated the topic of the condition of the road and its particular effects on her vehicle's steering. She acknowledges that she may have invited Mr. Brown to observe the wheel. It seems more logical that she would invite him to feel it for himself, and that he would do so in response to an invitation. I accept Mr. Brown's evidence that she did not tell him to let go of the steering wheel. Ms. Sikora was sitting next to Mr. Brown when he made this statement to ICBC. There is no evidence that she protested his involvement with the vehicle steering at the time. If he suddenly grabbed the wheel against her wishes I would expect her to protest. Her statements and behaviour following the accident are more consistent with joint responsibility in causing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Sikora and her mother testified to a conversation with Mr. Brown that took place at Ms. Sikora's kitchen table in which he supposedly admitted to causing the accident. Ms. Sikora says that the admission was made sometime in the spring of 2003, and that Mr. Brown said that if "[I] would not have grabbed the wheel, this accident would never have happened." Her mother testified to the same conversation in almost precisely the same terms. She said that Mr. Brown said, "One thing I know for sure, if I had not pulled that wheel, this accident would not have happened." She repeated this statement verbatim several times. She had essentially no recollection of any details of the circumstances other than this admission, which of course is strikingly similar to her daughter's testimony. The evidence is notably convenient for Ms. Sikora. I place no weight on this evidence whatsoever.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these difficult circumstances, where neither version of events is reliable and where there is essentially no independent corroborative evidence one way or another, I find as follows. Ms. Sikora had been drinking some alcohol at the nightclub but was not seriously intoxicated. Mr. Brown had been drinking as well, somewhat more than she had, but was a large man and was also not seriously intoxicated. They left the nightclub together intending to go to Ms. Sikora's home. Along the way they discussed going to a restaurant. Whether they actually agreed to go to the restaurant is immaterial. Ms. Sikora was driving at about 60 km/h as they drove through the intersection. She was aware that the intersection caused her vehicle to shake, and that the steering of her vehicle was notably "loose" and prone to shaking. Either before entering the intersection or in its midst, in the context of telling Mr. Brown about the new car she had ordered that very day, she commented about the condition of the intersection, complained that it should be repaired, and complained about the poor condition of her vehicle's steering in common with Fords generally. She did not slow down before entering the intersection. She invited Mr. Brown to observe the shaking of the steering wheel, and to feel the steering wheel of the car for himself. He held it for a few seconds then let go. The combined effects of Mr. Brown's holding of wheel, the condition of the road and vehicle, and Ms. Sikora's manner of driving the vehicle caused her to lose control of the vehicle some seconds after Mr. Brown let go of the wheel. The precise mechanics of this are impossible to sort out. She did not brake at any time. The vehicle likely swerved left before veering to the right, and then left the roadway to the right side, before eventually coming to rest in the ditch upon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find that both parties were negligent and that they both contributed to causing the accident in equal measure. Ms. Sikora was negligent in not slowing down before entering the intersection or when proceeding through it, when she was very familiar with the defects in the road and the particularly significant consequences to her vehicle of the defects. In somewhat precarious circumstances, she invited Mr. Brown to feel the steering wheel, when she ought to have known that his doing so could have unpredictable consequences, and could affect her ability to properly control the vehicle. She did not slow down when he held the steering wheel for several seconds. She lost control of the vehicle after he let go of the wheel.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Brown was also negligent, in holding the steering wheel for a few seconds, when he knew or ought to have known in all the circumstances, including the defective condition of the road and Ms. Sikora's comments about the problems with her vehicle's steering, that his actions could affect Ms. Sikora's ability to control the vehicle. I find that his actions materially contributed to her loss of control of the vehicle, and that the accident would not have occurred otherwise. I do not accept his evidence that he merely touched the wheel with his open hand to feel it shaking. He negligently grasped the wheel and held it in such a manner that it interfered with her ability to control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Ms. Sikora argues that she was not negligent and that the accident was caused solely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Brown in grabbing the steering wheel. She relies on </w:t>
      </w:r>
      <w:r>
        <w:rPr>
          <w:rFonts w:ascii="arial" w:eastAsia="arial" w:hAnsi="arial" w:cs="arial"/>
          <w:i/>
          <w:color w:val="000000"/>
          <w:sz w:val="20"/>
          <w:lang w:val="en-US" w:eastAsia="en-US" w:bidi="ar-SA"/>
        </w:rPr>
        <w:t>Lavigne v. Buller</w:t>
      </w:r>
      <w:r>
        <w:rPr>
          <w:rFonts w:ascii="arial" w:eastAsia="arial" w:hAnsi="arial" w:cs="arial"/>
          <w:color w:val="000000"/>
          <w:sz w:val="20"/>
          <w:lang w:val="en-US" w:eastAsia="en-US" w:bidi="ar-SA"/>
        </w:rPr>
        <w:t xml:space="preserve">, </w:t>
      </w:r>
      <w:hyperlink r:id="rId729" w:history="1">
        <w:r>
          <w:rPr>
            <w:rFonts w:ascii="arial" w:eastAsia="arial" w:hAnsi="arial" w:cs="arial"/>
            <w:i/>
            <w:color w:val="0077CC"/>
            <w:sz w:val="20"/>
            <w:u w:val="single"/>
            <w:shd w:val="clear" w:color="auto" w:fill="FFFFFF"/>
            <w:lang w:val="en-US" w:eastAsia="en-US" w:bidi="ar-SA"/>
          </w:rPr>
          <w:t>[1990] B.C.J. No. 1953</w:t>
        </w:r>
      </w:hyperlink>
      <w:r>
        <w:rPr>
          <w:rFonts w:ascii="arial" w:eastAsia="arial" w:hAnsi="arial" w:cs="arial"/>
          <w:color w:val="000000"/>
          <w:sz w:val="20"/>
          <w:lang w:val="en-US" w:eastAsia="en-US" w:bidi="ar-SA"/>
        </w:rPr>
        <w:t xml:space="preserve">, </w:t>
      </w:r>
      <w:hyperlink r:id="rId729" w:history="1">
        <w:r>
          <w:rPr>
            <w:rFonts w:ascii="arial" w:eastAsia="arial" w:hAnsi="arial" w:cs="arial"/>
            <w:i/>
            <w:color w:val="0077CC"/>
            <w:sz w:val="20"/>
            <w:u w:val="single"/>
            <w:shd w:val="clear" w:color="auto" w:fill="FFFFFF"/>
            <w:lang w:val="en-US" w:eastAsia="en-US" w:bidi="ar-SA"/>
          </w:rPr>
          <w:t>1990 CarswellBC 1791</w:t>
        </w:r>
      </w:hyperlink>
      <w:r>
        <w:rPr>
          <w:rFonts w:ascii="arial" w:eastAsia="arial" w:hAnsi="arial" w:cs="arial"/>
          <w:color w:val="000000"/>
          <w:sz w:val="20"/>
          <w:lang w:val="en-US" w:eastAsia="en-US" w:bidi="ar-SA"/>
        </w:rPr>
        <w:t xml:space="preserve"> (S.C.), aff'd </w:t>
      </w:r>
      <w:hyperlink r:id="rId730" w:history="1">
        <w:r>
          <w:rPr>
            <w:rFonts w:ascii="arial" w:eastAsia="arial" w:hAnsi="arial" w:cs="arial"/>
            <w:i/>
            <w:color w:val="0077CC"/>
            <w:sz w:val="20"/>
            <w:u w:val="single"/>
            <w:shd w:val="clear" w:color="auto" w:fill="FFFFFF"/>
            <w:lang w:val="en-US" w:eastAsia="en-US" w:bidi="ar-SA"/>
          </w:rPr>
          <w:t>[1993] B.C.J. No. 545</w:t>
        </w:r>
      </w:hyperlink>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1993 CarswellBC 823</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Lavigne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McEvoy v. McEachnie</w:t>
      </w:r>
      <w:r>
        <w:rPr>
          <w:rFonts w:ascii="arial" w:eastAsia="arial" w:hAnsi="arial" w:cs="arial"/>
          <w:color w:val="000000"/>
          <w:sz w:val="20"/>
          <w:lang w:val="en-US" w:eastAsia="en-US" w:bidi="ar-SA"/>
        </w:rPr>
        <w:t xml:space="preserve">, </w:t>
      </w:r>
      <w:hyperlink r:id="rId731" w:history="1">
        <w:r>
          <w:rPr>
            <w:rFonts w:ascii="arial" w:eastAsia="arial" w:hAnsi="arial" w:cs="arial"/>
            <w:i/>
            <w:color w:val="0077CC"/>
            <w:sz w:val="20"/>
            <w:u w:val="single"/>
            <w:shd w:val="clear" w:color="auto" w:fill="FFFFFF"/>
            <w:lang w:val="en-US" w:eastAsia="en-US" w:bidi="ar-SA"/>
          </w:rPr>
          <w:t>2008 BCSC 1496</w:t>
        </w:r>
      </w:hyperlink>
      <w:r>
        <w:rPr>
          <w:rFonts w:ascii="arial" w:eastAsia="arial" w:hAnsi="arial" w:cs="arial"/>
          <w:color w:val="000000"/>
          <w:sz w:val="20"/>
          <w:lang w:val="en-US" w:eastAsia="en-US" w:bidi="ar-SA"/>
        </w:rPr>
        <w:t xml:space="preserve">, aff'd </w:t>
      </w:r>
      <w:hyperlink r:id="rId732" w:history="1">
        <w:r>
          <w:rPr>
            <w:rFonts w:ascii="arial" w:eastAsia="arial" w:hAnsi="arial" w:cs="arial"/>
            <w:i/>
            <w:color w:val="0077CC"/>
            <w:sz w:val="20"/>
            <w:u w:val="single"/>
            <w:shd w:val="clear" w:color="auto" w:fill="FFFFFF"/>
            <w:lang w:val="en-US" w:eastAsia="en-US" w:bidi="ar-SA"/>
          </w:rPr>
          <w:t>2010 BCCA 67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McEvoy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Lavigne</w:t>
      </w:r>
      <w:r>
        <w:rPr>
          <w:rFonts w:ascii="arial" w:eastAsia="arial" w:hAnsi="arial" w:cs="arial"/>
          <w:color w:val="000000"/>
          <w:sz w:val="20"/>
          <w:lang w:val="en-US" w:eastAsia="en-US" w:bidi="ar-SA"/>
        </w:rPr>
        <w:t>, the plaintiff Gordon Lavigne was a passenger seated behind the driver, Kimberly Buller. There were two other passengers in the car. All of the passengers were intoxicated and unruly over the course of a long drive. The driver was sober and driving carefully and prudently. Lavigne reached forward from the back seat in an effort to grab the steering wheel. The driver was momentarily distracted by this. She lost control of the vehicle, which left the highway resulting in injury to all four occupants. The court held that Lavigne recklessly interfered with the driver by attempting to grab the steering wheel for no reason whatsoever and that the accident would not have occurred otherwise. He was held to be wholly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McEvoy</w:t>
      </w:r>
      <w:r>
        <w:rPr>
          <w:rFonts w:ascii="arial" w:eastAsia="arial" w:hAnsi="arial" w:cs="arial"/>
          <w:color w:val="000000"/>
          <w:sz w:val="20"/>
          <w:lang w:val="en-US" w:eastAsia="en-US" w:bidi="ar-SA"/>
        </w:rPr>
        <w:t>, the court held that the front seat passenger, Ms. Forster, while intoxicated negligently grabbed the steering wheel for no valid reason, causing the vehicle to veer off the road. The driver was held not to be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However in </w:t>
      </w:r>
      <w:r>
        <w:rPr>
          <w:rFonts w:ascii="arial" w:eastAsia="arial" w:hAnsi="arial" w:cs="arial"/>
          <w:i/>
          <w:color w:val="000000"/>
          <w:sz w:val="20"/>
          <w:lang w:val="en-US" w:eastAsia="en-US" w:bidi="ar-SA"/>
        </w:rPr>
        <w:t>Lavigne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McEvoy</w:t>
      </w:r>
      <w:r>
        <w:rPr>
          <w:rFonts w:ascii="arial" w:eastAsia="arial" w:hAnsi="arial" w:cs="arial"/>
          <w:color w:val="000000"/>
          <w:sz w:val="20"/>
          <w:lang w:val="en-US" w:eastAsia="en-US" w:bidi="ar-SA"/>
        </w:rPr>
        <w:t xml:space="preserve"> the driver did nothing to precipitate the passenger's interference with the driver's control of the vehicle. By contrast, in this case I find that Ms. Sikora invited Mr. Brown to feel the steering wheel in circumstances where she knew or ought to have known this could be dangerous, due to the condition of the road and her vehicle's steering, and the inherently unpredictable nature of the consequences of Mr. Brown's holding of the steering wheel.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Other authorities support the obvious proposition that a passenger who grabs the steering wheel causing the driver to lose control is responsible for the consequences: </w:t>
      </w:r>
      <w:r>
        <w:rPr>
          <w:rFonts w:ascii="arial" w:eastAsia="arial" w:hAnsi="arial" w:cs="arial"/>
          <w:i/>
          <w:color w:val="000000"/>
          <w:sz w:val="20"/>
          <w:lang w:val="en-US" w:eastAsia="en-US" w:bidi="ar-SA"/>
        </w:rPr>
        <w:t>Paulus v. Robinson</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(1991), 60 B.C.L.R. (2d) 116</w:t>
        </w:r>
      </w:hyperlink>
      <w:r>
        <w:rPr>
          <w:rFonts w:ascii="arial" w:eastAsia="arial" w:hAnsi="arial" w:cs="arial"/>
          <w:color w:val="000000"/>
          <w:sz w:val="20"/>
          <w:lang w:val="en-US" w:eastAsia="en-US" w:bidi="ar-SA"/>
        </w:rPr>
        <w:t xml:space="preserve"> (B.C.C.A.) (quoting in full the oral decision at trial of Oppal J.); </w:t>
      </w:r>
      <w:r>
        <w:rPr>
          <w:rFonts w:ascii="arial" w:eastAsia="arial" w:hAnsi="arial" w:cs="arial"/>
          <w:i/>
          <w:color w:val="000000"/>
          <w:sz w:val="20"/>
          <w:lang w:val="en-US" w:eastAsia="en-US" w:bidi="ar-SA"/>
        </w:rPr>
        <w:t>Chellew v. Melanson,</w:t>
      </w:r>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[1994] B.C.J. No. 2257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 find that Ms. Sikora and Mr. Brown are equally at fault for causing the accident. As a result it is not strictly necessary to apply s. 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which provides that where the fault of two or more persons causes damage or loss to one or more of them, liability must be apportioned equally if having regard to all the circumstances of the case it is not possible to establish different degrees of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ASSESSMENT OF DAMAGES: MS. SIKORA'S CLAIMS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Sikora claims general damages for non-pecuniary loss, past loss of income, and some minor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As noted, at the time of the accident Ms. Sikora was 43 years of age, and working as a store clerk for the B.C. Liquor Distribution Branch. She was healthy. She had been a patient of Dr. Arnold since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When she first saw Dr. Arnold a few days post-accident, on December 18, she complained of neck pain extending into both shoulders, constant headaches, sore ribs, right hip pain extending to her groin and thigh, and right ankle soreness.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Examination and other diagnostic tests were conducted over the next few weeks. Dr. Arnold diagnosed:</w:t>
      </w:r>
      <w:r>
        <w:rPr>
          <w:rFonts w:ascii="arial" w:eastAsia="arial" w:hAnsi="arial" w:cs="arial"/>
          <w:sz w:val="20"/>
          <w:lang w:val="en-US" w:eastAsia="en-US" w:bidi="ar-SA"/>
        </w:rPr>
        <w:cr/>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facial bruising;</w:t>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injuries to her neck, upper back, and lower back, which resolved fairly early on during the period of follow up;</w:t>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fracture of the acetabulum of the right hip;</w:t>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fracture of the talus bone of the right ankle; and</w:t>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fracture of the navicular bone of the right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Arnold noted that she had no prior musculoskeletal concerns of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Sikora also testified to facial lacerations.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By January 15, 2003, about a month post-accident, she was using a walking boot, but could not weight bear on her right leg. By April 24 she was able to weight bear on her right foot, with pain. She felt that in overall terms she was about 50 percent. By November 20, 2003 (approximately one year post accident), she was swimming once weekly, and walking up to 45 minutes daily. Discomfort continued in her right hip and right foot. She rated her overall improvement at 75 to 80 percent. She was referred to a work conditioning program. She completed the work conditioning program March 11, 2004 and commenced work April 4, 2004, about 16.5 months after the accident. For one or two months she worked limited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She then worked full time for the LDB until she left that employment in mid-2010. Dr. Arnold described her work as a liquor store clerk as "fairly physically demanding". In 2005 she was promoted within the LDB and became a regional trainer, with the result that her work became less physical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Since 2010 she has resided in Cancun, Mexico, where she works full-time at a resort selling time share vacation residences.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She still suffers from occasional neck and back pain which she attributes to the accident injuries. She gave very limited evidence as to the practical consequences of her injuries. She testified that her injuries interfered with activities such as skiing, golf, swimming, jogging, tennis, and skating. She fears re-injuring herself.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Medical Reports and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Arnold last reviewed the status of her injuries in March 2005, at which time she had residual injuries to her neck, right hip, and right ankle, but she was, overall, ninety-five percent recovered, by her estimation, and was involved in all activities of daily living.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his July 12, 2009 report, Dr. Arnold relates concerns that she is at risk for development of arthritis in the right hip, and also possibly the right ankle. Such consequences might not manifest for a further five or ten years, or longer. Severe hip arthritis could lead to hip replacement surgery, which would not typically be undertaken until the patient is over 60 years of age. There is no joint replacement option for ankle 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April 13, 2013, Ms. Sikora saw a rheumatologist, Dr. John P. Wade, at the request of her counsel, for medical-legal purposes. He noted that the bone injuries she sustained were significant. The fractures were undisplaced (that is, the bones were not out of position) and were treated non-operatively. She reported ongoing complaints of variable mid back pain, right ankle pain and variable right knee pain. She self-assessed her overall level of improvement at 90 percent. Her main complaints were of right knee pain, and mid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Dr. Wade's opinion, she is at low risk of requiring surgery to her right ankle and low risk of developing post traumatic degenerative arthritis in her hip. He suggests possible limitations from high impact activities such as tennis or running, but no restrictions for ordinary daily activities or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She saw an orthopaedic surgeon, Dr. Alastair Younger, on April 20, 2013, for purposes of a medical-legal report, at the request of her counsel. Dr. Younger specializes in foot and ankle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Sikora complained of ongoing discomfort in her right hip and groin, and right foot. She complained of pain in her heel area and that her ankle was always swollen. She reported that her walking or standing tolerance was 30 minutes, and some unspecified interference with her recreational and employment activities. He described her current level of disability as minimal. She would be able to work at the LDB job but in a limited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Younger states that she may require hip replacement in future as a result of degenerative changes to her hip. No degree of likelihood or time frame is mentioned. Possible fusion of her ankle is also mentioned, with a lower likelihood than that of hip surgery. MRI examination showed "some" early arthritic change in her hip, and some tendinopathy of her gluteus medius minimus, and a tendon tear in her right ankle. Dr. Younger states that her hip pain may gradually worsen. She could possibly become a candidate for surgical exploration and repair of her ankle tendons.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summary, Ms. Sikora suffered from hip and ankle fractures which were undisplaced and were treated non-operatively. She had facial lacerations and bruising which healed uneventfully. Her bony injuries were significant. She was not able to weight bear on her right leg for a prolonged period of time. She suffered from soft tissue injuries to her neck and back, which continue to cause some ongoing discomfort at trial, 11 years after the accident. She has some soft tissue injuries to her hip and ankle. She has knee pain. She has developed early degenerative changes to her hip. Her hip may gradually worsen. Although she is at risk for requiring hip or ankle surgery, the likelihood is low, especially with respect to her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She gradually recovered from her injuries such that she was able to return part time to her previous work as a liquor store clerk 16.5 months post-accident, and returned to full-time work one or two months later. Currently her ongoing level of disability is minimal. She considers herself 90 or 95 percent recovered from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considered her evidence as to her injuries to be fair and not exaggerated.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Assessment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Sikora claims non-pecuniary general damages of $90,000 to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Brown contends that Ms. Sikora did not sustain a fracture of the acetabulum in the accident. The evidence that she did is overwhelming. Mr. Brown submits that injuries were completely resolved within a few months of the accident, and on that basis submits that non-pecuniary loss of about $22,000 based upon an ankle injury would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 recently discussed the principles of assessing a claim for general damages for non-pecuniary loss in </w:t>
      </w:r>
      <w:r>
        <w:rPr>
          <w:rFonts w:ascii="arial" w:eastAsia="arial" w:hAnsi="arial" w:cs="arial"/>
          <w:i/>
          <w:color w:val="000000"/>
          <w:sz w:val="20"/>
          <w:lang w:val="en-US" w:eastAsia="en-US" w:bidi="ar-SA"/>
        </w:rPr>
        <w:t>Gillam v. Wiebe,</w:t>
      </w:r>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2013 BCSC 565</w:t>
        </w:r>
      </w:hyperlink>
      <w:r>
        <w:rPr>
          <w:rFonts w:ascii="arial" w:eastAsia="arial" w:hAnsi="arial" w:cs="arial"/>
          <w:color w:val="000000"/>
          <w:sz w:val="20"/>
          <w:lang w:val="en-US" w:eastAsia="en-US" w:bidi="ar-SA"/>
        </w:rPr>
        <w:t xml:space="preserve"> at paras. 68-71, 87. I adopt those remarks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For guidance, Ms. Sikora relies upon: </w:t>
      </w:r>
      <w:r>
        <w:rPr>
          <w:rFonts w:ascii="arial" w:eastAsia="arial" w:hAnsi="arial" w:cs="arial"/>
          <w:i/>
          <w:color w:val="000000"/>
          <w:sz w:val="20"/>
          <w:lang w:val="en-US" w:eastAsia="en-US" w:bidi="ar-SA"/>
        </w:rPr>
        <w:t>Holder v. Maclean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et al</w:t>
      </w:r>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2001 BCSC 1474</w:t>
        </w:r>
      </w:hyperlink>
      <w:r>
        <w:rPr>
          <w:rFonts w:ascii="arial" w:eastAsia="arial" w:hAnsi="arial" w:cs="arial"/>
          <w:color w:val="000000"/>
          <w:sz w:val="20"/>
          <w:lang w:val="en-US" w:eastAsia="en-US" w:bidi="ar-SA"/>
        </w:rPr>
        <w:t xml:space="preserve"> ($75,000; $90,443 in present dollars); </w:t>
      </w:r>
      <w:r>
        <w:rPr>
          <w:rFonts w:ascii="arial" w:eastAsia="arial" w:hAnsi="arial" w:cs="arial"/>
          <w:i/>
          <w:color w:val="000000"/>
          <w:sz w:val="20"/>
          <w:lang w:val="en-US" w:eastAsia="en-US" w:bidi="ar-SA"/>
        </w:rPr>
        <w:t>Bedwell v. McGill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and Currie</w:t>
      </w:r>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2006 BCSC 369</w:t>
        </w:r>
      </w:hyperlink>
      <w:r>
        <w:rPr>
          <w:rFonts w:ascii="arial" w:eastAsia="arial" w:hAnsi="arial" w:cs="arial"/>
          <w:color w:val="000000"/>
          <w:sz w:val="20"/>
          <w:lang w:val="en-US" w:eastAsia="en-US" w:bidi="ar-SA"/>
        </w:rPr>
        <w:t xml:space="preserve"> ($85,000; $93,787 in present dollars); and </w:t>
      </w:r>
      <w:r>
        <w:rPr>
          <w:rFonts w:ascii="arial" w:eastAsia="arial" w:hAnsi="arial" w:cs="arial"/>
          <w:i/>
          <w:color w:val="000000"/>
          <w:sz w:val="20"/>
          <w:lang w:val="en-US" w:eastAsia="en-US" w:bidi="ar-SA"/>
        </w:rPr>
        <w:t>Bjornson v. Shaw</w:t>
      </w:r>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2009 BCSC 758</w:t>
        </w:r>
      </w:hyperlink>
      <w:r>
        <w:rPr>
          <w:rFonts w:ascii="arial" w:eastAsia="arial" w:hAnsi="arial" w:cs="arial"/>
          <w:color w:val="000000"/>
          <w:sz w:val="20"/>
          <w:lang w:val="en-US" w:eastAsia="en-US" w:bidi="ar-SA"/>
        </w:rPr>
        <w:t xml:space="preserve"> ($65,000; $67,947 in present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Holder</w:t>
      </w:r>
      <w:r>
        <w:rPr>
          <w:rFonts w:ascii="arial" w:eastAsia="arial" w:hAnsi="arial" w:cs="arial"/>
          <w:color w:val="000000"/>
          <w:sz w:val="20"/>
          <w:lang w:val="en-US" w:eastAsia="en-US" w:bidi="ar-SA"/>
        </w:rPr>
        <w:t xml:space="preserve">, the 61-year-old plaintiff suffered injuries to his neck, shoulders, left knee and left ankle. The left ankle injury remained on-going four years post-accident. The ankle could continue to deteriorate, which might require surgery in the future. If surgery were required, the plaintiff would be immobilized for eight to twelve weeks and permanently lose mobility in the ankle. The plaintiff also suffered from on-going headaches and other pain which led to weight gain and affected his mood and ability to concentrate. In </w:t>
      </w:r>
      <w:r>
        <w:rPr>
          <w:rFonts w:ascii="arial" w:eastAsia="arial" w:hAnsi="arial" w:cs="arial"/>
          <w:i/>
          <w:color w:val="000000"/>
          <w:sz w:val="20"/>
          <w:lang w:val="en-US" w:eastAsia="en-US" w:bidi="ar-SA"/>
        </w:rPr>
        <w:t>Bjornson</w:t>
      </w:r>
      <w:r>
        <w:rPr>
          <w:rFonts w:ascii="arial" w:eastAsia="arial" w:hAnsi="arial" w:cs="arial"/>
          <w:color w:val="000000"/>
          <w:sz w:val="20"/>
          <w:lang w:val="en-US" w:eastAsia="en-US" w:bidi="ar-SA"/>
        </w:rPr>
        <w:t>, the plaintiff suffered from soft tissue injuries to her hip, back, left leg and neck, as well as pain from her hip, knee and ankle, five years post-accident, with no further improvement 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 have also considered: </w:t>
      </w:r>
      <w:r>
        <w:rPr>
          <w:rFonts w:ascii="arial" w:eastAsia="arial" w:hAnsi="arial" w:cs="arial"/>
          <w:i/>
          <w:color w:val="000000"/>
          <w:sz w:val="20"/>
          <w:lang w:val="en-US" w:eastAsia="en-US" w:bidi="ar-SA"/>
        </w:rPr>
        <w:t>Westfrield v. Lindstrom</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2013 BCSC 360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Savoie v. Williams</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[2013] B.C.J. No. 2496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Gormick v. Amenta</w:t>
      </w:r>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2013 BCSC 1128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Majchrzak v. Avery</w:t>
      </w:r>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2013 BCSC 1626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Upon review of the authorities and considering the relevant factors and considerations, in my view the appropriate amount of damages for non-pecuniary loss in this case is $80,000.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As a result of her injuries, Ms. Sikora lost gross income of $48,042 and $1,537.51 in vacation credits. Net of source deductions her loss is $39,397. There is no dispute by Mr. Brown as to the calculation of these amounts. Counsel made no specific submission as to whether Mr. Brown would be entitled to a reduction for source deductions, as ICBC has refused coverage to him. I see no reason why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would not be applicable to limit her claims to her net income loss. Therefore the award for past income loss is $39,397.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Sikora claims out of pocket expense of $221.55. In my view, these claims are proven.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Summary and Conclusion: Ms. Sikora's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Damages are assessed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$80,000;</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net wage loss: $39,397;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$221.55.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Given my findings on liability, Ms. Sikora is of course entitled to recover from Mr. Brown 50 percent of the amounts I have awarded.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 ASSESSMENT OF DAMAGES: MR. BROWN'S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Brown claims damages for non-pecuniary loss, past loss of income, and special damages. He argues that he was unable to work due to his accident injuries from the accident date of December 14, 2002 until mid-August, 2003, with the exception of two partial days of work in December 2002, immediately following the accident, and two complete weeks plus a few other days in March 2003. Although Mr. Brown contends that his injuries cause some degree of pain and loss of function affecting his work, no wage loss is claimed following his return to work in August,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Brown adduced no medical evidence regarding his injuries. Other than portions of some clinical records from his family doctor or medical clinics that were put to him in cross-examination, there is no medical evidence of any kind relating to his injuries in evidence. Thus, I do not have the benefit of any professional diagnosis or prognosis, and very little in the way of medical records to assist me with assessing the damages arising from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His claims therefore rest very largely on his own credibility and to a lesser extent that of the collateral witnesses who testified on his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Brown testified that his immediate injuries were a head injury, cuts and bruises to his face and neck (caused presumably by his face and head striking the glass windshield), and bruises and pain to his right shoulder, left elbow, and right leg. His right knee bothered him for "a couple of years". The major continuing injuries Mr. Brown complains of are to his right shoulder, left elbow, and his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He argues that damages should be assessed as follows: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of $130,000;</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wage loss of $32,201.59 (gross, before deductions for Employment Insurance benefits and ICBC TTD payments); and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of $804.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On behalf of Ms. Sikora the defence contends that Mr. Brown's complaints of injury are not credible. The defence concedes that Mr. Brown suffered some soft tissue injuries to his neck, back and right shoulder. The defence did not deny that he suffered some short term facial injuries. The defence submits that an appropriate award of non-pecuniary loss would be in the range of $22,000 to $35,000. The defence contests any claim for wage loss, or for most of the special damages claimed.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As noted, at the time of the accident Mr. Brown was 37 years of age. He left school after completing Grade 11. He resided in Surrey with his wife and three children. In 2006 a fourth child was born. He has worked as a truck driver or heavy equipment operator since he was a youth. He began working as an excavator operator for Bray Enterprises Ltd. in or about 1985, at the age of 20. He continued to work as a heavy equipment operator for the same employer post-accident, although at some point since the accident he became a foreman. When this change occurred and how it affected his work was largely unexplained in the evidence. In his work he operates an excavator or other equipment such as a backhoe, roller or bulldozer.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At the time of the accident Mr. Brown was on a lay-off from his work at Bray Enterprises. He had been laid off since October 25, 2002, about seven weeks pre-accident. His work is somewhat seasonal, and as a result seasonal lay-offs and claims of employment insurance are common. He worked for two partial days in December shortly after the accident, but then did not work again until early March 2003, about 2.5 months post-accident. He worked for slightly more than one half of full time hours for one month, then was off work again from late-March 2003 to mid-August 2003, when he returned to work full time. No further work was lost due to injuries following August 2003. Thus, he claims his work was interrupted for a total of about eight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February or March 2003 Mr. and Mrs. Brown took possession of a nine to ten acre property on 50th Avenue and 232nd Street, Surrey. Mr. Brown moved a house onto the property in or about April 2003. Extensive work was required to prepare the site and make the house usable as the family residence, including clearing a portion of the land, installation of utilities, building foundations, fencing and landscaping. Mr. Brown acted as his own general contractor for the project. For a few months beginning in June 2003 the family lived in a trailer on the property until the house was ready for occupation in late 2003. By the time he returned to work in August 2003, the project was approximately 50 percent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Brown was playing hockey on a regular basis at the time of the accident. He had played minor hockey to the Juvenile "A" level in Cloverdale, then played adult men's hockey after that. Following the accident he was unable to play hockey for about three months, but was able to resume playing in March or April 2003, just before the end of the season. He played the full next season, beginning in September 2003 and carrying on until March or April 2004. He played the same amount as he had prior to the accident. He claims that his accident injuries have reduced the competitive level of hockey is able to 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ICBC obtained extensive surveillance video evidence of Mr. Brown installing fencing on his property on July 29, 2003, and playing two hockey games with his men's league team on March 16 and March 18, 2005. The video evidence was shown in court in its entirety, except for a minor segment that was lost.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Assessment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general Mr. Brown was not a reliable or credible witness with respect to his injuries and their consequences. His memory was often vague, or entirely lacking, or incorrect. He repeatedly had to be reminded of his evidence given on examination for discovery in January 2006, some three years post-accident and almost eight years before trial in November and December 2013. His evidence at trial was repeatedly contradicted by his evidence at examination for discovery. It is understandable that almost 11 years post-accident his memory would be poor in some respects at least, but I formed the view that many of his memory lapses and errors could not be attributed only to that. I formed the view that his evidence on his examination for discovery was more accurate than his evidence at trial, both because it was much more current or contemporaneous, and because in addition his evidence at trial was affected by considerations relating to his pecuniary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evidence of Mr. Brown's collateral witnesses (his wife, his daughter, and a friend), was to the effect that Mr. Brown is a non-complainer, or in other words he is stoical. In my view this tendency is reflected somewhat in his evidence on examination for discovery, but not in his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There was a great deal of vague and unreliable evidence at trial concerning the work involved with the property in 2003 and the extent to which Mr. Brown was or was not able to perform the work himself. In consideration of all of the evidence, in my view Mr. Brown tended to minimize the amount of work he was able to do on the property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On his examination for discovery he was asked about how the accident affected his ability to play hockey. In responding he referred only to his right shoulder injury affecting the speed and accuracy of his shot. He did not mention his left elbow or back injuries or a general reduction in competitive ability which was a feature of his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video evidence of Mr. Brown working on his property was obtained July 29, 2003, at a time when Mr. Brown states that he was incapable of working due to his accident injuries. The video surveillance lasts about two hours. Mr. Brown is seen constructing a fence made of wooden posts and wire mesh with the assistance of his father in law. He is depicted engaging in a variety of moderately strenuous physical activities such as lifting and installing the posts, unrolling the wire, hammering nails, trimming the posts with a power saw, pushing a wheelbarrow, lifting a portable generator, and driving an excavator. There is no obvious sign of any significant limitation or restriction on his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 great deal of work was required to make the house and property ready for habitation, and Mr. Brown was under time pressure as the family was living in the trailer, and Mr. Brown had to complete the work before the winter. He acted as his own general contractor, hiring a few workers or subcontractors as needed. In his second statement to ICBC made July 9, 2003, he indicates that he was off work due to his shoulder injury (right shoulder, I infer) from approximately late-March 2003, but has been able to work about two hours a day or 15 hours per week on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hockey game videos taken March 16 and 18, 2005, show Mr. Brown playing a complete game on both occasions. Mr. Brown's intensity level is low, but the pace of the game is quite modest and Mr. Brown's competitive level and skill level is in keeping with the other players. There is no apparent sign of distress or limitation of function. My impression is that the video shows Mr. Brown skating, puckhandling, checking and shooting more or less normally. Mr. Brown is shown taking a full slap shot in the second game. He is right handed and shoots right, so the slap shot involves a full rapid and strenuous use of his 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On his examination for discovery Mr. Brown acknowledged that the range of motion of his right shoulder was full, and that he was playing as much hockey as he had pre-accident.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As noted, at trial Mr. Brown contends that following the accident he could no longer play the calibre of men's recreational hockey that he had previously and that the decline in his performance was caused by the accident injuries, primarily his right shoulder, left elbow and back injuries. I was not persuaded on the whole of the evidence that the accident injuries had this consequence. I do not accept that his ability to play hockey was much affected by his injuries after he returned to regular play a few months after the accident. Mr. Brown's evidence concerning his hockey playing history was vague. Corroborative evidence regarding the reduction in his skill level given by a close friend, Mr. Tracey Smith, was not reliable or persuasive, nor was the evidence on this topic from Mr. Brown's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Smith testified that he assisted Mr. Brown with the work involved in moving the house, which he testified occurred two or three months prior to the accident. He gave quite extensive evidence concerning the physical work that he saw Mr. Brown do on the property prior to the accident, and testified that he was doing less work on the property after the accident. In giving this evidence Mr. Smith was mistaken as to when Mr. Brown acquired the property and started working on it, which was in fact two or three months post-accident. Thus his evidence concerning what Mr. Brown was able or unable to do on the property relative to the accident date was most unhelpful to Mr. Brown's case and unreliable. Mr. Smith also testified that Mr. Brown is no longer the hockey player he was in the past. However, Mr. Smith testified that Mr. Brown did not play hockey for several years post-accident, but this was contradicted by Mr. Brown, who testified that he returned to play at the end of the season, and played every season since. Mr. Smith testified that due to knee surgery he could not play for two years but he played together with Mr. Brown in the 2007 season. In my view Mr. Smith's evidence was consistent with an impression on his part that Mr. Brown's hockey playing ability in recent years is much lower than it was in the distant past, but the evidence does not support the contention that Mr. Brown's reduction in ability coincided with the accident injuries or was caused by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As noted, Mr. Brown was 37 year of age when the accident occurred. He would have been 40 when the hockey videos were obtained. He is a large man who smokes. In my view the limited evidence available supports the view that Mr. Brown's decline in skill and ability is very largely attributable to typical effects of aging and general physical decline including loss of conditioning, and has little to do with the accident injuries except to a limited degree in respect of his 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relation to his hockey ability, I accept only that Mr. Brown still suffers from some lingering effects of a right shoulder injury, which has a slight effect on his hockey playing ability. That is, as he said on examination for discovery, the injury affects the speed and accuracy of his shot, and he shoots less frequently.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On his examination for discovery Mr. Brown testified that his injuries were starting to settle down roughly one year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At trial Mr. Brown testified that he undertook physiotherapy treatments for eight or nine months post-accident. However on his examination for discovery he testified that it was five or six months, not eight or nine. I accept that Mr. Brown had physiotherapy for his shoulder for several months but that he exaggerated this somewhat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On examination for discovery he testified that his back injury was 70 to 80 percent better by about one year post-accident. He had chiropractic treatment post-accident for about two months, a total of 10 or 11 treatments. However Mr. Brown had some prior back troubles, as he had been seeing a chiropractor regularly prior to the accident, for many years. At trial Mr. Brown testified that his back still bothers him episodically and he occasionally obtains chiropractic treatment for it when it bothers him. He attributed his ongoing back troubles partly to the continuing effects of the accident, and partly to unrelated factors. I am not persuaded that Mr. Brown suffered significantly from back pain caused by the accident beyond about one year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Eleven years have passed since the accident. Unsurprisingly Mr. Brown has sustained several subsequent injuries. Some have occurred in hockey, others in and around the home or at work. He suffered a laceration to his left knee in March 2003 as a result of an accident with a chainsaw. In March 2005 during a hockey game he hit his head on the boards causing neck and head pain. Also in 2005 he fell through an open trap door in the house, falling into the crawl space, and fracturing his ribs. In January 2007 he injured his right knee in hockey. In November 2009, he injured one of his shoulders in hockey. Most likely he injured his left shoulder although the evidence is conflicting. He twisted his left knee at work in October 2010. He testified that all of these injuries were temporary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At trial Mr. Brown testified that he has neck pain occasionally. He was unable to state whether this would be related to the accident or not. There is of course no medical evidence. I find that it is unrelated.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Brown testified that his left elbow is occasionally bothersome. He massages it. It does not affect his ordinary daily activities. On his examination for discovery he testified that his left arm was swollen and bruised for about two weeks, but he had no problems with his left arm after that. I find that Mr. Brown's left elbow injury was resolved within a few weeks or months of the accident and that any problems that Mr. Brown had after that or is still having with his left elbow are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At trial Mr. Brown complained of occasional dizziness. On his behalf Mrs. Brown testified that he has become forgetful, and has headaches, and that his mood is affected. On examination for discovery he admitted through counsel that there was no "head injury claim" which I interpret to mean a claim for ongoing injury to the head of some sort, as distinct from the evidence of cuts, lacerations and contusions. I find that there is no evidence of any ongoing head injury past the first few weeks post-accident. I am not persuaded that there are any proven psychological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On examination for discovery Mr. Brown testified that his knees were "banged pretty good" in the accident but the only effect was bruising, which resolved within a few months. I accept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Brown's daughter testified that although she was only seven when the accident occurred, Mr. Brown can no longer throw a ball very well and he appears to be in pain when he does so. She testified to certain other limitations of function, such as with lifting and carrying abilities, and a reduction in some of his recreational activities with the family such as on camping trips. I accept that Mr. Brown's ability to throw a ball has been affected by his shoulder injury. In my view the other current limitations of function not related to the use of his right shoulder are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did not consider Mrs. Brown's testimony about Mr. Brown's hockey to be reliable. She testified that he did not play at all in the season following the accident (2003 to 2004) but I find that he played that whole season, as he testified on examination for discovery and confirmed at trial. She testified that the work he did on the property was very limited. She testified that in a number of respects Mr. Brown is less physically strong and capable than he was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Given the extraordinary passage of time involved, I think it is very difficult for Mrs. Brown to fairly and accurately compare Mr. Brown's pre- and post-accident physical abilities. She was unaware that any accident had occurred until about two years post-accident when she read the Writ of Summons and extracted some information from Mr. Brown. I formed the view that she was likely comparing Mr. Brown's current abilities and condition with those of long ago. I also formed the view that her evidence was quite tightly scripted in an effort to overcome its significant inherent limitations. In the circumstances, where Mr. Brown is facing personal liability and his claims have a defensive aspect, her pecuniary interest in the outcome is high. In all of the circumstances I am not able to place much weight on her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find that Mr. Brown suffered from the following injuries in the accident:</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cuts, lacerations and bruises to his face and neck, which resolved normally within a few weeks;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type injuries to his knees, shoulders, left elbow, and back, which all resolved within about one year of the accident;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his right shoulder, which continues to cause regular pain and discomfort, and some modest limitation of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excavator is controlled by means of a joystick requiring minimal physical effort. Mr. Brown testified he has no trouble operating the heavy equipment, although he feels pain at the end of the day. I find that Mr. Brown's injuries affected his ability to work as an excavator operator to some extent until he returned to work in mid-August, 2003. Following that there was no loss of income. There is no claim for loss of earning capacity, past or future, other than the claim for actual wage loss prior to mid-August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heard evidence from Mr. Brown and the collateral witnesses on his behalf about the extent to which Mr. Brown's domestic and recreational activities were affected by his accident injuries. The evidence related to matter such as yard work, household chores, playing with his younger children, and recreational activities while camping or on vacation. Mr. Brown's own evidence about these activities was that his restrictions were minimal. Once again, the long passage of time puts into question whether observed changes are accident related or not. On all of the evidence, I find that Mr. Brown's injuries affected his ordinary activities and enjoyment of life to a significant degree for a maximum of about one year post-accident. Following that, his shoulder injury has caused minimal loss of function and interference with enjoyment of life.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Case Authorities: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Once again, I refer to the general principles underlying an award of non-pecuniary damages which I recently summarized in </w:t>
      </w:r>
      <w:r>
        <w:rPr>
          <w:rFonts w:ascii="arial" w:eastAsia="arial" w:hAnsi="arial" w:cs="arial"/>
          <w:i/>
          <w:color w:val="000000"/>
          <w:sz w:val="20"/>
          <w:lang w:val="en-US" w:eastAsia="en-US" w:bidi="ar-SA"/>
        </w:rPr>
        <w:t>Gillam v. Wiebe</w:t>
      </w:r>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2013 BCSC 565</w:t>
        </w:r>
      </w:hyperlink>
      <w:r>
        <w:rPr>
          <w:rFonts w:ascii="arial" w:eastAsia="arial" w:hAnsi="arial" w:cs="arial"/>
          <w:color w:val="000000"/>
          <w:sz w:val="20"/>
          <w:lang w:val="en-US" w:eastAsia="en-US" w:bidi="ar-SA"/>
        </w:rPr>
        <w:t xml:space="preserve"> at paras. 68-71, 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As noted, although Mr. Brown may be somewhat stoical by nature, this characteristic was not reflected in his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Mr. Brown submits that an award of $130,000 for non-pecuniary loss would be appropriate. As support for that submission his counsel cites </w:t>
      </w:r>
      <w:r>
        <w:rPr>
          <w:rFonts w:ascii="arial" w:eastAsia="arial" w:hAnsi="arial" w:cs="arial"/>
          <w:i/>
          <w:color w:val="000000"/>
          <w:sz w:val="20"/>
          <w:lang w:val="en-US" w:eastAsia="en-US" w:bidi="ar-SA"/>
        </w:rPr>
        <w:t>Baker v. Clark</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2013 BCSC 2044</w:t>
        </w:r>
      </w:hyperlink>
      <w:r>
        <w:rPr>
          <w:rFonts w:ascii="arial" w:eastAsia="arial" w:hAnsi="arial" w:cs="arial"/>
          <w:color w:val="000000"/>
          <w:sz w:val="20"/>
          <w:lang w:val="en-US" w:eastAsia="en-US" w:bidi="ar-SA"/>
        </w:rPr>
        <w:t xml:space="preserve"> ($30,000), </w:t>
      </w:r>
      <w:r>
        <w:rPr>
          <w:rFonts w:ascii="arial" w:eastAsia="arial" w:hAnsi="arial" w:cs="arial"/>
          <w:i/>
          <w:color w:val="000000"/>
          <w:sz w:val="20"/>
          <w:lang w:val="en-US" w:eastAsia="en-US" w:bidi="ar-SA"/>
        </w:rPr>
        <w:t>Graydon v. Harris</w:t>
      </w:r>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2013 BCSC 182</w:t>
        </w:r>
      </w:hyperlink>
      <w:r>
        <w:rPr>
          <w:rFonts w:ascii="arial" w:eastAsia="arial" w:hAnsi="arial" w:cs="arial"/>
          <w:color w:val="000000"/>
          <w:sz w:val="20"/>
          <w:lang w:val="en-US" w:eastAsia="en-US" w:bidi="ar-SA"/>
        </w:rPr>
        <w:t xml:space="preserve"> ($80,000 before reductions), </w:t>
      </w:r>
      <w:r>
        <w:rPr>
          <w:rFonts w:ascii="arial" w:eastAsia="arial" w:hAnsi="arial" w:cs="arial"/>
          <w:i/>
          <w:color w:val="000000"/>
          <w:sz w:val="20"/>
          <w:lang w:val="en-US" w:eastAsia="en-US" w:bidi="ar-SA"/>
        </w:rPr>
        <w:t>Courtenay v. Hutchinson</w:t>
      </w:r>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2012 BCSC 188</w:t>
        </w:r>
      </w:hyperlink>
      <w:r>
        <w:rPr>
          <w:rFonts w:ascii="arial" w:eastAsia="arial" w:hAnsi="arial" w:cs="arial"/>
          <w:color w:val="000000"/>
          <w:sz w:val="20"/>
          <w:lang w:val="en-US" w:eastAsia="en-US" w:bidi="ar-SA"/>
        </w:rPr>
        <w:t xml:space="preserve"> ($70,000), and </w:t>
      </w:r>
      <w:r>
        <w:rPr>
          <w:rFonts w:ascii="arial" w:eastAsia="arial" w:hAnsi="arial" w:cs="arial"/>
          <w:i/>
          <w:color w:val="000000"/>
          <w:sz w:val="20"/>
          <w:lang w:val="en-US" w:eastAsia="en-US" w:bidi="ar-SA"/>
        </w:rPr>
        <w:t>Miller v. Lawlor</w:t>
      </w:r>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2012 BCSC 387</w:t>
        </w:r>
      </w:hyperlink>
      <w:r>
        <w:rPr>
          <w:rFonts w:ascii="arial" w:eastAsia="arial" w:hAnsi="arial" w:cs="arial"/>
          <w:color w:val="000000"/>
          <w:sz w:val="20"/>
          <w:lang w:val="en-US" w:eastAsia="en-US" w:bidi="ar-SA"/>
        </w:rPr>
        <w:t xml:space="preserve"> ($65,000), and submits that Mr. Brown's injuries have lasted much longer than in these cases. In all of these cases, the plaintiffs' daily and leisure activities were impaired by, among other things, permanent soft tissue injuries that resulted in on-going neck pain, back pain and headaches. In the latter three cases, the pain suffered by the plaintiff was more severe than that suffered by Mr. Brown. Therefore the cases cited by the plaintiff are not particularly helpful in determining non-pecuniary damages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 authorities submitted by the defence are a more useful guide. In </w:t>
      </w:r>
      <w:r>
        <w:rPr>
          <w:rFonts w:ascii="arial" w:eastAsia="arial" w:hAnsi="arial" w:cs="arial"/>
          <w:i/>
          <w:color w:val="000000"/>
          <w:sz w:val="20"/>
          <w:lang w:val="en-US" w:eastAsia="en-US" w:bidi="ar-SA"/>
        </w:rPr>
        <w:t>Chan v. Kao,</w:t>
      </w:r>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2009 BCSC 626</w:t>
        </w:r>
      </w:hyperlink>
      <w:r>
        <w:rPr>
          <w:rFonts w:ascii="arial" w:eastAsia="arial" w:hAnsi="arial" w:cs="arial"/>
          <w:color w:val="000000"/>
          <w:sz w:val="20"/>
          <w:lang w:val="en-US" w:eastAsia="en-US" w:bidi="ar-SA"/>
        </w:rPr>
        <w:t xml:space="preserve">, the plaintiff was awarded $22,000 in non-pecuniary damages for on-going shoulder injuries as a result of a motor vehicle accident. A higher award is appropriate here to account for the additional injuries Mr. Brown sustained. In </w:t>
      </w:r>
      <w:r>
        <w:rPr>
          <w:rFonts w:ascii="arial" w:eastAsia="arial" w:hAnsi="arial" w:cs="arial"/>
          <w:i/>
          <w:color w:val="000000"/>
          <w:sz w:val="20"/>
          <w:lang w:val="en-US" w:eastAsia="en-US" w:bidi="ar-SA"/>
        </w:rPr>
        <w:t>Lo v. Chow,</w:t>
      </w:r>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shd w:val="clear" w:color="auto" w:fill="FFFFFF"/>
            <w:lang w:val="en-US" w:eastAsia="en-US" w:bidi="ar-SA"/>
          </w:rPr>
          <w:t>2009 BCSC 817</w:t>
        </w:r>
      </w:hyperlink>
      <w:r>
        <w:rPr>
          <w:rFonts w:ascii="arial" w:eastAsia="arial" w:hAnsi="arial" w:cs="arial"/>
          <w:color w:val="000000"/>
          <w:sz w:val="20"/>
          <w:lang w:val="en-US" w:eastAsia="en-US" w:bidi="ar-SA"/>
        </w:rPr>
        <w:t xml:space="preserve">, the plaintiff's injuries had largely healed within a short period after the accident but the plaintiff experienced on-going but relatively minor and intermittent soft tissue pain. The plaintiff was awarded $35,000 in non-pecuniary damages. In </w:t>
      </w:r>
      <w:r>
        <w:rPr>
          <w:rFonts w:ascii="arial" w:eastAsia="arial" w:hAnsi="arial" w:cs="arial"/>
          <w:i/>
          <w:color w:val="000000"/>
          <w:sz w:val="20"/>
          <w:lang w:val="en-US" w:eastAsia="en-US" w:bidi="ar-SA"/>
        </w:rPr>
        <w:t>McClaren v. Kucharek</w:t>
      </w:r>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2008 BCSC 673</w:t>
        </w:r>
      </w:hyperlink>
      <w:r>
        <w:rPr>
          <w:rFonts w:ascii="arial" w:eastAsia="arial" w:hAnsi="arial" w:cs="arial"/>
          <w:color w:val="000000"/>
          <w:sz w:val="20"/>
          <w:lang w:val="en-US" w:eastAsia="en-US" w:bidi="ar-SA"/>
        </w:rPr>
        <w:t>, the plaintiff recovered from most of his injuries within a year and a half of the accident, but suffered on-going, permanent shoulder pain that was triggered by certain types of exercise. $35,000 (approximately $38,000 in present dollars) was awarded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conclude that an award of $38,000 for non-pecuniary damages is appropriate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Brown claims wage loss of $32,201.59 for the period December 16, 2002 to August 14, 2003, based upon lost pay at $26.33 per hour, including vacation pay of 12 percent, and net of actual earnings in December 2002 (two partial days) and March 2003 (two full weeks and three other days). The defence contends that the claim should be denied entirely due to the lack of medical corroboration, or corroboration from his employer or a co-worker, lack of credibility generally, and the defence contention that Mr. Brown was capable of working but chose to take time to work on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As noted, Mr. Brown admitted in his second ICBC statement made July 9, 2003 that he was capable of working on his property for about 15 hours per week. He acknowledges having worked on the property while off work. The video shows him engaging in somewhat strenuous work for a fairly prolonged period of time. His own work in operating equipment is not very strenuous physically.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He was laid off at the time of the accident, but led no evidence as to when the layoff would have ended. This puts into question the claimed wage loss for December 2002, and January and February of 2003. The amount of hourly loss put forward includes vacation pay, but this would normally be taken as vacation, not as pay, and is therefore likely to be somewhat inflated. A better measure is proportion of annualized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accept that the nature of Mr. Brown's soft tissue injuries and his right shoulder injury would have necessitated some time off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Doing the best I can with unsatisfactory evidence, in my view a fair and reasonable award for wage loss would reflect loss for four months, in total. Based upon pay of $23.51 per hour and 40 hour weeks, a year's pay would be $48,900, or $4075 per month. Thus, I assess past gross loss of wages at $16,300. Mr. Brown acknowledges that the award must be reduced to reflect EI medical benefits and ICBC TTD benefits received. Counsel suggested that these calculations could be worked out by counsel following the judgment, thus I will allow the parties to determine the appropriate set-offs against this amount, with liberty to apply if necessary.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Mrs. Brown testified that expenses have been incurred over the years for epsom bath salts and pain medications such as Advil and Tylenol 3. No receipts were kept. She estimated these expenses at about $804 over the course of 11 years. $759 of this was for bath salts and Advil. I accept that some over the counter pain medication expense was necessarily and reasonably incurred as a result of the accident injuries. Some of the expenses would be incurred in relation to other injuries. It is difficult to properly evaluate the claim without receipts. $250 is a fair and reasonable assessment of the proven expense.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Summary and Conclusions: Mr. Brown's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Damages are assessed as follows: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$38,000;</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gross wage loss, subject to EI and TTD deductions: $16,300; and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$250.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accordance with my findings on liability Mr. Brown is entitled to recover 50 percent of the amounts awarded from Ms. Sikora.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VI.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Success has been divided. Unless there are matters of which I am unaware, neither party is entitled to costs. The parties have liberty to apply with respect to costs within 60 days of the date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F.E. VERHOEVEN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8"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50"/>
          <w:headerReference w:type="default" r:id="rId751"/>
          <w:footerReference w:type="even" r:id="rId752"/>
          <w:footerReference w:type="default" r:id="rId753"/>
          <w:headerReference w:type="first" r:id="rId754"/>
          <w:footerReference w:type="first" r:id="rId75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56" w:history="1">
        <w:r>
          <w:rPr>
            <w:rFonts w:ascii="arial" w:eastAsia="arial" w:hAnsi="arial" w:cs="arial"/>
            <w:b/>
            <w:bCs/>
            <w:i/>
            <w:color w:val="0077CC"/>
            <w:kern w:val="32"/>
            <w:sz w:val="28"/>
            <w:szCs w:val="32"/>
            <w:u w:val="single"/>
            <w:shd w:val="clear" w:color="auto" w:fill="FFFFFF"/>
            <w:lang w:val="en-US" w:eastAsia="en-US" w:bidi="ar-SA"/>
          </w:rPr>
          <w:t>Tchao v. Bourdon, [2009] B.C.J. No. 209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J.C. Grauer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19-23 and 26,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M053042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147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Jonathan Tchao and Cassandra Nieman, Plaintiffs, and Russ Matthew Bourdon,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9"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7" w:name="Keywords_28"/>
      <w:bookmarkEnd w:id="207"/>
      <w:r>
        <w:rPr>
          <w:rFonts w:ascii="arial" w:eastAsia="arial" w:hAnsi="arial" w:cs="arial"/>
          <w:b/>
          <w:color w:val="000000"/>
          <w:sz w:val="20"/>
          <w:lang w:val="en-US" w:eastAsia="en-US" w:bidi="ar-SA"/>
        </w:rPr>
        <w:t xml:space="preserve">Damages — Physical and psychological injuries — Physical injuries — Body injuries — Back and spine — Neck — Head injuries — Concussion — Headaches — Leg injuries — Knee — Psychological injuries — Depression — Post-traumatic stess disorder (PTSD) — Action by plaintiff for damages arising out of head-on collision between two motor vehicles allowed — Collision was caused solely by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Plaintiff awarded non-pecuniary damages of $70,000 and damages for past loss of income of $67,500 — Plaintiff entitled to $120,000 for loss of earning capacity as he was precluded from pursuing lines of work involving physical labour and his accident-related problems restricted sort of work he could do, speed with which he could recover and his employability — Plaintiff entitled to costs of future care of $17,317 and special damages of $1,687.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Types of damages — General damages — Categories of — Loss of income — For personal injuries — Considerations — Aggravation of pre-existing injury — Cost of future care — Loss of earning capacity — Special damages — Non-pecuniary loss — Action by plaintiff for damages arising out of head-on collision between two motor vehicles allowed — Collision was caused solely by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Plaintiff awarded non-pecuniary damages of $70,000 and damages for past loss of income of $67,500 — Plaintiff entitled to $120,000 for loss of earning capacity as he was precluded from pursuing lines of work involving physical labour and his accident-related problems restricted sort of work he could do, speed with which he could recover and his employability — Plaintiff entitled to costs of future care of $17,317 and special damages of $1,687.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Action for damages for personal injury arising out of a motor vehicle accident allowed — Neither the plaintiff nor his passenger were aware of the defendant's vehicle before the two vehicles collided head on — Defendant's discovery evidence was that he was adjusting his radio just prior to impact — Defendant admitted to police that he had fallen asleep at the wheel and had some alcohol in his system — No evidence to suggest that the plaintiff had crossed the centre line or was in any way at fault — Defendant was solely responsible for the collision.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8" w:name="Case Summary_27"/>
            <w:bookmarkEnd w:id="20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arising out of a head-on collision between two motor vehicles. The plaintiff was driving home when he collided with the defendant's vehicle. He had no awareness of the defendant's vehicle before they collided. He was driving the speed limit and in the right-hand lane at all times when he suddenly became aware of a bright light and heard a loud bang. Airbags were deployed in both vehicles and both vehicles were significantly damaged. The plaintiff briefly lost awareness and fell when he got out of the car. The defendant was charged criminally. He pleaded guilty to driving without due care and attention and admitted that he had fallen asleep at the wheel and had alcohol in his system. As a result of the accident, the plaintiff suffered soft tissue injuries to his neck, upper back and lower back, concussion and post-concussion syndrome, headaches, depression, post-traumatic stress disorder and a bruised knew. At the time of trial he remained disabled as a result of pain in his lower back which interfered with his ability to earn income. At the time of the accident, the plaintiff was 21 and employed full time as an operations manager in his father's business. Prior to the accident, the plaintiff sought medical attention on a number of occasions for lower back pain, but he had no lower back problems from January 2003 up to the date of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9" w:name="Holdings of Court_27"/>
            <w:bookmarkEnd w:id="209"/>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collision was caused solely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As a result of the accident, the plaintiff suffered a knee injury, a significant soft tissue injury to the neck and upper back which left him vulnerable to degenerative changes in the neck, a concussion with post-concussion syndrome, a mild post-traumatic stress disorder and depression. As a result of the effect of the accident on the plaintiff's pre-existing lower back condition, the plaintiff suffered from bilateral lumbar facet syndrome. Plaintiff awarded non-pecuniary damages in the amount of $70,000 and damages for past loss of income in the amount of $67.500. The plaintiff was entitled to $120,000 for loss of earning capacity on the basis that he was effectively precluded from pursuing lines of work he engaged in previously which involved physical labour and his accident-related problems restricted the sort of work he could do, the speed with which he could progress in his recovery and his employability. Plaintiff was also entitled to costs of future care in the amount of $17,317 and special damages in the amount of $1,687.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0" w:name="Legislation Cited_19"/>
      <w:bookmarkEnd w:id="2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0"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hyperlink r:id="rId432" w:history="1">
        <w:r>
          <w:rPr>
            <w:rFonts w:ascii="arial" w:eastAsia="arial" w:hAnsi="arial" w:cs="arial"/>
            <w:i/>
            <w:color w:val="0077CC"/>
            <w:sz w:val="20"/>
            <w:u w:val="single"/>
            <w:shd w:val="clear" w:color="auto" w:fill="FFFFFF"/>
            <w:lang w:val="en-US" w:eastAsia="en-US" w:bidi="ar-SA"/>
          </w:rPr>
          <w:t>RSBC 1996, CHAPTER 231, s. 98</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1" w:name="Counsel_29"/>
      <w:bookmarkEnd w:id="21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1" style="position:absolute;z-index:251791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 Langille.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 Grey.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2" w:name="Judgment_29"/>
      <w:bookmarkEnd w:id="212"/>
      <w:r>
        <w:pict>
          <v:line id="_x0000_s1172" style="position:absolute;z-index:2518415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3" w:name="J.C. GRAUER J._0"/>
            <w:bookmarkEnd w:id="213"/>
            <w:r>
              <w:rPr>
                <w:rFonts w:ascii="arial" w:eastAsia="arial" w:hAnsi="arial" w:cs="arial"/>
                <w:b/>
                <w:color w:val="000000"/>
                <w:sz w:val="30"/>
                <w:lang w:val="en-US" w:eastAsia="en-US" w:bidi="ar-SA"/>
              </w:rPr>
              <w:t>J.C. GRAUER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arises out of a head-on collision between two motor vehicles that occurred in the early morning hours of December 5, 2004. The claim of the plaintiff Cassandra Nieman has been resolved. With respect to the plaintiff Jonathan Tchao, both liability and quantum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Jonathan Tchao, is 25 years old. He was born in Hong Kong, but has lived in Canada since the age of one. He was raised in Richmond, and speaks both English and the Cantonese dialect of the Chinese language fluently.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Tchao testified that on the evening of December 4, 2004, he attended a high school championship football game at B.C. Place in downtown Vancouver. His younger brother, Michael, was playing in the final for Vancouver College. He was in the company of his parents, Francis and Patsy Tchao, his girlfriend (now common-law wife) Cassandra Nieman, and his friend Sylvain Leblanc and Mr. Leblanc's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Vancouver College lost what was a very close game. Mr. Tchao's parents had each driven a car to the game, and wanted to head off together to commiserate. Mr. Tchao borrowed his father's car, a Honda Prelude, so that he could leave separately with his friends. He and his friends had coffee at the Blenz store at Granville and Nelson, where they could sit outside and be entertained by the street scene. Mr. Tchao testified, and I accept, that he had no alcohol at all that evening. He was corroborated in this regard by Ms. Nieman and Mr. Leblanc.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After coffee, the Leblancs went their separate way, and Mr. Tchao and Ms. Nieman headed home to the house they shared with two friends on Rumble Street in Burnaby. On their way, they passed the scene of an accident on Kingsway, and stopped to offer assistance. After that, they picked up some food to go at McDonald's and then drove down Rumble Street, heading eastbound.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When the collision occurred, their driveway was in sight. Neither Mr. Tchao nor Ms. Nieman had any awareness of the defendant's vehicle before they collided head on. Mr. Tchao was suddenly aware of a bright light and then a loud bang, and then little else. Both he and Ms. Nieman were adamant, however, that they were in the right-hand lane at all times, and that as they were very close to their home, they were driving within the speed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collision was a severe one. Both cars had to be written off. The front airbags were deployed. Mr. Tchao briefly lost awareness. He then got out of the car and fell down. His next real memory is of lying on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police, fire truck and ambulance all attended quite quickly, having come from the nearby accident scene where Mr. Tchao at Ms. Nieman had previously stopped to offer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did not testify. His evidence on discovery, read in at the trial, was that he did not see the plaintiff's vehicle at any time before the collision. Immediately before the impact, he was adjusting his radio, and then, bang! He was charged with impaired driving, and subsequently pleaded guilty to the lesser but included offence of driving without due care and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the defendant's sentencing hearing, the circumstances of the offence relayed by the Crown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Upon [the attending RCMP Constable] speaking with Mr. Bourdon, Mr. Bourdon admitted to falling asleep at the wheel. Mr. Bourdon also admitted to having some alcohol in his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following exchange then took place between the Court and counsel for Mr. Bourdon: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Okay. And those circumstances are substantially correct, Mr. Harris?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HARRIS: Oh, yes, they are. They are not disputed.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On all of the evidence, I have no hesitation in concluding that the collision was caused solely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It is the only reasonable inference that arises from the evidence. In particular, I note the following:</w:t>
      </w:r>
      <w:r>
        <w:rPr>
          <w:rFonts w:ascii="arial" w:eastAsia="arial" w:hAnsi="arial" w:cs="arial"/>
          <w:sz w:val="20"/>
          <w:lang w:val="en-US" w:eastAsia="en-US" w:bidi="ar-SA"/>
        </w:rPr>
        <w:cr/>
      </w:r>
    </w:p>
    <w:p>
      <w:pPr>
        <w:numPr>
          <w:numId w:val="1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vehicle was at all times on the right-hand side of the road. This was the evidence of Mr. Tchao and Ms. Nieman, which I accept, and no evidence was led from the defendant or from any accident reconstruction expert to suggest otherwise. It is also consistent with the location of the accident debris as shown in the photographs of the accident scene.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follows that it was the defendant who crossed the centre line.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not paying attention to the road immediately prior to impact. On his own evidence, he was at best adjusting his radio, and at worst, asleep.</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convicted of driving without due care and attention after entering a guilty plea in which he accepted his responsibility.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evidence was led to suggest any fault on the part of the plaintiff, such as speeding, inattention or erratic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Accordingly, I find the defendant 100% liable for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Principal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Tchao claims that, as a result of the accident, he suffered a number of injuries including soft tissue injury to the neck, upper back and lower back, concussion and post-concussion syndrome, headaches, depression, post-traumatic stress disorder, and bruised right knee. Of these, the most serious outstanding issue remains disability as a result of pain in his lower back, which has greatly interfered with his ability to earn an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 accepts that Mr. Tchao suffered the soft tissue injuries, headaches, post-traumatic stress disorder, and bruised right knee, but maintains that the plaintiff has recovered from all of these problems in so far as they were caused by the accident. To the extent that the plaintiff is currently suffering from lower back problems, the defendant maintains that these relate to a pre-existing degenerative condition in the plaintiff's spine, and that the plaintiff's future income earning capacity has not been affected by the accident. The defendant puts Mr. Tchao's credibility very much into issue, and maintains that the plaintiff's principal expert medical witness, Dr. Brian Hunt, is an advocate whose opinion evidence must be treated with great caution.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Pre-Accident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was born on December 16, 1983. When the accident occurred, he was just short of his 21st birthday.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His mother, Patsy Tchao, is a registered nurse. His father, Francis Tchao, is the owner/operator of a wholesale live seafood business in Richmond, called Nexus Seafood Trading Ltd. ("Nexus"). Mr. and Mrs. Tchao are presently separated. The plaintiff's younger brother (the football player), Michael, is in full-time attendance at Simon Fraser University, with the goal of going on to medical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Jonathan Tchao graduated from Hugh McRoberts Secondary School in Richmond in June, 2001. He was, at best, an average student. In grades 9 through 11, and through part of grade 12, Mr. Tchao took medication for attention deficit disorder, diagnosed by a pediatrician in 1997. He gave up the medication in grade 12 because he disliked the side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Tchao was athletically active, playing for his school's varsity volleyball team in grades 11 and 12, and for the varsity rugby team in grade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When he was 15, Mr. Tchao got a summer job at the airport unloading containers. This involved lifting and carrying pieces weighing from 10 to 60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Beginning in grade 11, Mr. Tchao took part-time employment at Safeway, as a stock boy. On the evidence, I find that he worked generally 20 hours a week at that job. He also assisted at his father's business from time to time, performing general labour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Upon graduation in 2001, Mr. Tchao started working full time at his father's business, initially performing physical labour tasks, and later adding the role of operations manager, in which position he continued until the date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2002, Mr. Tchao added a part-time job as a doorman/bouncer at The Blox nightclub in Richmond. He worked Thursday, Friday and Saturday nights from 9:00 p.m. to 2:30 a.m. He was paid $15/hour under the table. He quit this job in the spring of 2004 because the club scene had become too violent. He did not consider the extra income worth the risk of being shot.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had been the plaintiff's vocational goal to obtain a university level degree in business administration. His academic record, however, was not good enough to gain him entrance to the University of British Columbia. In order to upgrade his academic record, he enrolled at Kwantlen Polytechnic University in Surrey on a part-time basis, while working full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Tchao did not do well at Kwantlen. He was put on academic probation after the first semester in the fall of 2001, and then was required to withdraw in the spring semester of 2003. Little happened between those two semesters. I observe that during this time, on the evidence, he was working 80 hours a week between his two jobs, and partying hard when time permitted.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Tchao first suffered pain in his lower back in the fall of 2000 when he was playing volleyball. He "tweaked" his back in a game, but the pain did not last. Shortly thereafter, on November 8, 2000, while working at Safeway, he experienced immediate lower back symptoms while lifting milk crates in the dairy cooler. This resulted in a Workers' Compensation Board claim that paid him about two weeks of wages while he was off work. His family doctor, Dr. Barbara Duncan, noted normal range of motion with pain throughout the range, and normal sacroiliac joints ("SI joints").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According to Mr. Tchao, this was something he had not experienced before. He attended a chiropractor 10 or 12 times, in addition to his family doctor, and things improved but did not get back to normal. He went back to work after two weeks, and continued to work at Safeway thereafter. His low back continue to be a problem, but it was not immobilizing, and he was able to carry on with lifting at Safeway.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next time Mr. Tchao sought medical attention for his lower back problems was on August 28, 2001. He reported to Dr. Duncan's associate that he had bent over at home, and felt a sharp twang. His neurological exam was normal, and he had a normal lumbar spine x-ray. He was diagnosed with acute strain, and was advised to stay off work for two weeks, attend physiotherapy, and take Naproxen and Flexeril.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October 24, 2001, Mr. Tchao returned to Dr. Duncan complaining of "another episode of back pain after moving shed things". He saw Dr. Duncan again on November 6, 2001, at which time she noted that he would be off work for 2-4 weeks. Mr. Tchao returned on December 4, 2001, with back pain radiating into his right leg. Dr. Duncan ordered a CT scan to rule out bulging discs. The CT scan was taken on January 16, 2002, and disclosed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L4-5, there is a minor diffuse concentric posterior bulging of the disc with a slight posterocentral predominance. No mass effect on the exiting nerve roots or neural foramina is detected. The spinal canal is of adequate dimensions and the facet joints are normal.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L5-S1, there is a mild posterocentral bulge of the disc bordering on the thecal sac, but not resulting in its compression. No mass effect on exiting nerve roots is detected with epidural fat maintained between the right S1 nerve root and the bulging disc.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spinal canal and facet joints are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Noting that there was no sign of nerve compression, Dr. Duncan recommended that Mr. Tchao return to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By March 8, 2002, when Mr. Tchao next saw Dr. Duncan to report that his back was "bothering him again", he still had not returned to physiotherapy. There was no further report of back issues until September 3, 2002, when Mr. Tchao reported that he had been in Hong Kong, when his back had caused him "unbelievable pain". He was treated by his cousin's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December 13, 2002, Dr. Duncan wrote a referral for Mr. Tchao to Dr. K.F. Hughes, an orthopaedic surgeon, for an appointment scheduled for January 14, 2003. Under "REASON FOR REFERRAL", Dr. Duncan wrote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Persistent problems with lower back pain since mid-2001. Minimal relief work conditioning, physio, NSAID [non-steroid anti-inflammatories] (variety). Only relief is when had cortisone injection in Hong Kong.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Large guy [he then weighed approximately 235 pounds] - at point today where difficult to get up, literally rolling on floor until can get to counter to help himself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this consult, Dr. Hughes reported a history of intermittent lower back problems over the last three years which had markedly increased about a year before, to the point where Mr. Tchao was having radicular pain into the right leg. Since then, the pain had become progressively worse in nature so that he now described a constant awareness of pain although its intensity varied from day to day. Dr. Hughes noted that Mr. Tchao was carrying on an appropriate program of exercise. He decided to order a follow-up CT scan, observing that Mr. Tchao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may have some factors that are continuing to aggravate his problems in that he is required to do prolonged sitting at work during the course of his duties and he finds this difficult with increasing pain. We have advised him with his stretching program as well as to continue to change position frequently to avoid aggravation of the nerve root which sounds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xml:space="preserve"> ] to be S1 on the right side. We will see him again upon receipt of the CT 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CT scan was taken on March 4, 2003, and was reported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L4/5 LEVEL: the previous examination demonstrated a diffuse bulge of the L4/5 disc. This diffuse bulge is again seen on today's examination. In addition, there is a small posterolateral L4/5 disc herniation with a minimal superior execution of the herniated disc. No evidence of spinal stenosis. Normal appearing facet joints.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L5/S1 LEVEL: the previously described posterocentral protrusion of the L5/S1 disc is again seen, unchanged from the previous examination. There is a slight spur formation along the posterior-superior endplate of S1, suggesting that this disc protrusion may be long-standing.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it turned out, Mr. Tchao did not return to see Dr. Hughes to review these results. He testified that his back symptoms improved significantly after he saw Dr. Hughes in January, and he felt no need to return. Indeed, his evidence was that his back did not bother him again until the motor vehicle accident occurred nearly two years later. His evidence is supported by the clinical records which disclose no further reports of lower back problems between the referral to Dr. Hughes on January 14, 2003, and the motor vehicle accident on December 5,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will be observed that these incidents of lower back problems had resulted in periods off work of between two and four weeks, but not longer.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By the time of his motor vehicle accident, Mr. Tchao was doing well working at his father's business. Francis Tchao candidly described his son as "lovable, but not good at school". He therefore thought it would be a good idea for Jonathan to learn his wholesale live seafood business, and perhaps take it over one day as his successor in accordance with Chinese custom.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business operated out of a plant in Richmond. On the floor of the plant, employees were engaged in the physically demanding labour of packing, unpacking, shifting, carrying and cleaning. Mr. Tchao began by working on the floor. Gradually, he moved more into management, and two years before the accident became "operations manager". This involved a mix of labour on the plant floor (which no employee avoided entirely) together with administration and sales. He became responsible for Save-On-Foods/Overwaitea as a client, to whom he personally delivered cases of live seafood, and also traveled with his father to international trade shows. In particular, he developed an expertise in Quality Management in which he took a five-day course at BCIT. This involved dealing with the Canadian Food Inspection Agency and ensuring that Nexus kept up with all the applicable rules and regulations, including the testing and sampling that these regulations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business operated five days a week, but it was frequently necessary to attend as well on the weekend if shipments were coming in from local fishermen at that time. Essentially, Jonathan Tchao and his father were on call 24-7. Mr. Tchao estimated that he worked 9-11 hours per day before the accident, plus a few additional hours in some weeks on the weekend. Mr. Tchao was paid $2,000/month for this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Notwithstanding his father's ambition, it is clear from the evidence that Mr. Tchao himself was by no means sure that he wanted to spend his working life running a live seafood import and wholesale business. At some point in 2004 before the accident, Mr. Tchao applied for what he described as a job as store manager in the Richmond outlet of Black &amp; Lee Tuxedos. According to Mr. Tchao, he was offered the position, earning $12/hour plus commission, with opportunity for advancement. He seriously considered it. He testified that by the time of his accident, he was still not sure, but was leaning towards staying with Nexus. After the accident, because of his injuries, he had to decline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Evidence from Black &amp; Lee entered at trial by means of an agreed statement of facts was equally vague on dates, but was inconsistent with Mr.Tchao's evidence in one respect. According to the statement, the plaintiff applied for and was offered a sales position with Black &amp; Lee Richmond, which offer he in fact accepted. He telephoned Black &amp; Lee at some point after December 5, 2004, to advise that he would not be able to take the job because he had been injured in a car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do not recall this inconsistency being put to Mr. Tchao on cross-examination, but no objection was taken to this evidence. I note that on November 30, 2004, Ms. Doobie Ng, Nexus's comptroller, wrote to Mr. Tchao to advise him that as a result of his progress and contribution to the company, his income would be increased to $3,000 per month starting January 1, 2005. Whether or not he accepted Black &amp; Lee's offer, I am satisfied that by the time of the accident, with this offer of a raise in hand, he was indeed leaning towards staying with Nexus. At the same time, I have no doubt that he would have remained open to other opportunities.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Counsel for the defendant sought to convince me that the letter of November 30, 2004 was, in essence, a forgery concocted for the purpose of increasing Mr. Tchao's wage loss claim. He relied on a form filled out by Ms. Ng for ICBC in 2006 indicating that Mr. Tchao's income was $2,000 per month and calculating his wage loss at that rate. Ms. Ng explained that she was confused, and thought that she was to use the figure that the employee was being paid at the time of the accident. I accept the evidence of Ms. Ng, Francis Tchao and Jonathan Tchao that the letter was in fact genuine and reflected the intention of the company.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Post- Accident Medical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 accident, Mr. Tchao hit his head on something, resulting in a small contusion on his forehead. He thought it might have been the side window, but I find it more probable that it was the result of contact with the airbag. He has no recollection of the impact, but remembers trying to get out of the car, dazed and in pain. He fell as he got out, and the next thing he recalls is the ambulance arriving. He described feeling in shock and pain. He had no idea how they had crashed. His head was pounding and his right knee was very painful. His back was hurting, but his head and knee were worse. The ambulance took him to Burnaby Hospital where he was assessed, X-rayed and released.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next day, Mr. Tchao was in a great deal of pain. He had pounding headaches like he had never experienced before. He could not move his neck, and could not even stand up because of the pain in his back. He was essentially bedridden for two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By the start of the new year, he remained in constant pain. His headaches and neck were the source of his worst pain. His knee had recovered by this time. Mentally, he was depressed and lachrymose, thinking how close to death he had come. His memory was not working. He would go to light a cigarette only to find that he had no cigarette in his mouth. He would start talking to his girlfriend in English, then suddenly lapse into Cantonese. He would speak to a friend on the telephone, and then phone the friend right back, completely forgetting that he had just spoken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March of 2005, Mr. Tchao attended 12 sessions of physiotherapy on the recommendation of Dr. Duncan, but although there was some improvement to his neck, the sessions did not help a great 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March 31, 2005, Mr. Tchao was seen in hospital by Dr. C.B. Bozek, a neurologist, principally for his headaches. Dr. Bozek arranged a CT scan of the head, which he reported as negative on May 18, 2005, but noted that Mr. Tchao was "still having ongoing side effects from his concussion". It was his view that recovery would simply take time. A subsequent brain scan demonstrated no abnormality.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From April 6 until July 4, 2005, Mr. Tchao underwent a rehabilitation program arranged by ICBC at CBI Physiotherapy &amp; Rehabilitation Centre in Richmond ("CBI"). His intake summary dated April 7, 2005, reports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Barriers to Return to Work and/or Recovery</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Persistent neck and lumbar region pain.</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Persistent headaches.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Reduced formal neck and lumbar spine range of motion.</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Reduced tolerance to stooping.</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Reduced tolerance to sustained neck flexion activities.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Reduced functional strength in lifting tasks.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Reduced endurance.</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Presence of predictive factors for abnormal illness behaviour.</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Submaximal effort on functional testing.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Treatment Plan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 pain control exercises and positions for patient self-management and increased perceived control over symptoms.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 regarding tissue healing, hurt versus harm, reactivation pain.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Range of movement exercises to restore areas of restricted mobility.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Graded stability and strengthening exercises.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Graded work simulation exercises direct it at increasing functional strength and tolerance for a safe and durable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CBI Discharge Report dated July 4, 2005,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Analysis of Findings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Tchao reports an improvement in his typical neck and back symptoms. He demonstrates cervical and lumbar range of motion within functional parameters; his mobility does not appear to be a limiting factor in his ability to perform work duties.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Tchao's perceived functional ability ... was found to be the same as his actual, demonstrated ability. Mr. Tchao's functional abilities, as demonstrated in formal evaluations, do not match all the physical job demands of the manager; however, continued progress with his exercise program and a gradual return to work plan will allow him to meet his physical job demands.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Test findings, in combination with clinical observations, suggest the presence of a maximal effort by Mr. Tchao's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analyzing Mr. Tchao's functional abilities, the report reviewed four types of tasks demanded by his job: (1) sitting/walking; (2) lifting; (3) carrying; and (4) pushing. His demonstrated abilities were such that he was considered a job match for only the last of the four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Tchao testified that by the time of his discharge from the CBI program, his neck pain was essentially gone, although headaches continued. His lower back, however, remained problematic and disabling.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April 13, 2005, Mr. Tchao was assessed by Dr. R. Katta, consultant psychiatrist at the Richmond hospital. Dr. Katta diagnosed an adjustment disorder with predominant symptoms of post-traumatic stress disorder. He encouraged Mr. Tchao to attend one-to-one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Tchao did so, working with Dr. Jeff Morley, registered psychologist, over 14 sessions between May 31 and November 15, 2005. Dr. Morley reported that Jonathan's efforts at his counselling process resulted in him making significant emotional and psychological progress in his recovery. Dr. Morley saw Mr. Tchao again on April 10, 2008, for an assessment, and concluded that he would benefit from a further 5-7 counselling sessions to target his stress and anxiety, as well as to explore his options for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 a result of continuing lower back problems, Dr. Duncan ordered a further CT scan, which was taken on March 14, 2006, and compared to the report from the CT scan of March 4, 2003. The radiologist noted a L4/5 central disc protrusion that he considered was likely new since 2003, and which resulted in significant central spinal canal stenosis, although the exiting L4 nerve roots were not impinged. As a result, Dr. Duncan referred Mr. Tchao to Dr. Michael C. Boyd, a spinal surgeon at the Vancouver General Hospital spine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Boyd's impression was that Mr. Tchao had clinical symptoms consistent with lumbar radiculopathy on the right-hand side. He found it no localizing neurological findings, and only mild root tension signs. He went on to say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a bit leery to recommend surgical intervention for this as young people without sequestrated discs tend to do less well with discectomies. However, it may come to this. I think first of all he should have a nerve root block, sometimes this can significantly resolve the symptoms and can avoid surgery. If this fails to do so, then I think he would require a MRI prior to his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Dr. Boyd's recommendation, Mr. Tchao underwent a right live nerve root block, which he described as the most painful procedure he has ever experienced. Unfortunately, it provided only transient relief, and the pain recurred. Dr. Boyd therefore ordered an MRI.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MRI, taken July 13, 2006, demonstrated mild bulging of the L4-5 disc, with both the L4-5 and L5-S1 discs having annular tears along the posterior margin centrally, associated with central disc herniations. Dr. Boyd saw Mr. Tchao again to review these findings on September 8, 2006. Dr. Boyd considered the disc bulges demonstrated on the MRI to be degenerative changes that likely predated the motor vehicle accident. He did not think that surgical intervention was indicated as it was unlikely to provide him with a good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October of 2006, Dr. Duncan referred Mr. Tchao to Dr. Jacqueline Purtzki, a specialist in physical medicine and rehabilitation. Dr. Purtzki noted two components to Mr. Tchao's ongoing back pain. The first component consisted of: intermittent sciatica symptoms that had improved since the original injury but still caused intermittent radiating pain down the right leg and foot. The second component was localized lower back pain that had not changed much in the last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With respect to Mr. Tchao's course of rehabilitation physiotherapy with CBI, Dr. Purtzki recorded that initially things seemed to improve, but then worsened again, noting that Mr. Tchao "felt he had to participate beyond the limit of his capacity because he was threatened that ICBC would cut off his funding". In her report tom Dr. Duncan, Dr. Purtzki gave the following impression: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Jonathan is a generally healthy 22-year-old young man who has a past history of back pain in his teenage years that has been followed by an acute recurrence of back pain after a car accident in 2004. He has had rehabilitative physiotherapy and he has seen Dr. Boyd in consideration of a discectomy. His MRI of the spine from July 2006 shows that he has no significant degree of nerve root compression. The L4-five and L5-S1 disks are in contact with a nerve root but do not seem to be compressing them. He is currently not thought to be a surgical candidate.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today's examination and history, he seems to have a few and not particularly bothersome symptoms of sciatica. I would therefore agree with Dr. Boyd's impression. Classically many disc protrusions will improve over the time span of a year to 18 months spontaneously.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main area of discomfort is really localized pain in the right and L5-S1 facet joint area. This can be brought on by particular maneuvers stressing that facet joint. There are not a lot of generalized muscle spasms. He therefore has predominately mechanical back pain due to a facet joint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Purtzki prescribed a short course of Celebrex, an anti-inflammatory, to settle down the inflammation around the facet joint. She recommended that he start a core strengthening program and negotiate with ICBC to fund a personal trainer for two or three months. In addition, Dr. Purtzki referred Mr. Tchao to Dr. Mark Adrian, a physiatrist who specializes in facet joint blocks.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Adrian reported to Dr. Purtzki on September 4, 2008, that Mr. Tchao appeared to be suffering from mechanical low back pain with atypical radicular features, and degenerative disc disease at the L4/L5 and L5/S1 levels which he thought were contributing to his symptoms. He recommended medication and a course of ongoing fitness exercises, and also lumbar epidural steroid injections. Mr. Tchao underwent these injections, but again they were not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recommended by Dr. Purtzki, Mr. Tchao retained a personal trainer, Kevin Laface, a registered kinesiologist, once he was able to negotiate funding. They worked together twice weekly from September of 2007 to the end of March, 2008. At that time, Mr. Laface thought that Mr. Tchao had made some overall improvements, but remained unable to return to work full time with full duties. He recommended that an independent referral source conduct a jobsite visit in order to set up and monitor a graduated return to work plan. He also recommended a further four to six weeks of personal training. There was, however, no funding for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For medical-legal purposes, Mr. Tchao was assessed at the request of his counsel by Dr. Brian Hunt, a specialist in neurological surgery. Dr. Hunt saw Mr. Tchao on September 5, 2007, and again on October 21, 2008. At the request of counsel for the defendant, Mr. Tchao was seen by Dr. J.S. Arthur, an orthopaedic surgeon, on December 21, 2005, and again on March 20, 2008. Counsel for the defendant also arranged for an assessment of the plaintiff by Dr. Stephen Kline, a consultant psychiatrist, which took place on August 19,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Kline considered that Mr. Tchao was suffering from post-traumatic stress disorder, which he thought was mild and mostly in remission, from symptoms of panic but not a panic disorder, and from symptoms of depression but not a depressive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When he first saw Mr. Tchao, Dr. Arthur did not have all the information concerning Mr. Tchao's pre-accident history. In his report of January 3, 2006, Dr. Arthur concluded that Mr. Tchao's neck and back complaints were reasonably related to the motor vehicle accident and were best described as soft tissue in nature. He saw no need for further investigation or for surgery. He felt that Mr. Tchao was quite capable of returning to some form of employment, preferably on a graduated return. He thought that Mr. Tchao's prognosis was good and that he could expect further improvement in his symptoms with a continuing exercise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By the time of his second report to counsel for the defendant, dated March 27, 2008, Dr. Arthur had a full history and the advantage of all of the medical reports and clinical records that had been generated in the meantime. He concluded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point in time, he is not a surgical candidate and in my opinion he is unlikely to become a surgical candidate in the future. In my opinion, he requires ongoing reassurance and support regarding a lower back exercise program and I would support the use of a trainer for perhaps another few months.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is not totally disabled at this point in time and I think should be quite capable of light and sedentary duties, as long as he is able to change his posture to control his complaints.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with Dr. Michael Boyd that disc degenerative changes were present prior to the motor vehicle accident. In my opinion, the motor vehicle accident likely aggravated his lower back complaint.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will state that his prognosis is guarded, but I would expect further improvement with time and appropriate exercise. I do not believe further passive treatment will be of any benefit to Mr. Tchao. I also feel that Mr. Tchao is quite capable, or should be quite capable, of working longer than four hours per day and my recommendation would be to gradually increase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Arthur was not cross-examined on his reports. Dr. Hunt was cross-examined on his reports before trial by way of deposition so that I was not able to assess him in the witness box. In his reports, Dr. Hunt expressed the following opinions: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Tchao suffers ongoing problems relating to the muscle and ligamentous injuries occurring from the motor vehicle accident .... It is this writer's belief and opinion that Mr. Tchao has had permanent changes relating to his cervical spine posture and it is on this basis that he has ongoing discomforts. Furthermore, ... these muscle and ligamentous injuries to the cervical spine will accelerate degenerative changes over his maturing years.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this writer's opinion, based on the clinical findings of significantly increased pain when Mr. Tchao was hyper-extended, combined with rotation, that he suffers, at this time, bilateral lumbar facet joint irritation or what is known as lumbar facet syndrome.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further this writer's opinion that because of his significant, pre-existing degenerative changes, Mr. Tchao was significantly more vulnerable to suffering these injuries to his lumbar spine, as it is well recognized that where an individual has pre-existing intervertebral disc herniations and degenerative changes, that the spine does not dissipate the excessive forces in an equal fashion, resulting in certain intervertebral disc space is experiencing greater injury and in addition, the adjacent capsular fibers of the facet joints suffering excessive stretching. Over time, with the injuries to the capsular fibers of the facet joints, the facet joints do not function in a normal mechanical manner and become inflamed and irritated with everyday use.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probable that Mr. Tchao will be faced with lumbar spinal decompression and possibly fusion at an earlier age than would normally have occurred. The writer cannot state this with certainty, but only that this is a possibility ... In other words, the motor vehicle accident has been a significant contributor to the likelihood that Mr. Tchao will be faced at some time with lumbar spinal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Hunt expressed a number of other opinions in that report, including that Mr. Tchao possibly had a hiatus hernia based on the fact that he developed acid reflux following this motor vehicle accident. That claim was not pressed in this lawsuit. Dr. Hunt was also of the view that Mr. Tchao had suffered a mild traumatic brain injury, and ongoing mental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When Dr. Hunt saw Mr. Tchao again on October 21, 2008, he found that little had changed. He felt that there was nothing in Mr. Tchao's presentation to suggest that he was exaggerating or magnifying his situation, and indeed, no expert, treating or medical-legal, has suggested otherwise. It was Dr. Hunt's view, in agreement with the opinion expressed by Dr. Duncan, that Mr. Tchao's work status "seems to have stabilized at being able to tolerate only a four-hour day with the inability to tolerate any physical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Under cross-examination, Dr. Hunt explained that he found signs of facet joint irritation which were not found by Dr. Arthur because such signs are demonstrated by extension combined with rotation, rather than pure extension followed by lateral flexion, which were the tests performed by Dr. Arthur.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With respect to the likely consequences of Mr. Tchao's pre-existing degenerative disc disease, Dr. Hunt agreed on cross-examination that one with such a condition at a young age would likely have problems with the low back in the future. He pointed out, however, that with these degenerative changes, Mr. Tchao was for more vulnerable to adverse effects from the forces applied to his spine at the time of the motor vehicle accident. Dr. Hunt also noted that persons with ongoing degenerative conditions can protect themselves in the course of their activities from exacerbating that condition, by avoiding certain types of lifting, or by positioning themselves in certain ways; whereas they cannot protect themselves from something like a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4.</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Causation of the Plaintiff's Injuries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am satisfied that, as a result of the accident at issue in this action, the plaintiff suffered a knee injury that recovered within approximately a month, a significant soft tissue injury to the neck and upper back that recovered within approximately seven months but which has left the plaintiff more vulnerable to degenerative changes in the neck, a concussion with post-concussion syndrome that still causes headaches once or twice a week, but is likely to resolve, a mild post-traumatic stress disorder that is resolving but remains problematic, and a depressed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Counsel for the defendant suggested that the plaintiff did not suffer a concussion because there was no clear evidence of loss of memory. There is, however, evidence of a loss of awareness, a blow to the head, and ongoing symptoms consistent with post-concussion syndrome. Dr. Duncan, the treating GP, Dr. Bozek, the treating neurologist, and Dr. Hunt were all of the view that Mr. Tchao indeed suffered a concussion and post-concussion syndrome, and I find that conclusion to be consistent with all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That brings us to the most serious of Mr. Tchao's ongoing difficulties, his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Counsel for the defendant conceded that Mr. Tchao suffered a soft tissue injury to his lower back in the accident, but submitted that Mr. Tchao had recovered from that injury by some point in 2005, and that his ongoing symptoms relate to his pre-existing degenerative condition. He based this argument on the absence from Dr. Duncan's clinical record of any notes of complaints from the plaintiff about his lower back, as opposed to his upper back and neck, in the relevant period. I observe, however, that throughout that period, the plaintiff was attending at CBI undergoing rehabilitation therapy for his lower back, and I do not find it surprising that during the course of that treatment, he did not raise lower back issues with his GP.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Defendant's counsel also urged me to treat Dr. Hunt's opinion with great caution because of his apparent advocacy. I find that the passages defence counsel brought to my attention in this regard are more consistent with a certain degree of impatience and curmudgeonliness on the part of a very senior and experienced surgeon, than with improper advocacy. There are nevertheless aspects of Dr. Hunt's opinion that I am not prepared to accept. In particular, I do not accept his suggestion that Mr. Tchao possibly suffered a hiatus hernia in the accident, nor do I accept his opinion that Mr. Tchao may require surgery in the future as a result of the motor vehicle accident - although to be fair, Dr. Hunt raised these as possibilities, not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do accept, however, Dr. Hunt's opinion that Mr. Tchao's pre-existing degenerative condition made him more vulnerable to injury in the motor vehicle accident (no expert disagrees with this), and that as a result of the effect of the accident on Mr. Tchao's pre-existing condition, Mr. Tchao suffers from bilateral lumbar facet syndrome. This is supported by Dr. Purtzki's findings of "predominately mechanical back pain due to a facet joint dysfunction", and by Dr. Adrian's impression of mechanical low back pain with radicular features. None of the pre-accident investigations demonstrated any facet joint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observe further that regardless of how one characterizes the effect of the accident on Mr. Tchao's pre-existing condition, there is no question that the accident aggravated it as noted by the defence expert, Dr. Arthur. There is also no doubt that, as reported by both Dr. Arthur and by Dr. Hunt, the plaintiff's prognosis remains guarded.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That the accident has had a significant and lasting impact on Mr. Tchao is also consistent with his own evidence. This brings me to the issue of his credibility. In general, I found the plaintiff to be a believable witness. I observed nothing that would suggest malingering or exaggeration on his part, and there is nothing in any of the medical records or reports, including those submitted by the defence, that would suggest that I may be mistaken in my impression.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As previously noted, the CBI discharge report considered that his perceived functional ability was the same as his actual, demonstrated ability, and that there was maximal effort on his behalf. Ms. Jodi Fischer, who carried out a Functional/Work Capacity Evaluation, administered a number of tests from which she was able to conclude that Mr. Tchao was devoting his best efforts to the evaluation, and was reliably reporting his levels of pain and disability. There were no non-organic findings. I found Ms. Fischer to be a compelling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these circumstances, I conclude that, as a result of the effect of this accident on his pre-existing degenerative condition, the plaintiff has suffered a significant injury in the form of a lumbar facet syndrome that causes him ongoing pain and disability, and which has left him with a guarded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There was very little evidence concerning what lower back problems the plaintiff would likely have suffered in the future as a result of his pre-existing degenerative condition, in the absence of the accident. Dr. Arthur, the defendant's expert in orthopaedic surgery, was silent on this point. I nevertheless find that, as conceded by Dr. Hunt, problems of the sort that plagued Mr. Tchao before the accident would likely have recurred in the future. There is no evidence, however, that they would have been as disabling as the condition in which Mr. Tchao now finds himself. As I will explore further below, he was able to carry on with physical labour at his jobs at Safeway, Nexus and The Blox in the past, but is no longer able to do physical labour of any kind. No expert witness, including Dr. Arthur, has suggested that Mr. Tchao is presently capable of more than light and sedentary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5.</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Non-Pecuniary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have described in the preceding section the physical effect of the accident upon the plaintiff. In addition, I heard evidence from his father, his wife, and his friend Sylvain LeBlanc (who worked with him at The Blox), about personality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consensus is that before the accident, Mr. Tchao was outgoing, cheerful, mature, and, in the words of Mr. Leblanc, "a really good people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Tchao's father, Francis Tchao, who was hoping to pass the family business on to him, testified that Jonathan had a special charm. Because he grew up in Canada, Jonathan was able to deal with the Caucasian customers (which he did very ably) while Francis Tchao dealt with the Asian customers. All the people involved in the business liked Jonathan: customers, workers and fishers. He seemed ideally suited to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Ms. Nieman described Mr. Tchao as very energetic before the accident, to the point of being hyperactive. He was always up and about doing something, and never just sat around at home. They would go on walks, go to the beach to throw the ball around, work out at the gym, and play touch football with friends and his brother. Ms. Nieman testified that Mr. Tchao participated fully in household chores before the accident. He is now limited to cooking and doing the dishes.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Interestingly, until after the accident, Ms. Nieman was completely unaware that before they began going out in July 2004, Jonathan had suffered from lower back problems. He never mentioned them during their time together before the accident, and had given no indication of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witnesses were agreed that Mr. Tchao is very different now. Ms. Nieman described how he was constantly in need of help for the first year after the accident, and did not want to do anything at all. He did not want to go out or have visitors even when he could physically handle it. He still seems to be depressed and in pain. He is able to do a little more now, but not to the extent he did before. He has put on weight, and she can see the constant pain in his face. She constantly has to give him back rubs. Things are complicated by the fact that they are expecting a baby in May.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Leblanc, who continues to socialize with the plaintiff, agreed that Mr. Tchao has put on weight and no longer has the level of fitness he used to have. They used to lift weights together and worked together at the nightclub. Never did Mr. Tchao complain about his back before the accident. Mr. Leblanc described it as "alarming" to see Mr. Tchao in his current state. He is no longer physical, and seems depressed and anxious.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Francis Tchao, whose first language is not English, explained that he found it "so sad" that his lovable son's personality has changed. Jonathan is not as happy as he was before. He complains of back pain all the time. He has changed completely. He is much slower and quieter. He no longer has what it would take to run the business successfully.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conclude that this motor vehicle accident has had very serious consequences for Mr. Tchao. He is not yet fully recovered and is unlikely to return to his pre-accident state. He is exposed to a greater risk of degenerative changes in the future. He has had to cope concurrently with post-traumatic stress disorder, post-concussion syndrome, and what I find to be a real change in his personality.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At the same time, I must bear in mind that Mr. Tchao had a pre-existing degenerative lower back condition that was not going to go away. It disabled him in the past, and doubtless would do so in the future, although not to the extent that he now faces. The pre-accident condition, to which an award of damages should attempt to restore him, was not one that was, or was likely to be, symptom-free.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considering the appropriate amount to award to Mr. Tchao for non-pecuniary damages, I have considered the following cases referred to me by counsel for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Bancroft-Wilson v. Murphy</w:t>
      </w:r>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2008 BCSC 1035</w:t>
        </w:r>
      </w:hyperlink>
      <w:r>
        <w:rPr>
          <w:rFonts w:ascii="arial" w:eastAsia="arial" w:hAnsi="arial" w:cs="arial"/>
          <w:color w:val="000000"/>
          <w:sz w:val="20"/>
          <w:lang w:val="en-US" w:eastAsia="en-US" w:bidi="ar-SA"/>
        </w:rPr>
        <w:t xml:space="preserve"> ($70,000)</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Barnes v. Richardson</w:t>
      </w:r>
      <w:r>
        <w:rPr>
          <w:rFonts w:ascii="arial" w:eastAsia="arial" w:hAnsi="arial" w:cs="arial"/>
          <w:color w:val="000000"/>
          <w:sz w:val="20"/>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2008 BCSC 1349</w:t>
        </w:r>
      </w:hyperlink>
      <w:r>
        <w:rPr>
          <w:rFonts w:ascii="arial" w:eastAsia="arial" w:hAnsi="arial" w:cs="arial"/>
          <w:color w:val="000000"/>
          <w:sz w:val="20"/>
          <w:lang w:val="en-US" w:eastAsia="en-US" w:bidi="ar-SA"/>
        </w:rPr>
        <w:t xml:space="preserve"> ($100,000, discounted to $85,000 for an asymptomatic precondition)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McKelvie v. Ng</w:t>
      </w:r>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2000 BCSC 121</w:t>
        </w:r>
      </w:hyperlink>
      <w:r>
        <w:rPr>
          <w:rFonts w:ascii="arial" w:eastAsia="arial" w:hAnsi="arial" w:cs="arial"/>
          <w:color w:val="000000"/>
          <w:sz w:val="20"/>
          <w:lang w:val="en-US" w:eastAsia="en-US" w:bidi="ar-SA"/>
        </w:rPr>
        <w:t xml:space="preserve"> ($110,000; minor precondition)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These cases all involved persons who, like Mr. Tchao, continued to suffer significant symptoms at the time of trial, but none had demonstrated pre-existing problems to the extent that has been demonstrated here. I note that the plaintiff in the </w:t>
      </w:r>
      <w:r>
        <w:rPr>
          <w:rFonts w:ascii="arial" w:eastAsia="arial" w:hAnsi="arial" w:cs="arial"/>
          <w:b/>
          <w:i/>
          <w:color w:val="000000"/>
          <w:sz w:val="20"/>
          <w:lang w:val="en-US" w:eastAsia="en-US" w:bidi="ar-SA"/>
        </w:rPr>
        <w:t>Bancroft-Wilson</w:t>
      </w:r>
      <w:r>
        <w:rPr>
          <w:rFonts w:ascii="arial" w:eastAsia="arial" w:hAnsi="arial" w:cs="arial"/>
          <w:color w:val="000000"/>
          <w:sz w:val="20"/>
          <w:lang w:val="en-US" w:eastAsia="en-US" w:bidi="ar-SA"/>
        </w:rPr>
        <w:t xml:space="preserve"> case had a more optimistic prognosis than Mr. Tchao. I also note that an appeal by the defendants in </w:t>
      </w:r>
      <w:r>
        <w:rPr>
          <w:rFonts w:ascii="arial" w:eastAsia="arial" w:hAnsi="arial" w:cs="arial"/>
          <w:b/>
          <w:i/>
          <w:color w:val="000000"/>
          <w:sz w:val="20"/>
          <w:lang w:val="en-US" w:eastAsia="en-US" w:bidi="ar-SA"/>
        </w:rPr>
        <w:t>McKelvie</w:t>
      </w:r>
      <w:r>
        <w:rPr>
          <w:rFonts w:ascii="arial" w:eastAsia="arial" w:hAnsi="arial" w:cs="arial"/>
          <w:color w:val="000000"/>
          <w:sz w:val="20"/>
          <w:lang w:val="en-US" w:eastAsia="en-US" w:bidi="ar-SA"/>
        </w:rPr>
        <w:t xml:space="preserve"> was allowed on grounds relevant to the circumstances of this case. It would be helpful if, in future, counsel would confine the trial judgments on which they rely to those that have managed either to avoid or to survive the scrutiny of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have also considered the following cases submitted by counsel for the defendant: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Iachetta v. Ioannone</w:t>
      </w:r>
      <w:r>
        <w:rPr>
          <w:rFonts w:ascii="arial" w:eastAsia="arial" w:hAnsi="arial" w:cs="arial"/>
          <w:color w:val="000000"/>
          <w:sz w:val="20"/>
          <w:lang w:val="en-US" w:eastAsia="en-US" w:bidi="ar-SA"/>
        </w:rPr>
        <w:t xml:space="preserve">, </w:t>
      </w:r>
      <w:hyperlink r:id="rId759" w:history="1">
        <w:r>
          <w:rPr>
            <w:rFonts w:ascii="arial" w:eastAsia="arial" w:hAnsi="arial" w:cs="arial"/>
            <w:i/>
            <w:color w:val="0077CC"/>
            <w:sz w:val="20"/>
            <w:u w:val="single"/>
            <w:shd w:val="clear" w:color="auto" w:fill="FFFFFF"/>
            <w:lang w:val="en-US" w:eastAsia="en-US" w:bidi="ar-SA"/>
          </w:rPr>
          <w:t>2005 BCSC 566</w:t>
        </w:r>
      </w:hyperlink>
      <w:r>
        <w:rPr>
          <w:rFonts w:ascii="arial" w:eastAsia="arial" w:hAnsi="arial" w:cs="arial"/>
          <w:color w:val="000000"/>
          <w:sz w:val="20"/>
          <w:lang w:val="en-US" w:eastAsia="en-US" w:bidi="ar-SA"/>
        </w:rPr>
        <w:t xml:space="preserve"> ($16,000)</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Radford v. Drobot</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2005 BCSC 293</w:t>
        </w:r>
      </w:hyperlink>
      <w:r>
        <w:rPr>
          <w:rFonts w:ascii="arial" w:eastAsia="arial" w:hAnsi="arial" w:cs="arial"/>
          <w:color w:val="000000"/>
          <w:sz w:val="20"/>
          <w:lang w:val="en-US" w:eastAsia="en-US" w:bidi="ar-SA"/>
        </w:rPr>
        <w:t xml:space="preserve"> ($40,000)</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Hubbard v. Saunders</w:t>
      </w:r>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2008 BCSC 486</w:t>
        </w:r>
      </w:hyperlink>
      <w:r>
        <w:rPr>
          <w:rFonts w:ascii="arial" w:eastAsia="arial" w:hAnsi="arial" w:cs="arial"/>
          <w:color w:val="000000"/>
          <w:sz w:val="20"/>
          <w:lang w:val="en-US" w:eastAsia="en-US" w:bidi="ar-SA"/>
        </w:rPr>
        <w:t xml:space="preserve">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In the </w:t>
      </w:r>
      <w:r>
        <w:rPr>
          <w:rFonts w:ascii="arial" w:eastAsia="arial" w:hAnsi="arial" w:cs="arial"/>
          <w:b/>
          <w:i/>
          <w:color w:val="000000"/>
          <w:sz w:val="20"/>
          <w:lang w:val="en-US" w:eastAsia="en-US" w:bidi="ar-SA"/>
        </w:rPr>
        <w:t>Iachetta</w:t>
      </w:r>
      <w:r>
        <w:rPr>
          <w:rFonts w:ascii="arial" w:eastAsia="arial" w:hAnsi="arial" w:cs="arial"/>
          <w:color w:val="000000"/>
          <w:sz w:val="20"/>
          <w:lang w:val="en-US" w:eastAsia="en-US" w:bidi="ar-SA"/>
        </w:rPr>
        <w:t xml:space="preserve"> case, the plaintiff was essentially back to normal within a year of the accident. In the </w:t>
      </w:r>
      <w:r>
        <w:rPr>
          <w:rFonts w:ascii="arial" w:eastAsia="arial" w:hAnsi="arial" w:cs="arial"/>
          <w:b/>
          <w:i/>
          <w:color w:val="000000"/>
          <w:sz w:val="20"/>
          <w:lang w:val="en-US" w:eastAsia="en-US" w:bidi="ar-SA"/>
        </w:rPr>
        <w:t>Radford</w:t>
      </w:r>
      <w:r>
        <w:rPr>
          <w:rFonts w:ascii="arial" w:eastAsia="arial" w:hAnsi="arial" w:cs="arial"/>
          <w:color w:val="000000"/>
          <w:sz w:val="20"/>
          <w:lang w:val="en-US" w:eastAsia="en-US" w:bidi="ar-SA"/>
        </w:rPr>
        <w:t xml:space="preserve"> case, the plaintiff suffered some ongoing pain by the time of trial, but it was not disabling, and she had been able to return to her pre-accident activities and employment. In the </w:t>
      </w:r>
      <w:r>
        <w:rPr>
          <w:rFonts w:ascii="arial" w:eastAsia="arial" w:hAnsi="arial" w:cs="arial"/>
          <w:b/>
          <w:i/>
          <w:color w:val="000000"/>
          <w:sz w:val="20"/>
          <w:lang w:val="en-US" w:eastAsia="en-US" w:bidi="ar-SA"/>
        </w:rPr>
        <w:t>Hubbard</w:t>
      </w:r>
      <w:r>
        <w:rPr>
          <w:rFonts w:ascii="arial" w:eastAsia="arial" w:hAnsi="arial" w:cs="arial"/>
          <w:color w:val="000000"/>
          <w:sz w:val="20"/>
          <w:lang w:val="en-US" w:eastAsia="en-US" w:bidi="ar-SA"/>
        </w:rPr>
        <w:t xml:space="preserve"> case, the plaintiff had again returned to her pre-accident capacity, with a period of disability of between 18 months and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consider Mr. Tchao's case to be considerably more serious than the cases cited by counsel for the defendant. Having regard to all of the circumstances, including the likely future effect of his pre-existing condition, I assess Mr. Tchao's non-pecuniary damages at $70,000.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6.</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Loss of Income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It is clear that Mr. Tchao returned to Nexus in January of 2006, working no more than four hours per day at sedentary aspects of the job. He has continued to work at that level ever since, and is paid $750 per month. There is some doubt as to whether he had returned briefly on other occasions before that time. The plaintiff did not remember doing so, but there is some evidence in the medical records to suggest that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When he was discharged from the CBI program, it was recommended that he resume his employment on a graduated return-to-work basis. There was no doubt at that time that Mr. Tchao would not be able to fulfill all of the duties he had before. It was thought, however, that with assistance and a graduated approach, he would eventually be able to return to all of the duties he had previously performed. Mr. Tchao stated that notwithstanding CBI's views in this regard, he felt unable to return to work at that time, having tried about an hour's worth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any event, Nexus declined to accept him back on that basis, maintaining that his position was no longer available. Francis Chao explained that it would do no good to the company to have his son return if his son could not carry out all of the duties his job entailed. He neither needed nor could afford someone to come in simply to do sedentary tasks on a part-time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This changed when Francis Tchao fell off a ladder and suffered a concussion while working on the plant floor. He had taken over many of the tasks formerly performed by his son, and was now incapacitated. Jonathan Tchao therefore returned to help out, and has continued to do so ever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Tchao was assessed by two occupational therapists, Ricardo Nuno and the previously-mentioned Jodi Fischer. Both agreed, and I accept, that he is not capable of performing all of the tasks demanded by the position he previously occupied at Nexus. Mr. Nuno pointed out that the facet syndrome problem with which Mr. Tchao must deal as a result of the accident is in fact more painful and a greater risk to function than lumbar disc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Tchao testified that he remains unable to put in more than four hours of work per day. Even to get up to four hours, it is necessary for him to take regular breaks to lie down or to stretch, in order to try to relieve his back pain. I accept his evidence in this regard, notwithstanding Dr. Arthur's opinion, and defence counsel's submission, that the plaintiff should have been quite capable of working longer than four hours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First, I note Mr. Tchao's history since the accident, documented both by CBI and Ms. Fischer, of giving maximal effort. Second, I observe that Mr. Tchao's injuries are not confined to his lower back. He has faced much more than that, having suffered a constellation of problems that continue to affect him, including post-concussion syndrome, post-traumatic stress disorder, anxiety and depression. All of these have inhibited his ability to progress notwithstanding his best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Counsel for the defendant further submitted that Mr. Tchao ought to have returned to work as of July, 2005, when he was discharged from the CBI program, but instead did nothing until January of 2006, and that the salary he presently earns of $750 per month is simply cooked up and bears no relation to the value he gives to the company. Although he elected to help his father when Francis Chao suffered a concussion, it was his duty to work to his potential. Defendant's counsel accordingly argued that his past loss of income should be limited to six or seven months at most.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difficulty I have with these submissions is that there is no evidence of what else Mr. Tchao could have done. While it is true that CBI recommended that he return to work on a graduated program as of July of 2006, its report noted that he was incapable of undertaking three of the four types of tasks demanded by his job. The CBI suggestion that a gradual return to work plan would allow him to progress to the point where he could meet all of the demands is simply not borne out by the evidence. Even Dr. Arthur writing in March of 2008 noted that Mr. Tchao "should be quite capable of light and sedentary duties, as long as he is able to change his posture to control his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It is not easy to imagine what other kind of work Mr. Tchao could have obtained in the meantime given his physical limitations. If he had had no family business to go to, he would likely have been unable to obtain any employment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In these circumstances, I accept the past loss of income calculation proffered by Mr. Taunton of PETA Consultants Ltd. of $71,121.00, in accordance with s. 98 of the </w:t>
      </w:r>
      <w:r>
        <w:rPr>
          <w:rFonts w:ascii="arial" w:eastAsia="arial" w:hAnsi="arial" w:cs="arial"/>
          <w:b/>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Hudniuk v. Warkentin</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2003 BCSC 62</w:t>
        </w:r>
      </w:hyperlink>
      <w:r>
        <w:rPr>
          <w:rFonts w:ascii="arial" w:eastAsia="arial" w:hAnsi="arial" w:cs="arial"/>
          <w:color w:val="000000"/>
          <w:sz w:val="20"/>
          <w:lang w:val="en-US" w:eastAsia="en-US" w:bidi="ar-SA"/>
        </w:rPr>
        <w:t xml:space="preserve"> and 131. I would, however, reduce that amount by approximately 5% to $67,500 in order to take into account what I consider to be the probability that Mr. Tchao would have been off work for a brief period over that time in any event due to his pre-existing back problems, notwithstanding that he had been symptom-free for nearly two years before the accident while working in a physically-demanding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7.</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u w:val="single"/>
                <w:lang w:val="en-US" w:eastAsia="en-US" w:bidi="ar-SA"/>
              </w:rPr>
              <w:t>Loss of Income-Earning</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u w:val="single"/>
                <w:lang w:val="en-US" w:eastAsia="en-US" w:bidi="ar-SA"/>
              </w:rPr>
              <w:t> </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u w:val="single"/>
                <w:lang w:val="en-US" w:eastAsia="en-US" w:bidi="ar-SA"/>
              </w:rPr>
              <w:t>Capacity</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heard evidence relevant to this head of damage from Ricardo Nuno and Jodi Fischer, experts in rehabilitation and functional capacity, from Derek Nordin, an expert in vocational consulting who performed a vocational assessment, and from Mr. Taunton, who performed actuarial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Taunton's actuarial calculations were challenged on only one basis: that his economic multiplier to age 65 years of $19,580 per $1,000 of annual future loss incorporated an above-average participation rate in applying labour market contingencies. Application of an average participation rate would have yielded a multiplier of $17,895.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Taunton explained that he used the above-average participation rate because Mr. Tchao had demonstrated an above average attachment to the workforce. He noted that Mr. Tchao had started working in grade 10, had worked throughout high school, and for a period of time after graduation had worked two jobs (Nexus and The Blox). I agree with Mr. Taunton's analysis in this regard, and accept his multiplier as being appropriate, at least as a guide.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say 'as a guide', because there is no evidence from which I could conclude that Mr. Tchao will lose a particular amount of income per year in the future. On the evidence, I make the following observations and findings: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Tchao was not earning a great deal of money before the accident, and even with the promised raise, could look forward only to $36,000 per annum in his father's business. Given economic conditions, this salary was not going to increase anytime soon.</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Nexus live seafood business that Mr. Francis Tchao founded and wished to pass on to his son has been suffering in the current economic climate. Both Francis Tchao and Doobie Ng consider its demise to be a real possibility, if not a probability.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it unlikely that Mr. Tchao would have stayed on in his father's business had the accident not happened. Ultimately, I think it likely that he would have returned to college for upgrading, and would have sought other employment.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accident, Mr. Tchao displayed obvious ability in dealing with people, and in the area of sales. His level of ongoing disability makes it unlikely that he would be in a position to put in the hours and activities that are required of a good salesman.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probable that, as a result of the accident, Mr. Tchao will never return to a place where he can perform physical labour.</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consider that his pre-existing degenerative condition would have ultimately impaired his ability to perform physical labour, although not to the extent that he currently faces.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accept the opinion of Ms. Fischer that with appropriate exercise and aids, Mr. Tchao will be capable of full-time employment that is not physically demanding (i.e., light and sedentary duties).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accept the opinion of Mr. Nordin that based on his testing, Mr. Tchao is capable of attending college and upgrading his education in a manner that will increase his employability, notwithstanding his poor performance at Kwantlen Polytechnic University.</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accept the opinion of Mr. Nordin that with completion of appropriate school programs, Mr. Tchao would be in a position either to explore starting his own business, or to work in occupations such as a general office clerk ($41,750 per annum), a bookkeeper ($47,450 per annum), payroll clerk ($49,300 per annum) or banking or insurance clerk ($47,900 per annum), though his condition will likely render him less easily employable in such jobs. I consider that his opportunities would have been greater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As Finch J. (as he then was) stated in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at para.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a lost, or impaired, asset [that is, the capital asset of one's capacity to earn income] is to be assessed varies of course from case to case. Some of the considerations to take into account in making that assessment include whether:</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opened to him, had he not been injured; and</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This passage was quoted with approval by Taggart J. A. in </w:t>
      </w:r>
      <w:r>
        <w:rPr>
          <w:rFonts w:ascii="arial" w:eastAsia="arial" w:hAnsi="arial" w:cs="arial"/>
          <w:b/>
          <w:i/>
          <w:color w:val="000000"/>
          <w:sz w:val="20"/>
          <w:lang w:val="en-US" w:eastAsia="en-US" w:bidi="ar-SA"/>
        </w:rPr>
        <w:t>Kwei v. Boisclear</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and has been applied many times in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this case, I am satisfied that the plaintiff is entitled to a significant award for loss of his income earning capacity. He is effectively precluded from pursuing the lines of work he engaged in previously, which involved physical labour. His ongoing lower back problem with its guarded prognosis, compounded by his continuing post-concussion syndrome, depression and post-traumatic distress syndrome will further restrict the sort of work he can do in all fields, the speed with which he can progress in his recovery, and his employability or attractiveness to employers.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the circumstances, I assess the value of Mr. Tchao's loss of income earning capacity at $150,000. I reduce this by 20% to $120,000 to take into account the likelihood that some of the factors which have impaired his income earning capacity would have occurred in the future in any event due to his pre-existing degenerative condition. I am satisfied, however, that the likely future effect of his pre-existing condition would have been relatively minor compared to the prospects he now faces.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Relying on a Cost of Care Evaluation prepared by Jodi Fischer, and the actuarial/economic calculations of Mr. Taunton, the plaintiff has claimed compensation for the following annual costs for varying periods of time ranging from five years to a lifetime: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241"/>
        <w:gridCol w:w="3033"/>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medication</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$222.24</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3450"/>
        <w:gridCol w:w="2823"/>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personal trainer</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(kinesiologist)</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$1,027.20</w:t>
            </w:r>
          </w:p>
        </w:tc>
        <w:tc>
          <w:tcPr>
            <w:tcW w:w="276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973"/>
        <w:gridCol w:w="2301"/>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counselling (total cost)</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$1,600.00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764"/>
        <w:gridCol w:w="2510"/>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vocational training (total</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$2,809-$9,164.00</w:t>
            </w:r>
          </w:p>
        </w:tc>
        <w:tc>
          <w:tcPr>
            <w:tcW w:w="276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4182"/>
        <w:gridCol w:w="2091"/>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ergonomic office equipment</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(varying periods)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$1,138.00</w:t>
            </w:r>
          </w:p>
        </w:tc>
        <w:tc>
          <w:tcPr>
            <w:tcW w:w="276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3450"/>
        <w:gridCol w:w="2823"/>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home maintenance</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$2,704.00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764"/>
        <w:gridCol w:w="2510"/>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gym pass/pool pass</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plaintiff's Pharmacare records do not support a medication cost as high as that claimed. I allow total of $2,000 under this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Tchao has benefited from the use of a personal trainer in the past, and I accept that he will continue to benefit from it for a period of time in the future. I allow this cost for a further two years by which time Mr. Tchao will be in a position to have mastered the appropriate exercise regime. This comes to $1,984. I also allow the counselling at $1,600. It is amply justified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With respect to the claim for vocational training, I have already stated that in my view, Mr. Tchao probably would have returned to college for additional training in any event. I find, however, that he will likely take longer to complete any course he chooses than would have been the case but for the accident. I therefore allow $2,500 towards this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With respect to the ergonomic office equipment, economic evidence, combined with the evidence of Mr. Nuno, indicates that the present value of the cost of this equipment to age 65 comes to $4,310. I allow this, reduced by a 25% contingency to take into account the prospect of at least some of the equipment being required in any event due to Mr. Tchao's pre-existing degenerative condition. The result is $3,233.00.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accept Ms. Fischer's figures relating to the appropriate value of house and garden maintenance costs likely to be incurred by Mr. Tchao as a result of his injuries. I note, however, that Mr. Tchao does not presently have a house. Given that he has a child on the way, it is certainly possible that he and his wife will one day acquire one. That is by no means certain, however, and it seems to me likely that he would have required some assistance in the future in any event because of his pre-existing condition. In all the circumstances, balancing the contingencies, I allow a figure of $8,000 under this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Given Mr. Tchao's pre-accident fitness and activity level, I am satisfied that he would likely have maintained a gym membership in any event. I therefore do not allow this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total claim for the cost of future care is accordingly assessed at $17,317.00.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9.</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Special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Special damages are claimed and allowed at $1,687.46, being the amount charged by the personal trainer over and above what was covered by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find the defendant 100% liable for the plaintiff's damages. Those damages are assessed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2301"/>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$70,000.00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2405"/>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income:</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$67,500.00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1568"/>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income earning capacity:</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$120,000.00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2510"/>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care costs:</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$17,317.00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470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$1,687.46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$276,504.46</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plaintiff is entitled to his costs on Scale B, unless there are factors which would give rise to the application of Rule 37B. In that event, counsel should arrange with the registry within 14 days to return before me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J.C. GRAUER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3"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62"/>
          <w:headerReference w:type="default" r:id="rId763"/>
          <w:footerReference w:type="even" r:id="rId764"/>
          <w:footerReference w:type="default" r:id="rId765"/>
          <w:headerReference w:type="first" r:id="rId766"/>
          <w:footerReference w:type="first" r:id="rId76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Deol v. Veach, [2011] B.C.J. No. 2011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D.J. Dardi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30-31 and June 1,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26,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M084885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2011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1437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Sarup Singh Deol, Plaintiff, and Brian Hugh Veach,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4"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4" w:name="Keywords_29"/>
      <w:bookmarkEnd w:id="214"/>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Duty of care — Motor vehicles — Cyclists — Liability of driver — Action by plaintiff for damages arising from injuries sustained when his bicycle collided with vehicle driven by defendant allowed in part — Defendant did not see plaintiff and did not look to right prior to executing turn — Defendant violated Motor Vehicle Act — He failed to meet standard of care — Plaintiff breached Motor Vehicle Act by riding bicycle on sidewalk and entering crosswalk on bicycle — Given heightened duty of care, he should have made eye contact with defendant — Plaintiff failed to take reasonable care — Liability was apportioned 75 per cent to defendant and 25 per cent to plaintiff.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5" w:name="Case Summary_28"/>
            <w:bookmarkEnd w:id="21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arising from injuries sustained when his bicycle collided with a vehicle driven by the defendant. The collision occurred at an exitway from a parking lot. An unmarked crosswalk connected two sidewalks on either side of the exitway. The day was clear and visibility was excellent. The defendant intended to execute a right turn from the exitway into the curb lane, to travel northbound. The plaintiff was travelling south, on the sidewalk on the east side of the road that the defendant intended to travel. The plaintiff stopped at the edge of the north curb of the exitway. He observed the defendant approach the exitway and stop just east of the sidewalk and crosswalk. The plaintiff and defendant proceeded into the exitway at approximately the same time. Following the accident, the police issued a ticket to the defendant for failure to yield to a pedestrian. The plaintiff asserted that the defendant was fully responsible for the accident. The defendant contended that the plaintiff was contributorily negligent and should be held 75 per cent at fault.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6" w:name="Holdings of Court_28"/>
            <w:bookmarkEnd w:id="216"/>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critical and uncontroverted fact was that the defendant did not see the plaintiff when he looked to the right as he approached the exitway. After stopping at the exitway, the defendant did not look to his right prior to executing his right turn. He was in clear violation of the Motor Vehicle Act by driving without due care and attention and without reasonable consideration for others. He was well aware that cyclists used the sidewalks on the road. Had the defendant acted in a reasonably prudent manner, he would have seen the plaintiff. The defendant failed to meet the standard of care of an ordinarily prudent driver and his failure was a cause of the accident. He was therefore negligent. It was uncontroversial that the plaintiff was in breach of the Motor Vehicle Act prior to the collision by riding his bicycle on the sidewalk in a direction facing traffic and entering the crosswalk on his bicycle. Given his heightened duty of care, he should have made some form of eye contact with the defendant, after stopping and before attempting to cross the exitway, to ensure that the defendant had seen him. The plaintiff's failure to take reasonable care for his own safety was one of the causes of the accident. The defendant was more blameworthy than the plaintiff. Liability was apportioned 75 per cent to the defendant and 25 per cent to the plaintiff.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7" w:name="Legislation Cited_20"/>
      <w:bookmarkEnd w:id="2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5"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298" w:history="1">
        <w:r>
          <w:rPr>
            <w:rFonts w:ascii="arial" w:eastAsia="arial" w:hAnsi="arial" w:cs="arial"/>
            <w:i/>
            <w:color w:val="0077CC"/>
            <w:sz w:val="20"/>
            <w:u w:val="single"/>
            <w:shd w:val="clear" w:color="auto" w:fill="FFFFFF"/>
            <w:lang w:val="en-US" w:eastAsia="en-US" w:bidi="ar-SA"/>
          </w:rPr>
          <w:t>RSBC 1996, CHAPTER 318, s. 144</w:t>
        </w:r>
      </w:hyperlink>
      <w:r>
        <w:rPr>
          <w:rFonts w:ascii="arial" w:eastAsia="arial" w:hAnsi="arial" w:cs="arial"/>
          <w:color w:val="000000"/>
          <w:sz w:val="20"/>
          <w:lang w:val="en-US" w:eastAsia="en-US" w:bidi="ar-SA"/>
        </w:rPr>
        <w:t>, s. 179, s. 183, s. 183(2)(b)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CHAPTER 333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8" w:name="Counsel_30"/>
      <w:bookmarkEnd w:id="21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6" style="position:absolute;z-index:251792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 Randhawa.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 Hood.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9" w:name="Judgment_30"/>
      <w:bookmarkEnd w:id="219"/>
      <w:r>
        <w:pict>
          <v:line id="_x0000_s1177" style="position:absolute;z-index:2518425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0" w:name="D.J. DARDI J."/>
            <w:bookmarkEnd w:id="220"/>
            <w:r>
              <w:rPr>
                <w:rFonts w:ascii="arial" w:eastAsia="arial" w:hAnsi="arial" w:cs="arial"/>
                <w:b/>
                <w:color w:val="000000"/>
                <w:sz w:val="30"/>
                <w:lang w:val="en-US" w:eastAsia="en-US" w:bidi="ar-SA"/>
              </w:rPr>
              <w:t>D.J. DARDI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action the plaintiff, Mr. Sarup Deol, seeks damages arising from injuries he sustained when the bicycle he was riding collided with a vehicle driven by the defendant, Mr. Brian Veach.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sole issue before the Court at trial was the determination of liability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collision occurred at approximately 11:00 a.m. on January 3, 2007, at an exitway from a Safeway parking lot in the 7400 block of Scott Road (120th Street) in Surrey, between 72nd and 75th Avenue (the "Exitway"). The Exitway is two lanes wide. An unmarked crosswalk connects the two sidewalks on either side of the Exitway. There is no stop sign or traffic light at the Exitway. In this area Scott Road has three northbound lanes and two southbound lanes, plus a designated left-turn lane to turn into Safeway. On the north side of the Exitway, between the sidewalk and the Safeway parking lot, there is a five foot nine inch wide strip of low-lying shrubs and several small trees. The sidewalk is five feet wide (the "Sidewalk"). There is a six foot wide strip of grass with some small trees between the Sidewalk and the east curb of Scott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summarize below the evidence of each of the plaintiff, the defendant, and the two independent witnesses.</w:t>
      </w:r>
      <w:r>
        <w:rPr>
          <w:rFonts w:ascii="arial" w:eastAsia="arial" w:hAnsi="arial" w:cs="arial"/>
          <w:sz w:val="20"/>
          <w:lang w:val="en-US" w:eastAsia="en-US" w:bidi="ar-SA"/>
        </w:rPr>
        <w:cr/>
      </w:r>
    </w:p>
    <w:p>
      <w:pPr>
        <w:numPr>
          <w:numId w:val="19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who testified through an interpreter at trial, stated that he was a very experienced cyclist and it was his daily routine to ride his bicycle in a southerly direction to a temple on 72nd Avenue in Surrey. When he was travelling southbound on Scott Road he regularly rode his bicycle on the east sidewalk, against the flow of traffic; this route was more convenient for him than riding his bicycle on the west side of Scott Road. When he was travelling this route Scott Road was to the right of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the day of the accident he was not in a rush as he had not planned to arrive at the temple at any specified time. When he reached the Exitway he stopped at the edge of the Sidewalk, although he stayed mounted on his bicycle. He observed the defendant's vehicle approach the Exitway and then come to a stop. The plaintiff claims that he saw the defendant's vehicle stop at a white line before the Exitway. Presuming it was safe to cross, the plaintiff proceeded into the Exitway on his bicycle. By his own admission the plaintiff never made eye contact with the defendant, nor did the defendant ever give him any indication that he had seen him. According to the plaintiff, he and the defendant attempted to cross the Exitway at the same time and the vehicle "came on top on" him.</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who was driving a Chevrolet Malibu, testified that upon leaving the Safeway parking lot he had intended to cross through the Exitway to turn right and proceed northbound on Scott Road. He was running an errand that was not subject to any specific time constraints. There were no vehicles in front of or behind him. He was not aware of any white lines or markings on the pavement in the Exitway. As he approached the Exitway there was nothing obstructing his view to the right. When he looked to his right as he was approaching the Exitway he did not notice any pedestrians or cyclists on the north Sidewalk. The defendant approached the Exitway at a slow pace; he estimated his speed as 10-15 kilometres per hour. He looked to his right, checking the north Sidewalk on Scott Road. The defendant then brought his vehicle to a complete stop, east of the Sidewalk and the unmarked crosswalk, for about two or three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looked to the left for vehicles travelling in a northbound direction on Scott Road. He then began to "creep forward" in the Exitway to initiate his right turn. He estimates that at this time he was travelling at a speed of approximately five kilometres per hour. He had barely started accelerating when, to his surprise, he suddenly heard a "thump". He had not seen the plaintiff prior to the collision. The defendant initially exited his vehicle; however, upon realizing that the plaintiff was trapped underneath the front bumper, he immediately reversed his vehicle approximately a foot from its stopped position. He also retrieved a blanket from the vehicle and placed it over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cross-examination the defendant conceded that after stopping at the Exitway he maintained his focus on the traffic approaching from the left and never looked right again before he moved through the Exitway to initiate his right turn. Although he had an unobstructed view of the Sidewalk to his right -- to the end of the Safeway parking lot which was approximately 200 feet -- he never observed the plaintiff at any time prior to impact. He also acknowledged that Scott Road is very busy and many cyclists ride on the sidewalk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the scene the defendant spoke to the two witnesses, Mr. Narinder Hara and Mr. Kanwaldip Jawanda. He expressed some shock and dismay to Mr. Hara that he had failed to see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police attended the scene and issued a ticket to the defendant under s. 179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for failure to yield to a pedestrian. The defendant testified that he later paid the fee.</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Independent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trial the plaintiff called two independent witnesses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Narinder Hara was travelling north on Scott Road in the inside lane. He observed the defendant's vehicle stopped at the Exitway, and the defendant driver checking the northbound traffic. He also observed the plaintiff on his bicycle stopped at the Exitway. He related to the court his recollection of the collision: as the defendant slowly pulled out of the Exitway the plaintiff also proceeded on his bicycle. According to Mr. Hara, the plaintiff veered to the right in an effort to avoid the defendant's vehicle. After witnessing the collision, Mr. Hara noticed that the plaintiff's leg was caught under his bicycle and the bicycle was pinned underneath the defendant's vehicle. Mr. Hara immediately pulled his vehicle over and asked the defendant to reverse his vehicle off the plaintiff's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From the time Mr. Hara observed the defendant driver in his initial stopped position until the time of impact Mr. Hara never noticed the defendant look to his right. Mr. Hara did not notice any white lines on the pavement in the Exitway.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Jawanda, who is a Class 1 professional driving instructor, also witnessed the collision. He was riding in the passenger side of a semi-truck and trailer, because he was with a student driver. They were travelling north on Scott Road in the middle lane at approximately 15-20 kilometres per hour. He testified that he had excellent visibility of the incident because the cab of the truck in which he was riding was four to five feet above the ground. He observed the defendant exiting the Safeway lot and stop before what he described as the white line at the Exitway. The driver looked left in a southerly direction before slowly proceeding with his right turn. Mr. Jawanda also saw the plaintiff on his bicycle stopped on the Sidewalk. Both plaintiff and defendant started moving slowly into the Exitway at the same time and the collision occurred. After pulling over to attend the scene of the accident Mr. Jawanda spoke to the plaintiff, the defendant, and the attending police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found the defendant to be a straightforward and credible witness. He clearly endeavoured to give accurate evidence of the material sequence of events; he was forthright about what he did and did not do in relation to this collision. I also found that each of the independent witnesses did their best to accurately relate their recollections of the accident. I found them both to be credible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Although the plaintiff presented as having difficulties with his memory and verbal expression, he attempted to relate his recollection of events to the best of his ability. The collision was clearly a very traumatic event for him. Moreover, it appeared that the plaintiff found the experience of testifying at trial somewhat overwhelming. However, contrary to the defendant's characterization of the plaintiff's evidence, I do not find that he was evasive or that he deliberately exaggerated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any case the majority of the relevant facts are not in contention, and are established on the evidence of the defendant and the two disinterested witnesses. I find that the totality of the evidence establishes the following facts: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Scott Road is a major arterial road with heavy traffic;</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aware that the Sidewalk on Scott Road on which the accident occurred was routinely used by pedestrians and cyclists;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occurred on a clear day with excellent visibility, and the road in issue was substantially dry at the time of the accident. The police photographs do show that the road had a few remaining small spots of water on the surface;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travelling south on his bicycle on the Sidewalk on the east side of Scott Road;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intended to execute a right turn into the curb lane to travel northbound on Scott Road. As he was approaching the Exitway he looked to the right. Although he had an unobstructed view to the north for some 200 feet he did not observe the plaintiff on the Sidewalk;</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stopping at the Exitway the defendant did not look to his right before he commenced his turn onto Scott Road to travel northbound. He maintained his focus to the left on the northbound traffic. He therefore never saw the plaintiff prior to the impact;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stopped on his bicycle at the edge of the north curb of the Exitway; he then observed the defendant's vehicle a short distance away approaching the Exitway. He saw the defendant stop his vehicle just east of the Sidewalk and the unmarked crosswalk;</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plaintiff knew that the defendant would be exiting onto Scott Road the plaintiff assumed that since the defendant had stopped it was safe to proceed riding his bicycle through the Exitway;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balance the evidence supports a finding that the plaintiff and the defendant both slowly proceeded into the Exitway at approximately the same time;</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 to the defendant's vehicle is to the front quarter passenger's side panel and there are some scratches to the front bumper,</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common ground from the photographs of the scene tendered at trial that in 2011 the Exitway has no painted stop lines. The evidence is conflicting as to whether at the time of the accident there were painted white lines on the pavement of the Exitway. However, the police photographs taken at the time show that there were no white lines on the pavement in the Exitway. In my view nothing turns on this because the uncontroverted fact is that the defendant, as he was required to do, stopped at the Exitway prior to executing his right hand turn onto Scott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plaintiff asserts that the defendant is fully responsible for the subject accident, and in the alternative, if the Court determines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the sole cause of the accident, that liability should be apportioned to the plaintiff in an amount no greater than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 acknowledges some degree of responsibility for the accident, but contends that the plaintiff was contributorily negligent. The defendant argues the plaintiff should be held 75% at fault for the accident, and the defendant 25%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FRAMEWORK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is no dispute as to the legal principles which inform the analysis of liability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It is common ground that both the plaintiff and defendant had duties to take reasonable care. The authorities also clearly establish that an individual who is violating a traffic law assumes a heightened duty of care: </w:t>
      </w:r>
      <w:r>
        <w:rPr>
          <w:rFonts w:ascii="arial" w:eastAsia="arial" w:hAnsi="arial" w:cs="arial"/>
          <w:i/>
          <w:color w:val="000000"/>
          <w:sz w:val="20"/>
          <w:lang w:val="en-US" w:eastAsia="en-US" w:bidi="ar-SA"/>
        </w:rPr>
        <w:t>Hadden v. Lynch,</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2008 BCSC 295</w:t>
        </w:r>
      </w:hyperlink>
      <w:r>
        <w:rPr>
          <w:rFonts w:ascii="arial" w:eastAsia="arial" w:hAnsi="arial" w:cs="arial"/>
          <w:color w:val="000000"/>
          <w:sz w:val="20"/>
          <w:lang w:val="en-US" w:eastAsia="en-US" w:bidi="ar-SA"/>
        </w:rPr>
        <w:t xml:space="preserve"> at para.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It is also well-settled that a breach of the provisions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in itself does not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Dickie Estate v. Dickie</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(1991), 5 B.C.A.C. 37</w:t>
        </w:r>
      </w:hyperlink>
      <w:r>
        <w:rPr>
          <w:rFonts w:ascii="arial" w:eastAsia="arial" w:hAnsi="arial" w:cs="arial"/>
          <w:color w:val="000000"/>
          <w:sz w:val="20"/>
          <w:lang w:val="en-US" w:eastAsia="en-US" w:bidi="ar-SA"/>
        </w:rPr>
        <w:t xml:space="preserve"> (C.A.). In order to find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court must find that an individual did not exhibit the standard of care which was required in the circumstances and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Hadden</w:t>
      </w:r>
      <w:r>
        <w:rPr>
          <w:rFonts w:ascii="arial" w:eastAsia="arial" w:hAnsi="arial" w:cs="arial"/>
          <w:color w:val="000000"/>
          <w:sz w:val="20"/>
          <w:lang w:val="en-US" w:eastAsia="en-US" w:bidi="ar-SA"/>
        </w:rPr>
        <w:t>, a case involving a collision between a truck and a cyclist, the court summarized the duty on a driver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[69] It is important to remember in cases like the one at bar that the standard of care of a driver is not one of perfection, but whether the driver acted in a manner in which an ordinarily prudent person would act, see </w:t>
      </w:r>
      <w:r>
        <w:rPr>
          <w:rFonts w:ascii="arial" w:eastAsia="arial" w:hAnsi="arial" w:cs="arial"/>
          <w:i/>
          <w:color w:val="000000"/>
          <w:sz w:val="20"/>
          <w:lang w:val="en-US" w:eastAsia="en-US" w:bidi="ar-SA"/>
        </w:rPr>
        <w:t>Orr v. Faucher</w:t>
      </w:r>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2005 BCSC 1343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Addison v. Nelles</w:t>
      </w:r>
      <w:r>
        <w:rPr>
          <w:rFonts w:ascii="arial" w:eastAsia="arial" w:hAnsi="arial" w:cs="arial"/>
          <w:color w:val="000000"/>
          <w:sz w:val="20"/>
          <w:lang w:val="en-US" w:eastAsia="en-US" w:bidi="ar-SA"/>
        </w:rPr>
        <w:t xml:space="preserve">, </w:t>
      </w:r>
      <w:hyperlink r:id="rId769" w:history="1">
        <w:r>
          <w:rPr>
            <w:rFonts w:ascii="arial" w:eastAsia="arial" w:hAnsi="arial" w:cs="arial"/>
            <w:i/>
            <w:color w:val="0077CC"/>
            <w:sz w:val="20"/>
            <w:u w:val="single"/>
            <w:shd w:val="clear" w:color="auto" w:fill="FFFFFF"/>
            <w:lang w:val="en-US" w:eastAsia="en-US" w:bidi="ar-SA"/>
          </w:rPr>
          <w:t>2003 BCSC 1860</w:t>
        </w:r>
      </w:hyperlink>
      <w:r>
        <w:rPr>
          <w:rFonts w:ascii="arial" w:eastAsia="arial" w:hAnsi="arial" w:cs="arial"/>
          <w:color w:val="000000"/>
          <w:sz w:val="20"/>
          <w:lang w:val="en-US" w:eastAsia="en-US" w:bidi="ar-SA"/>
        </w:rPr>
        <w:t xml:space="preserve">, aff'd </w:t>
      </w:r>
      <w:hyperlink r:id="rId770" w:history="1">
        <w:r>
          <w:rPr>
            <w:rFonts w:ascii="arial" w:eastAsia="arial" w:hAnsi="arial" w:cs="arial"/>
            <w:i/>
            <w:color w:val="0077CC"/>
            <w:sz w:val="20"/>
            <w:u w:val="single"/>
            <w:shd w:val="clear" w:color="auto" w:fill="FFFFFF"/>
            <w:lang w:val="en-US" w:eastAsia="en-US" w:bidi="ar-SA"/>
          </w:rPr>
          <w:t>2004 BCCA 623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Russell v. Wang</w:t>
      </w:r>
      <w:r>
        <w:rPr>
          <w:rFonts w:ascii="arial" w:eastAsia="arial" w:hAnsi="arial" w:cs="arial"/>
          <w:color w:val="000000"/>
          <w:sz w:val="20"/>
          <w:lang w:val="en-US" w:eastAsia="en-US" w:bidi="ar-SA"/>
        </w:rPr>
        <w:t xml:space="preserve">, </w:t>
      </w:r>
      <w:hyperlink r:id="rId771" w:history="1">
        <w:r>
          <w:rPr>
            <w:rFonts w:ascii="arial" w:eastAsia="arial" w:hAnsi="arial" w:cs="arial"/>
            <w:i/>
            <w:color w:val="0077CC"/>
            <w:sz w:val="20"/>
            <w:u w:val="single"/>
            <w:shd w:val="clear" w:color="auto" w:fill="FFFFFF"/>
            <w:lang w:val="en-US" w:eastAsia="en-US" w:bidi="ar-SA"/>
          </w:rPr>
          <w:t>2000 BCSC 534</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[70] It seems clear that for the court to impose liability on the defendant, the plaintiff must prove either that the defendant did in fact see him or that the defendant ought to have seen him. If the defendant did not, or should not have, seen the plaintiff, then the defendant could not have been expected to do anything except proceed through the intersection as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 critical and uncontroverted fact in this case is that the defendant did not see the plaintiff when he looked to the right as he was approaching the Exitway. On his own admission his unobstructed view of the Sidewalk to the north was for some 200 feet. Moreover, after the defendant stopped just east of the unmarked crosswalk at the Exitway, and prior to executing his right turn, he did not look to the right again. The defendant was in clear violation of s. 144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which prohibits driving without due care and attention and without reasonable consideration for others. Although the plaintiff was riding in the direction facing traffic, the Exitway, which was bordered by a sidewalk on both sides, was precisely where a motorist should reasonably have expected to encounter another user of the road. Unlike the plaintiff in </w:t>
      </w:r>
      <w:r>
        <w:rPr>
          <w:rFonts w:ascii="arial" w:eastAsia="arial" w:hAnsi="arial" w:cs="arial"/>
          <w:i/>
          <w:color w:val="000000"/>
          <w:sz w:val="20"/>
          <w:lang w:val="en-US" w:eastAsia="en-US" w:bidi="ar-SA"/>
        </w:rPr>
        <w:t>Ivanoff v. Bensmiller</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2002 BCCA 173</w:t>
        </w:r>
      </w:hyperlink>
      <w:r>
        <w:rPr>
          <w:rFonts w:ascii="arial" w:eastAsia="arial" w:hAnsi="arial" w:cs="arial"/>
          <w:color w:val="000000"/>
          <w:sz w:val="20"/>
          <w:lang w:val="en-US" w:eastAsia="en-US" w:bidi="ar-SA"/>
        </w:rPr>
        <w:t>, the plaintiff was not in an unexpected location. The defendant was well aware that both pedestrians and cyclists used the sidewalks on Scott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find on the totality of the evidence that had the defendant acted in a reasonably prudent manner he would have seen the plaintiff. The plaintiff was there to be seen by the defendant. Had the defendant maintained a proper look-out there is an irresistible inference that the collision would have been avoided. I therefore conclude that the defendant failed to meet the standard of care of an ordinarily prudent driver required in the circumstances, and that his failure to do so was a cause of the accident. In the result I find the defendant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turn next to consider whether the plaintiff failed to take reasonable care for his own safety, and whether his failure to do so was one of the causes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defendant grounds his submissions in s. 183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which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Rights and duties of operator of cycle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(1) In addition to the duties imposed by this section, a person operating a cycle on a highway has the same rights and duties as a driver of a vehicle.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operating a cycle</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ride on a sidewalk unless authorized by a bylaw made under section 124 or unless otherwise directed by a sign,</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for the purpose of crossing a highway, ride on a crosswalk unless authorized to do so by a bylaw made under section 124 or unless otherwise directed by a sign,</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subject to paragraph (a), ride as near as practicable to the right side of the highway,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It is uncontroversial that the plaintiff was breaching the provisions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prior to the collision. In contravention of s. 183 he was riding his bicycle on the Sidewalk in a direction facing traffic. It is common ground that there was no bylaw or sign authorizing him to do so. Moreover, he entered the unmarked crosswalk on his bicycle, which also constitutes a contravention of s. 183(2)(b)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At this juncture I note that I did not find either counsel's submissions on the other alleged breaches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in considering the liability of a cyclist riding on a sidewalk that collided with a driver of a vehicle exiting a gas station, the Court of Appeal stated as follows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In my opinion, the plaintiff was at fault, and his fault was one of the causes of the accident. Contrary to law, he was riding his bicycle on the sidewalk against the flow of traffic. He saw the defendant's vehicle moving towards the exit he was approaching. </w:t>
      </w:r>
      <w:r>
        <w:rPr>
          <w:rFonts w:ascii="arial" w:eastAsia="arial" w:hAnsi="arial" w:cs="arial"/>
          <w:color w:val="000000"/>
          <w:sz w:val="20"/>
          <w:u w:val="single"/>
          <w:lang w:val="en-US" w:eastAsia="en-US" w:bidi="ar-SA"/>
        </w:rPr>
        <w:t>Rather than making eye contact with the defendant or stopping his bicycle and letting the defendant's vehicle exit the gas station, the plaintiff assumed the defendant saw him and would not accelerate his vehicle.</w:t>
      </w:r>
      <w:r>
        <w:rPr>
          <w:rFonts w:ascii="arial" w:eastAsia="arial" w:hAnsi="arial" w:cs="arial"/>
          <w:color w:val="000000"/>
          <w:sz w:val="20"/>
          <w:lang w:val="en-US" w:eastAsia="en-US" w:bidi="ar-SA"/>
        </w:rPr>
        <w:t xml:space="preserve"> In these circumstances, he was at fault for continuing to ride his bicycle across the path to be taken by the defendant's vehicle in exiting the gas station.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On the totality of the evidence, and applying the principles articulated in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I find that the plaintiff failed to take reasonable care for his own safety. Given his heightened duty of care, the plaintiff, after stopping and before attempting to cross the Exitway, should have made some form of eye contact to ensure that the defendant had seen him. By the plaintiff's own admission the defendant had given no indication to the plaintiff that he had seen him. In short, the plaintiff was at fault and his failure to take reasonable care for his own safety was one of the causes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summary I conclude that the conduct of each of the plaintiff and the defendant was negligent and contributed to the accident. In the result liability will be apportioned pursuant to the provisions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Hynna v. Peck,</w:t>
      </w:r>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2009 BCSC 1057</w:t>
        </w:r>
      </w:hyperlink>
      <w:r>
        <w:rPr>
          <w:rFonts w:ascii="arial" w:eastAsia="arial" w:hAnsi="arial" w:cs="arial"/>
          <w:color w:val="000000"/>
          <w:sz w:val="20"/>
          <w:lang w:val="en-US" w:eastAsia="en-US" w:bidi="ar-SA"/>
        </w:rPr>
        <w:t>, distilled the pertinent principles regarding apportionment at paras. 88-89: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assessing apportionment, the Court examines the extent of blameworthiness, that is, the degree to which each party is at fault, and not the degree to which each party's fault has caused the loss. Stated another way, the Court does not assess degrees of causation, it assesses degrees of fault: </w:t>
      </w:r>
      <w:r>
        <w:rPr>
          <w:rFonts w:ascii="arial" w:eastAsia="arial" w:hAnsi="arial" w:cs="arial"/>
          <w:i/>
          <w:color w:val="000000"/>
          <w:sz w:val="20"/>
          <w:lang w:val="en-US" w:eastAsia="en-US" w:bidi="ar-SA"/>
        </w:rPr>
        <w:t>Cempel v. Harrison Hot Springs Hotel Ltd.</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(1997), 43 B.C.L.R. (3d) 219</w:t>
        </w:r>
      </w:hyperlink>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100 B.C.A.C. 212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Aberdeen v. Langley (Township)</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2007 BCSC 993</w:t>
        </w:r>
      </w:hyperlink>
      <w:r>
        <w:rPr>
          <w:rFonts w:ascii="arial" w:eastAsia="arial" w:hAnsi="arial" w:cs="arial"/>
          <w:color w:val="000000"/>
          <w:sz w:val="20"/>
          <w:lang w:val="en-US" w:eastAsia="en-US" w:bidi="ar-SA"/>
        </w:rPr>
        <w:t xml:space="preserve"> [Aberdeen]; reversed in part,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Alberta Wheat Pool v. Northwest Pile Driving Ltd.</w:t>
      </w:r>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2000 BCCA 505</w:t>
        </w:r>
      </w:hyperlink>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(2000) 80 B.C.L.R. (3d) 153</w:t>
        </w:r>
      </w:hyperlink>
      <w:r>
        <w:rPr>
          <w:rFonts w:ascii="arial" w:eastAsia="arial" w:hAnsi="arial" w:cs="arial"/>
          <w:color w:val="000000"/>
          <w:sz w:val="20"/>
          <w:lang w:val="en-US" w:eastAsia="en-US" w:bidi="ar-SA"/>
        </w:rPr>
        <w:t>, Finch, J.A. (now the Chief Justice), for the majority of the Court of Appeal, explained this important principle at paras. 45-47: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test to be applied here is that expressed by Lambert, J.A. in </w:t>
      </w:r>
      <w:r>
        <w:rPr>
          <w:rFonts w:ascii="arial" w:eastAsia="arial" w:hAnsi="arial" w:cs="arial"/>
          <w:i/>
          <w:color w:val="000000"/>
          <w:sz w:val="20"/>
          <w:lang w:val="en-US" w:eastAsia="en-US" w:bidi="ar-SA"/>
        </w:rPr>
        <w:t>Cempel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and the Court's task is to assess the respective blameworthiness of the parties, rather than the extent to which the loss may be said to have been caused by the conduct of each.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Fault or blameworthiness evaluates the parties' conduct in the circumstances, and the extent or degree to which it may be said to depart from the standard of reasonable care. Fault may vary from extremely careless conduct, by which the party shows a reckless indifference or disregard for the safety of person or property, whether his own or others, down to a momentary or minor lapse of care in conduct which, nevertheless, carries with it the risk of foreseeable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found the plaintiff cyclist and defendant motorist equally at fault. Although the circumstances in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are similar to the facts in this case, there is a distinction of some significance -- the plaintiff in this case stopped his bicycle and waited at the Exitway before proceeding. He only proceeded after he saw the defendant's vehicle come to a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consider the defendant's failure to keep a proper lookout, his failure to observe the plaintiff who was there to be seen, and his execution of a right turn while focussing to his left, more blameworthy than the lapse of care of the plaintiff, who, after stopping at the Exitway and observing the defendant's vehicle come to a stop, failed to make eye contact with the defendant prior to proceeding through the Exitway.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the end I find that the defendant was substantially but not entirely to blame for the accident and therefore I attribute fault to both parties. I apportion liability 75% to the defendant and 25%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If the parties are unable to agree on costs within 60 days of the release of these reasons for judgment, they should reserve a date through Supreme Court Scheduling to address 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D.J. DARDI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8"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74"/>
          <w:headerReference w:type="default" r:id="rId775"/>
          <w:footerReference w:type="even" r:id="rId776"/>
          <w:footerReference w:type="default" r:id="rId777"/>
          <w:headerReference w:type="first" r:id="rId778"/>
          <w:footerReference w:type="first" r:id="rId7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80" w:history="1">
        <w:r>
          <w:rPr>
            <w:rFonts w:ascii="arial" w:eastAsia="arial" w:hAnsi="arial" w:cs="arial"/>
            <w:b/>
            <w:bCs/>
            <w:i/>
            <w:color w:val="0077CC"/>
            <w:kern w:val="32"/>
            <w:sz w:val="28"/>
            <w:szCs w:val="32"/>
            <w:u w:val="single"/>
            <w:shd w:val="clear" w:color="auto" w:fill="FFFFFF"/>
            <w:lang w:val="en-US" w:eastAsia="en-US" w:bidi="ar-SA"/>
          </w:rPr>
          <w:t>Knight v. Li, [2011] B.C.J. No. 236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D.C. Harris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10-13,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15,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M083461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236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260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198 A.C.W.S. (3d) 1206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Cameron Knight, Plaintiff, and Jing Shu Li and Li Hon Lu,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9"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1" w:name="Keywords_30"/>
      <w:bookmarkEnd w:id="221"/>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Motor vehicles — Liability of driver — Rules of the road — Evidence and proof — Action by plaintiff for damages sustained in a 2008 motor vehicle accident in Vancouver where only liability was at issue allowed in part — The plaintiff was 75 per cent liable for the accident and the defendant 25 per cent — Based on the accident reconstruction evidence, the defendant was the dominant driver in the intersection, as the plaintiff ought not to have entered — Moreover, the plaintiff's safety was compromised by his impairment — However, the defendant was travelling up to 25 km/hr over the speed limit and deprived himself of a sufficient opportunity to avoid the accident.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2" w:name="Case Summary_29"/>
            <w:bookmarkEnd w:id="22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plaintiff for damages sustained in a 2008 motor vehicle accident in Vancouver. The accident took place as the plaintiff's southbound vehicle attempted to make cross an intersection where he faced a stop sign and east/west traffic faced a flashing green light. He argued the defendant, who was proceeding eastward and struck his vehicle, was 90 per cent liable, as he was speeding and failed to keep a proper lookout for vehicles crossing the roadway. The plaintiff admitted he should bear 10 per cent liability. The defendant argued the plaintiff was intoxicated and incapable of safely operating his car. The plaintiff's blood alcohol concentration was tested by police and showed 168 mg of alcohol in 100 ml of blood. His urine sample showed metabolites of marijuana. The plaintiff was convicted of impaired driving, driving while over the legal limit and driving without due care and attention. The defendant argued the plaintiff was solely at fault for the accident. Only liability was at issue.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3" w:name="Holdings of Court_29"/>
            <w:bookmarkEnd w:id="223"/>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the servient driver. Because he faced a stop sign, it was his responsibility to yield the right of way to traffic on 41st Avenue and proceed to cross the intersection only if it was clear and there was no immediate hazard. There was an absence of reliable eyewitness evidence with regard to the accident. Based on the engineering evidence, the defendant was travelling 75 km/hr before he braked. This meant that the defendant's vehicle was no more than 63 metres from the beginning of the intersection when the plaintiff's vehicle entered the intersection. It was an immediate hazard when the plaintiff entered the intersection. The defendant was placed in a position where he was required to take sudden action to avoid the threat of a collision. The plaintiff ought not to have entered the intersection. The plaintiff was required to stop before entering the intersection and there was no evidence that he did so. It should have been apparent to him that the defendant was driving somewhat in excess of the speed limit of 50 km/hr. The defendant was the dominant driver at the time of the accident. Without the plaintiff's breach of the standard of care, the accident would not have happened. As for the defendant, at 75 km/hr, he was driving too fast for conditions. Had he been driving at 50 or 60 km/hr the accident would not have occurred. He deprived himself of a sufficient opportunity to avoid the accident which a reasonably careful and skilful driver would have taken. There was little doubt the plaintiff's ability to drive safely was compromised by his impairment. The plaintiff was 75 per cent liable for the accident and the defendant 25 per cent.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4" w:name="Legislation Cited_21"/>
      <w:bookmarkEnd w:id="2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0"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781" w:history="1">
        <w:r>
          <w:rPr>
            <w:rFonts w:ascii="arial" w:eastAsia="arial" w:hAnsi="arial" w:cs="arial"/>
            <w:i/>
            <w:color w:val="0077CC"/>
            <w:sz w:val="20"/>
            <w:u w:val="single"/>
            <w:shd w:val="clear" w:color="auto" w:fill="FFFFFF"/>
            <w:lang w:val="en-US" w:eastAsia="en-US" w:bidi="ar-SA"/>
          </w:rPr>
          <w:t>RSBC 1996, CHAPTER 318, s. 131</w:t>
        </w:r>
      </w:hyperlink>
      <w:r>
        <w:rPr>
          <w:rFonts w:ascii="arial" w:eastAsia="arial" w:hAnsi="arial" w:cs="arial"/>
          <w:color w:val="000000"/>
          <w:sz w:val="20"/>
          <w:lang w:val="en-US" w:eastAsia="en-US" w:bidi="ar-SA"/>
        </w:rPr>
        <w:t>(5), s. 174, s. 175, s. 186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241" w:history="1">
        <w:r>
          <w:rPr>
            <w:rFonts w:ascii="arial" w:eastAsia="arial" w:hAnsi="arial" w:cs="arial"/>
            <w:i/>
            <w:color w:val="0077CC"/>
            <w:sz w:val="20"/>
            <w:u w:val="single"/>
            <w:shd w:val="clear" w:color="auto" w:fill="FFFFFF"/>
            <w:lang w:val="en-US" w:eastAsia="en-US" w:bidi="ar-SA"/>
          </w:rPr>
          <w:t>RSBC 1996, CHAPTER 333, s. 1</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5" w:name="Counsel_31"/>
      <w:bookmarkEnd w:id="22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1" style="position:absolute;z-index:251793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Joseph E. Murphy, Q.C., Stanley J. Scott.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Robert F. Hungerford, Tanya L. Martin.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6" w:name="Judgment_31"/>
      <w:bookmarkEnd w:id="226"/>
      <w:r>
        <w:pict>
          <v:line id="_x0000_s1182" style="position:absolute;z-index:2518435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7" w:name="D.C. HARRIS J."/>
            <w:bookmarkEnd w:id="227"/>
            <w:r>
              <w:rPr>
                <w:rFonts w:ascii="arial" w:eastAsia="arial" w:hAnsi="arial" w:cs="arial"/>
                <w:b/>
                <w:color w:val="000000"/>
                <w:sz w:val="30"/>
                <w:lang w:val="en-US" w:eastAsia="en-US" w:bidi="ar-SA"/>
              </w:rPr>
              <w:t>D.C. HARRIS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trial of liability for a motor vehicle accident that occurred at about 9:45 p.m. on the evening of March 8, 2008 at the intersection of West 41st Avenue ("41st Avenue") and Angus Drive in Vancouver (the "Accident"). The plaintiff, Cameron Knight, was the operator of a Volvo proceeding southbound on Angus Drive. The defendant, Jing Shu Li, was driving a BMW 750i owned by his mother, the defendant, Li Hong Lu, proceeding eastbound in the curb or slow lane on 41st Avenue. 41st Avenue is a through street in excess of 18 metres wide with four lanes for travel and additional room for parking on each side. Drivers entering 41st Avenue from Angus Drive face a stop sign. The view to the right of 41st Avenue from the stop sign is obscured by a hedge, requiring a driver to pull forward to close to the curb edge of 41st Avenue to get a clear view of traffic heading eastbound.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collision happened within the intersection at a point in the eastbound curb lane of 41st Avenue. The BMW struck the side of the Volvo as the Volvo crossed in front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Knight argues that the overwhelming responsibility for the Accident should be borne by Mr. Li because he was speeding through the intersection and failed to keep a proper look out for vehicles crossing 41st Avenue. Mr. Knight has no memory of the Accident and did not testify. Although he admits that he had been drinking before the Accident, he says that this did not cause or contribute to it. His position is that the accident reconstruction evidence proves that when he entered 41st Avenue in his attempt to cross it, it was safe for him to do so and he therefore established his right of way across the intersection. Mr. Knight acknowledges, principally because he pled guilty to a charge of driving without due care and attention, that he probably did not keep a proper look out as he crossed through the intersection and did not take steps to avoid the collision. He accepts that he should bear 10% of the fault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Li's position is that Mr. Knight is solely at fault for the Accident. He says that Mr. Knight was intoxicated and incapable of safely operating his car. There is no evidence that he even stopped or slowed down before driving into the intersection. Mr. Knight must simply have failed to recognise that Mr. Li, who had the right of way, was approaching the intersection. Mr. Knight drove into the path of Mr. Li who was driving at a speed that was not unsafe for the road conditions. He gave Mr. Li no reasonable opportunity to avoid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AGREED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parties entered an Agreed Statement of Facts as an exhibit. I set it out below in its entirety.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Background: </w:t>
      </w:r>
    </w:p>
    <w:p>
      <w:pPr>
        <w:numPr>
          <w:numId w:val="1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at March 8, 2008 the plaintiff, Cameron Knight, was employed as a terrain park ranger at Grouse Mountain in North Vancouver.</w:t>
      </w:r>
    </w:p>
    <w:p>
      <w:pPr>
        <w:numPr>
          <w:numId w:val="1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8, 2008 he worked his shift at Grouse Mountain from 7:00 am to 2:30 pm.</w:t>
      </w:r>
    </w:p>
    <w:p>
      <w:pPr>
        <w:numPr>
          <w:numId w:val="1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his work shift, the plaintiff began drinking alcohol with work friends and acquaintances on Grouse Mountain at 3:00 p.m. on March 8, 2008.</w:t>
      </w:r>
    </w:p>
    <w:p>
      <w:pPr>
        <w:numPr>
          <w:numId w:val="1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left Grouse Mountain at approximately 8:30 p.m. and drove his red 1994 Volvo 850 (the "Volvo") from Grouse Mountain to the intersection where the collision occurred.</w:t>
      </w:r>
    </w:p>
    <w:p>
      <w:pPr>
        <w:numPr>
          <w:numId w:val="1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route the plaintiff used to drive from Grouse Mountain to his home, using Angus Drive, was the route he normally took to drive from Grouse Mountain to his home. This was also the route typically used by other members of the plaintiff's family who lived at the same residence.</w:t>
      </w:r>
    </w:p>
    <w:p>
      <w:pPr>
        <w:numPr>
          <w:numId w:val="1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collision occurred at approximately 9:45 p.m. on March 8 2008 at the intersection of West 41st Avenue and Angus Drive in Vancouver, B.C. (the "Collision" and the "Intersection").</w:t>
      </w:r>
    </w:p>
    <w:p>
      <w:pPr>
        <w:numPr>
          <w:numId w:val="1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speed limit in this area is 50 km/h.</w:t>
      </w:r>
    </w:p>
    <w:p>
      <w:pPr>
        <w:numPr>
          <w:numId w:val="1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41st Avenue runs east-west and has two lanes of travel in each direction with the curb lane being wide enough to also accommodate parked cars. At the Intersection, 41St Avenue is controlled by a flashing green light.</w:t>
      </w:r>
    </w:p>
    <w:p>
      <w:pPr>
        <w:numPr>
          <w:numId w:val="1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Jing Shu "Simon" Li, was driving eastbound in the curb lane on West 41st Avenue.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Simon Li was driving a black 2006 BMW 750i ("the BMW") with his brother, Steven Li, in the front passenger seat.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BMW was owned by Li Hong Lu and operated by Simon Li with the consent of the owner, his mother.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Cameron Knight, was driving southbound on Angus Drive.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Cameron Knight was the driver and sole occupant the Volvo.</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Volvo was struck on the passenger side by the front of the BMW in the Intersection ("the Collision").</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Facts Arising from Post-Accident Inspection of Vehicles: </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BMW's front licence plate contacted the Volvo on the seam between the front passenger side door and the front passenger side fender.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crush to the Volvo was approximately 33 cm on its longitudinal axis, 63 cm at the rocker panel, and 96 cm at the mid-height of the door.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frontal crush to the BMW was approximately 15 cm at the left front and 55 cm at the right front. The frontal structures were shifted to the right approximately 23 cm.</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Facts Arising from Post-Accident Inspection of Accident Site: </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Intersection, West 41st runs east-west with two lanes of travel in each direction, separated by a solid centreline.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Eastbound traffic on West 41st approaches the Intersection with Angus Drive by travelling up a grade of between 3 and 4 percent.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Angus Drive is oriented north-south with a single lane of travel in each direction.</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Intersection, there is a pedestrian activated traffic light for traffic east-west on West 41st. Southbound traffic on Angus Drive does not have a traffic light but does have a stop sign.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stop line for southbound traffic at the Intersection is located 3.5 metres to the north of the north side of West 41st.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laurel hedge on the northwest corner of the Intersection. As of May 27, 2009, it extended to within 1.8 metres of the north curb of West 41st Avenue.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Facts Arising from Information Collected by Investigating Police Officers: </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the Collision, the Volvo came to rest in the front yard of the single family home at 5726 Angus Drive on the southeast corner of the Intersection.</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Volvo travelled head-on into a tree and came to rest facing southeast with its under-carriage lodged on a tree stump.</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BMW followed the Volvo but collided with a fire hydrant on the southeast corner of the intersection. The hydrant caused the BMW to pivot. It came to rest directly behind the Volvo but facing the opposite direction: northwest.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impact caused the fire hydrant to dislodge and release a large volume of water at the scene of the Collision.</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tire mark left by the BMW is visible in the painted stop line for eastbound traffic on West 41st. The tire mark is 6.8m from the point of impact.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Volvo travelled 18m from the north edge of West 41st Avenue to the point of impact.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Volvo and/or the BMW left the following tire marks at the Intersection:</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curved tire mark starting on the stop line on the west side of the intersection which continued to the east, curving in a clockwise direction and deflected to the south within the Intersection;</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second tire mark, approximately parallel to a portion of the first as noted in paragraph 30(a) above;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six separate tire marks at the southeast corner of the intersection and which were generally aligned in a south eastern direction toward the rest position of the BMW and Volvo.</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Collision, the plaintiff sustained a traumatic brain injury which caused amnesia such that he has no recollection of the Collision.</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Facts Arising from plaintiff's Blood Alcohol Testing: </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unconscious at the scene of the Collision.</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transported via ambulance to Vancouver General Hospital ("VGH") and arrived at VGH at approximately 10:22 pm.</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Medical staff at VGH collected samples of the plaintiff's blood and urine for medical purposes in the course of treating the plaintiff for the injuries sustained in the Collision.</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blood sample was tested at the VGH Laboratory and showed 45 millimoles of alcohol.</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urine sample was tested at the VGH Laboratory and showed metabolites of cannabis marijuana.</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PC Baxter obtained a search warrant for the plaintiff's blood sample stored at VGH Laboratory and the warrant was executed on April 9, 2008.</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the search warrant, PC Baxter took four vials of the plaintiff's blood from VGH Laboratory to the RCMP main Toxicology Laboratory.</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blood sample was labeled RCMP Lab File No. 20080-1692 and was analyzed at the RCMP Toxicology Laboratory on July 30, 2008. The results of the RCMP testing, as recorded in the Toxicology Report of Jacqueline J. Mack, showed 168 mg of ethyl alcohol in 100ml of blood.</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Facts Arising from Police Investigation</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Information date September 5, 2008, the plaintiff was charged with contravening section 253(a), 253(b) and 249(1)(a) of the Criminal Code in relation to the Collision.</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pleaded not guilty of the charges on the Information but guilty of section 144(1)(a) of the Motor Vehicle Act: driving without due care and attention.</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sentenced to a fine of $500 and a driving prohibition for 6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To assess liability in the present case I must consider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and the common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Driver's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Section 186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places a duty on drivers to stop at stop signs: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Except when a peace officer directs otherwise, if there is a stop sign at an intersection, a driver of a vehicle must stop</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marked stop line, if any,</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entering the marked crosswalk on the near side of the intersection, or</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there is neither a marked crosswalk nor a stop line, before entering the intersection, at the point nearest the intersecting highway from which the driver has a view of approaching traffic on the intersecting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Section 175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determines a driver's right of way following the stop required by s. 186: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175 (1) If a vehicle that is about to enter a through highway has stopped in compliance with section 186,</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the vehicle must yield the right of way to traffic that has entered the intersection on the through highway or is approaching so closely on it that it constitutes an immediate hazard, and</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yielded, the driver may proceed with caution.</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vehicle is entering a through highway in compliance with subsection (1), traffic approaching the intersection on the highway must yield the right of way to the entering vehicle while it is proceeding into or across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driver with the right of way is termed dominant; the driver who must yield is termed servient.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Therefore a driver is required to stop at a stop sign and is servient to a vehicle which is either in the intersection or which is travelling on the through way and is close enough to constitute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his concurring reasons in </w:t>
      </w:r>
      <w:r>
        <w:rPr>
          <w:rFonts w:ascii="arial" w:eastAsia="arial" w:hAnsi="arial" w:cs="arial"/>
          <w:i/>
          <w:color w:val="000000"/>
          <w:sz w:val="20"/>
          <w:lang w:val="en-US" w:eastAsia="en-US" w:bidi="ar-SA"/>
        </w:rPr>
        <w:t>Keen v. Stene</w:t>
      </w:r>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44 D.L.R. (2d) 350</w:t>
        </w:r>
      </w:hyperlink>
      <w:r>
        <w:rPr>
          <w:rFonts w:ascii="arial" w:eastAsia="arial" w:hAnsi="arial" w:cs="arial"/>
          <w:color w:val="000000"/>
          <w:sz w:val="20"/>
          <w:lang w:val="en-US" w:eastAsia="en-US" w:bidi="ar-SA"/>
        </w:rPr>
        <w:t xml:space="preserve"> at 359, 1964 CarswellBC 223 (C.A.), Mr. Justice Davey adopted the following definition of "immediate hazard":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approaching car is an immediate hazard if the circumstances are such as to require the driver of that car to take some sudden or violent action to avoid threat of a collision if the servient driver fails to yield the right-of-way.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Note that it is the action required of the servient driver to avoid the </w:t>
      </w:r>
      <w:r>
        <w:rPr>
          <w:rFonts w:ascii="arial" w:eastAsia="arial" w:hAnsi="arial" w:cs="arial"/>
          <w:i/>
          <w:color w:val="000000"/>
          <w:sz w:val="20"/>
          <w:lang w:val="en-US" w:eastAsia="en-US" w:bidi="ar-SA"/>
        </w:rPr>
        <w:t>threat</w:t>
      </w:r>
      <w:r>
        <w:rPr>
          <w:rFonts w:ascii="arial" w:eastAsia="arial" w:hAnsi="arial" w:cs="arial"/>
          <w:color w:val="000000"/>
          <w:sz w:val="20"/>
          <w:lang w:val="en-US" w:eastAsia="en-US" w:bidi="ar-SA"/>
        </w:rPr>
        <w:t xml:space="preserve"> of collision - and not to avoid the collision itself - which is relevant to assessing whether the dominant driver constituted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Davey J.A. continued at 359: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"Speed and distance generally determine what constitutes an immediate hazard", or as it was put by Cannon[ ] J., in </w:t>
      </w:r>
      <w:r>
        <w:rPr>
          <w:rFonts w:ascii="arial" w:eastAsia="arial" w:hAnsi="arial" w:cs="arial"/>
          <w:i/>
          <w:color w:val="000000"/>
          <w:sz w:val="20"/>
          <w:lang w:val="en-US" w:eastAsia="en-US" w:bidi="ar-SA"/>
        </w:rPr>
        <w:t>Swartz Bros. Ltd. v. Wills</w:t>
      </w:r>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[1935] 3 D.L.R. 277</w:t>
        </w:r>
      </w:hyperlink>
      <w:r>
        <w:rPr>
          <w:rFonts w:ascii="arial" w:eastAsia="arial" w:hAnsi="arial" w:cs="arial"/>
          <w:color w:val="000000"/>
          <w:sz w:val="20"/>
          <w:lang w:val="en-US" w:eastAsia="en-US" w:bidi="ar-SA"/>
        </w:rPr>
        <w:t xml:space="preserve"> at 279, </w:t>
      </w:r>
      <w:hyperlink r:id="rId783" w:history="1">
        <w:r>
          <w:rPr>
            <w:rFonts w:ascii="arial" w:eastAsia="arial" w:hAnsi="arial" w:cs="arial"/>
            <w:i/>
            <w:color w:val="0077CC"/>
            <w:sz w:val="20"/>
            <w:u w:val="single"/>
            <w:shd w:val="clear" w:color="auto" w:fill="FFFFFF"/>
            <w:lang w:val="en-US" w:eastAsia="en-US" w:bidi="ar-SA"/>
          </w:rPr>
          <w:t>[1935] S.C.R. 628</w:t>
        </w:r>
      </w:hyperlink>
      <w:r>
        <w:rPr>
          <w:rFonts w:ascii="arial" w:eastAsia="arial" w:hAnsi="arial" w:cs="arial"/>
          <w:color w:val="000000"/>
          <w:sz w:val="20"/>
          <w:lang w:val="en-US" w:eastAsia="en-US" w:bidi="ar-SA"/>
        </w:rPr>
        <w:t xml:space="preserve"> at p. 632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"Distance must be translated into time in order to determine what are the rights of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having said that, I must add that in most automobile collision cases estimates of time, speed and distance do not lend themselves to exact mathematical analysis, because the estimates are by their very nature uncertain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s. 165 [now s. 175], dealing with rights-of-way of drivers proceeding along through streets, and stopped at stop signs on intersecting streets, is to be applied broadly from the point of view of the motorist sitting in the driver's seat, and not meticulously by a Judge with the benefit of afterthought. The situation confronting a motorist, even one waiting at a stop sign, is not a static, but a fluid one, calling for quick appreciation and judgment. A driver waiting at a stop sign ought not to enter a through street unless it is clear that oncoming traffic does not constitute an immediate hazard. Excessive refinement of what traffic is an immediate hazard will defeat the purpose of the right-of-way regulations contained in s. 165 [now s. 175], and make them an inadequate and confusing method of regulating traffic at intersections on through streets.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Therefore to the extent possible, courts must assess evidence of speed, distance and time to assess which vehicle had the right of way at the time the otherwise servient driver entered the intersection. However the law does not require that the measurement be overly precise. This is particularly the case given that a determination of whether the dominant driver was an immediate hazard is only one factor in assessing whether each driver met the requisite standard of care. This is discussed in more detail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Additional Obligations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dominant driver must use reasonable care in exercising his right of way. He must act to avoid a reasonably foreseeable collision: </w:t>
      </w:r>
      <w:r>
        <w:rPr>
          <w:rFonts w:ascii="arial" w:eastAsia="arial" w:hAnsi="arial" w:cs="arial"/>
          <w:i/>
          <w:color w:val="000000"/>
          <w:sz w:val="20"/>
          <w:lang w:val="en-US" w:eastAsia="en-US" w:bidi="ar-SA"/>
        </w:rPr>
        <w:t>Walker v. Brownlee and Harmon</w:t>
      </w:r>
      <w:r>
        <w:rPr>
          <w:rFonts w:ascii="arial" w:eastAsia="arial" w:hAnsi="arial" w:cs="arial"/>
          <w:color w:val="000000"/>
          <w:sz w:val="20"/>
          <w:lang w:val="en-US" w:eastAsia="en-US" w:bidi="ar-SA"/>
        </w:rPr>
        <w:t xml:space="preserve">, [1952] 2 S.C.R. iv (note), </w:t>
      </w:r>
      <w:hyperlink r:id="rId44"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at 460.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Walker,</w:t>
      </w:r>
      <w:r>
        <w:rPr>
          <w:rFonts w:ascii="arial" w:eastAsia="arial" w:hAnsi="arial" w:cs="arial"/>
          <w:color w:val="000000"/>
          <w:sz w:val="20"/>
          <w:lang w:val="en-US" w:eastAsia="en-US" w:bidi="ar-SA"/>
        </w:rPr>
        <w:t xml:space="preserve"> Cartwright J. went on to discuss, at 461, what the servient driver must prove in order to place any fault on the dominant driver: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w:t>
      </w:r>
      <w:r>
        <w:rPr>
          <w:rFonts w:ascii="arial" w:eastAsia="arial" w:hAnsi="arial" w:cs="arial"/>
          <w:b/>
          <w:color w:val="000000"/>
          <w:sz w:val="20"/>
          <w:lang w:val="en-US" w:eastAsia="en-US" w:bidi="ar-SA"/>
        </w:rPr>
        <w:t>B had in fact a sufficient opportunity to avoid the accident of which a reasonably careful and skilful driver would have availed himself;</w:t>
      </w:r>
      <w:r>
        <w:rPr>
          <w:rFonts w:ascii="arial" w:eastAsia="arial" w:hAnsi="arial" w:cs="arial"/>
          <w:color w:val="000000"/>
          <w:sz w:val="20"/>
          <w:lang w:val="en-US" w:eastAsia="en-US" w:bidi="ar-SA"/>
        </w:rPr>
        <w:t xml:space="preserve">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Therefore the dominant driver is at fault if he had a reasonable opportunity to avoid the accident but failed to do so. Note the standard is reasonableness; the dominant driver is not required to take extraordinary steps to avoid the collision: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at para. 25. Doubts are to be resolved in favour of the dominant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are guidelines for assessing fault in motor vehicle cases. In </w:t>
      </w:r>
      <w:r>
        <w:rPr>
          <w:rFonts w:ascii="arial" w:eastAsia="arial" w:hAnsi="arial" w:cs="arial"/>
          <w:i/>
          <w:color w:val="000000"/>
          <w:sz w:val="20"/>
          <w:lang w:val="en-US" w:eastAsia="en-US" w:bidi="ar-SA"/>
        </w:rPr>
        <w:t>Salaam</w:t>
      </w:r>
      <w:r>
        <w:rPr>
          <w:rFonts w:ascii="arial" w:eastAsia="arial" w:hAnsi="arial" w:cs="arial"/>
          <w:color w:val="000000"/>
          <w:sz w:val="20"/>
          <w:lang w:val="en-US" w:eastAsia="en-US" w:bidi="ar-SA"/>
        </w:rPr>
        <w:t xml:space="preserve"> at para. 21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In the end, a court must determine whether, and to what extent, each of the players in an accident met their common law duties of care to other users of the road. In making that determination, a court will be informed by the rules of the road, but those rules do not eliminate the need to consider the reasonableness of the actions of the parties. This is both because the rules of the road cannot comprehensively cover all possible scenarios, and because users of the road are expected to exercise reasonable care, even when others have failed to respect their right of way. While s. 175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and other rules of the road are important in determining whether the standard of care was met, they are not the exclusive measures of that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Court continued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words "immediate hazard" appear in both ss. 174 and 175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and are used to determine when a vehicle may lawfully enter an intersection. They determine who is the dominant driver, but do not, by themselves, define the standard of care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assessing the standard of care, drivers are generally entitled to assume that others will obey the rules of the road: </w:t>
      </w:r>
      <w:r>
        <w:rPr>
          <w:rFonts w:ascii="arial" w:eastAsia="arial" w:hAnsi="arial" w:cs="arial"/>
          <w:i/>
          <w:color w:val="000000"/>
          <w:sz w:val="20"/>
          <w:lang w:val="en-US" w:eastAsia="en-US" w:bidi="ar-SA"/>
        </w:rPr>
        <w:t>Salaam</w:t>
      </w:r>
      <w:r>
        <w:rPr>
          <w:rFonts w:ascii="arial" w:eastAsia="arial" w:hAnsi="arial" w:cs="arial"/>
          <w:color w:val="000000"/>
          <w:sz w:val="20"/>
          <w:lang w:val="en-US" w:eastAsia="en-US" w:bidi="ar-SA"/>
        </w:rPr>
        <w:t xml:space="preserve"> at para. 25; </w:t>
      </w:r>
      <w:r>
        <w:rPr>
          <w:rFonts w:ascii="arial" w:eastAsia="arial" w:hAnsi="arial" w:cs="arial"/>
          <w:i/>
          <w:color w:val="000000"/>
          <w:sz w:val="20"/>
          <w:lang w:val="en-US" w:eastAsia="en-US" w:bidi="ar-SA"/>
        </w:rPr>
        <w:t>Walker</w:t>
      </w:r>
      <w:r>
        <w:rPr>
          <w:rFonts w:ascii="arial" w:eastAsia="arial" w:hAnsi="arial" w:cs="arial"/>
          <w:color w:val="000000"/>
          <w:sz w:val="20"/>
          <w:lang w:val="en-US" w:eastAsia="en-US" w:bidi="ar-SA"/>
        </w:rPr>
        <w:t xml:space="preserve"> at 460-61.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Approaching a Flashing Green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Section 131(5) places a duty on a driver approaching a flashing green traffic signal to proceed with caution: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131 (5) When rapid intermittent flashes of green light are exhibited at an intersection or at a place other than an intersection by a traffic control signal,</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driver of a vehicle approaching the intersection or signal and facing the signal must cause it to approach the intersection or signal in such a manner that </w:t>
      </w:r>
      <w:r>
        <w:rPr>
          <w:rFonts w:ascii="arial" w:eastAsia="arial" w:hAnsi="arial" w:cs="arial"/>
          <w:b/>
          <w:color w:val="000000"/>
          <w:sz w:val="20"/>
          <w:lang w:val="en-US" w:eastAsia="en-US" w:bidi="ar-SA"/>
        </w:rPr>
        <w:t>he or she is able to cause the vehicle to stop before reaching the signal or any crosswalk in the vicinity of the signal if a stop should become necessary,</w:t>
      </w:r>
      <w:r>
        <w:rPr>
          <w:rFonts w:ascii="arial" w:eastAsia="arial" w:hAnsi="arial" w:cs="arial"/>
          <w:color w:val="000000"/>
          <w:sz w:val="20"/>
          <w:lang w:val="en-US" w:eastAsia="en-US" w:bidi="ar-SA"/>
        </w:rPr>
        <w:t xml:space="preserve"> and must yield the right of way to pedestrians lawfully in a crosswalk in the vicinity of the signal or in the intersection ...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Therefore the presence of a green flashing light at an intersection may affect the liability of the dominant driver involved in a collision: </w:t>
      </w:r>
      <w:r>
        <w:rPr>
          <w:rFonts w:ascii="arial" w:eastAsia="arial" w:hAnsi="arial" w:cs="arial"/>
          <w:i/>
          <w:color w:val="000000"/>
          <w:sz w:val="20"/>
          <w:lang w:val="en-US" w:eastAsia="en-US" w:bidi="ar-SA"/>
        </w:rPr>
        <w:t>Gautreau v. Hollige</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2000 BCCA 390</w:t>
        </w:r>
      </w:hyperlink>
      <w:r>
        <w:rPr>
          <w:rFonts w:ascii="arial" w:eastAsia="arial" w:hAnsi="arial" w:cs="arial"/>
          <w:color w:val="000000"/>
          <w:sz w:val="20"/>
          <w:lang w:val="en-US" w:eastAsia="en-US" w:bidi="ar-SA"/>
        </w:rPr>
        <w:t xml:space="preserve">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Speed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keeping with the legislation and the dominant driver's common law duty to take reasonable care, "[t]ravelling over the speed limit will only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the speed prevented the driver from taking reasonable measure[s] to avoid the collision": </w:t>
      </w:r>
      <w:r>
        <w:rPr>
          <w:rFonts w:ascii="arial" w:eastAsia="arial" w:hAnsi="arial" w:cs="arial"/>
          <w:i/>
          <w:color w:val="000000"/>
          <w:sz w:val="20"/>
          <w:lang w:val="en-US" w:eastAsia="en-US" w:bidi="ar-SA"/>
        </w:rPr>
        <w:t>Cooper v. Garrett</w:t>
      </w:r>
      <w:r>
        <w:rPr>
          <w:rFonts w:ascii="arial" w:eastAsia="arial" w:hAnsi="arial" w:cs="arial"/>
          <w:color w:val="000000"/>
          <w:sz w:val="20"/>
          <w:lang w:val="en-US" w:eastAsia="en-US" w:bidi="ar-SA"/>
        </w:rPr>
        <w:t xml:space="preserve">, </w:t>
      </w:r>
      <w:hyperlink r:id="rId785" w:history="1">
        <w:r>
          <w:rPr>
            <w:rFonts w:ascii="arial" w:eastAsia="arial" w:hAnsi="arial" w:cs="arial"/>
            <w:i/>
            <w:color w:val="0077CC"/>
            <w:sz w:val="20"/>
            <w:u w:val="single"/>
            <w:shd w:val="clear" w:color="auto" w:fill="FFFFFF"/>
            <w:lang w:val="en-US" w:eastAsia="en-US" w:bidi="ar-SA"/>
          </w:rPr>
          <w:t>2009 BCSC 35</w:t>
        </w:r>
      </w:hyperlink>
      <w:r>
        <w:rPr>
          <w:rFonts w:ascii="arial" w:eastAsia="arial" w:hAnsi="arial" w:cs="arial"/>
          <w:color w:val="000000"/>
          <w:sz w:val="20"/>
          <w:lang w:val="en-US" w:eastAsia="en-US" w:bidi="ar-SA"/>
        </w:rPr>
        <w:t xml:space="preserve"> at para. 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Apportionment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If I determine that both parties are at fault, s. 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requires that I apportion liability. It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(1) If by the fault of 2 or more persons damage or loss is caused to one or more of them, the liability to make good the damage or loss is in proportion to the degree to which each person was at fault.</w:t>
      </w:r>
    </w:p>
    <w:p>
      <w:pPr>
        <w:numPr>
          <w:numId w:val="4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if, having regard to all the circumstances of the case, it is not possible to establish different degrees of fault, the liability must be apportioned equally.</w:t>
      </w:r>
    </w:p>
    <w:p>
      <w:pPr>
        <w:numPr>
          <w:numId w:val="4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operates to make a person liable for damage or loss to which the person's fault has not contributed.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case law defining "fault" in this context was summarized by Madam Justice Fisher in </w:t>
      </w:r>
      <w:r>
        <w:rPr>
          <w:rFonts w:ascii="arial" w:eastAsia="arial" w:hAnsi="arial" w:cs="arial"/>
          <w:i/>
          <w:color w:val="000000"/>
          <w:sz w:val="20"/>
          <w:lang w:val="en-US" w:eastAsia="en-US" w:bidi="ar-SA"/>
        </w:rPr>
        <w:t>Nonis v. Granata,</w:t>
      </w:r>
      <w:r>
        <w:rPr>
          <w:rFonts w:ascii="arial" w:eastAsia="arial" w:hAnsi="arial" w:cs="arial"/>
          <w:color w:val="000000"/>
          <w:sz w:val="20"/>
          <w:lang w:val="en-US" w:eastAsia="en-US" w:bidi="ar-SA"/>
        </w:rPr>
        <w:t xml:space="preserve"> </w:t>
      </w:r>
      <w:hyperlink r:id="rId786" w:history="1">
        <w:r>
          <w:rPr>
            <w:rFonts w:ascii="arial" w:eastAsia="arial" w:hAnsi="arial" w:cs="arial"/>
            <w:i/>
            <w:color w:val="0077CC"/>
            <w:sz w:val="20"/>
            <w:u w:val="single"/>
            <w:shd w:val="clear" w:color="auto" w:fill="FFFFFF"/>
            <w:lang w:val="en-US" w:eastAsia="en-US" w:bidi="ar-SA"/>
          </w:rPr>
          <w:t>2010 BCSC 1570</w:t>
        </w:r>
      </w:hyperlink>
      <w:r>
        <w:rPr>
          <w:rFonts w:ascii="arial" w:eastAsia="arial" w:hAnsi="arial" w:cs="arial"/>
          <w:color w:val="000000"/>
          <w:sz w:val="20"/>
          <w:lang w:val="en-US" w:eastAsia="en-US" w:bidi="ar-SA"/>
        </w:rPr>
        <w:t xml:space="preserve"> at paras. 18-20: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In this context, "fault" means blameworthiness. As Ballance J. explained in [</w:t>
      </w:r>
      <w:r>
        <w:rPr>
          <w:rFonts w:ascii="arial" w:eastAsia="arial" w:hAnsi="arial" w:cs="arial"/>
          <w:i/>
          <w:color w:val="000000"/>
          <w:sz w:val="20"/>
          <w:lang w:val="en-US" w:eastAsia="en-US" w:bidi="ar-SA"/>
        </w:rPr>
        <w:t>Hynna v. Peck</w:t>
      </w:r>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2009 BCSC 1057</w:t>
        </w:r>
      </w:hyperlink>
      <w:r>
        <w:rPr>
          <w:rFonts w:ascii="arial" w:eastAsia="arial" w:hAnsi="arial" w:cs="arial"/>
          <w:color w:val="000000"/>
          <w:sz w:val="20"/>
          <w:lang w:val="en-US" w:eastAsia="en-US" w:bidi="ar-SA"/>
        </w:rPr>
        <w:t xml:space="preserve">] at para. 88, blameworthiness is the degree to which each party is at fault and not the degree to which each party's fault has caused the loss. In </w:t>
      </w:r>
      <w:r>
        <w:rPr>
          <w:rFonts w:ascii="arial" w:eastAsia="arial" w:hAnsi="arial" w:cs="arial"/>
          <w:i/>
          <w:color w:val="000000"/>
          <w:sz w:val="20"/>
          <w:lang w:val="en-US" w:eastAsia="en-US" w:bidi="ar-SA"/>
        </w:rPr>
        <w:t>Alberta Wheat Pool v. Northwest Pile Driving Ltd.</w:t>
      </w:r>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2000 BCCA 505</w:t>
        </w:r>
      </w:hyperlink>
      <w:r>
        <w:rPr>
          <w:rFonts w:ascii="arial" w:eastAsia="arial" w:hAnsi="arial" w:cs="arial"/>
          <w:color w:val="000000"/>
          <w:sz w:val="20"/>
          <w:lang w:val="en-US" w:eastAsia="en-US" w:bidi="ar-SA"/>
        </w:rPr>
        <w:t>, the court stated at para. 46: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Fault or blameworthiness evaluates the parties' conduct in the circumstances, and the extent or degree to which it may be said to depart from the standard of reasonable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In assessing the relative degrees of fault, a number of factors may be considered. These factors were summarized by Groves J. in </w:t>
      </w:r>
      <w:r>
        <w:rPr>
          <w:rFonts w:ascii="arial" w:eastAsia="arial" w:hAnsi="arial" w:cs="arial"/>
          <w:i/>
          <w:color w:val="000000"/>
          <w:sz w:val="20"/>
          <w:lang w:val="en-US" w:eastAsia="en-US" w:bidi="ar-SA"/>
        </w:rPr>
        <w:t>Aberdeen v. Langley (Township)</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2007 BCSC 993</w:t>
        </w:r>
      </w:hyperlink>
      <w:r>
        <w:rPr>
          <w:rFonts w:ascii="arial" w:eastAsia="arial" w:hAnsi="arial" w:cs="arial"/>
          <w:color w:val="000000"/>
          <w:sz w:val="20"/>
          <w:lang w:val="en-US" w:eastAsia="en-US" w:bidi="ar-SA"/>
        </w:rPr>
        <w:t xml:space="preserve"> at paras. 62-63, citing </w:t>
      </w:r>
      <w:r>
        <w:rPr>
          <w:rFonts w:ascii="arial" w:eastAsia="arial" w:hAnsi="arial" w:cs="arial"/>
          <w:i/>
          <w:color w:val="000000"/>
          <w:sz w:val="20"/>
          <w:lang w:val="en-US" w:eastAsia="en-US" w:bidi="ar-SA"/>
        </w:rPr>
        <w:t>Heller v. Martens</w:t>
      </w:r>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2002 ABCA 122</w:t>
        </w:r>
      </w:hyperlink>
      <w:r>
        <w:rPr>
          <w:rFonts w:ascii="arial" w:eastAsia="arial" w:hAnsi="arial" w:cs="arial"/>
          <w:color w:val="000000"/>
          <w:sz w:val="20"/>
          <w:lang w:val="en-US" w:eastAsia="en-US" w:bidi="ar-SA"/>
        </w:rPr>
        <w:t xml:space="preserve"> at para. 34 and David Cheifetz, </w:t>
      </w:r>
      <w:r>
        <w:rPr>
          <w:rFonts w:ascii="arial" w:eastAsia="arial" w:hAnsi="arial" w:cs="arial"/>
          <w:i/>
          <w:color w:val="000000"/>
          <w:sz w:val="20"/>
          <w:lang w:val="en-US" w:eastAsia="en-US" w:bidi="ar-SA"/>
        </w:rPr>
        <w:t>Apportionment of Fault in Tort</w:t>
      </w:r>
      <w:r>
        <w:rPr>
          <w:rFonts w:ascii="arial" w:eastAsia="arial" w:hAnsi="arial" w:cs="arial"/>
          <w:color w:val="000000"/>
          <w:sz w:val="20"/>
          <w:lang w:val="en-US" w:eastAsia="en-US" w:bidi="ar-SA"/>
        </w:rPr>
        <w:t xml:space="preserve"> (Aurora, Ont.: Canada Law Book, 1981), at 102-104:</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duty owed by the tortfeasor to the injured person.</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number of acts of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committed by a person at fault.</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timing of the various negligent acts. For example, the party who first commits a negligent act will usually be more at fault than the party whose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comes as a result of the initial fault.</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conduct held to amount to fault. For example, indifference to the results of the conduct may be more blameworthy. ... Similarly, a deliberate departure from safety rules may be more blameworthy than an imperfect reaction to a crisis.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conduct breaches statutory requirements. For example, in a motor vehicle collision, the driver of the vehicle with the right of way may be less blameworthy.</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gravity of the risk created.</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opportunity to avoid or prevent the accident or the damage.</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conduct in question was deliberate, or unusual or unexpected.</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knowledge one person had or should have had of the conduct of another person at fault.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In most motor vehicle cases, the driver in the servient position will bear a greater degree of responsibility: see </w:t>
      </w:r>
      <w:r>
        <w:rPr>
          <w:rFonts w:ascii="arial" w:eastAsia="arial" w:hAnsi="arial" w:cs="arial"/>
          <w:i/>
          <w:color w:val="000000"/>
          <w:sz w:val="20"/>
          <w:lang w:val="en-US" w:eastAsia="en-US" w:bidi="ar-SA"/>
        </w:rPr>
        <w:t>Gautreau</w:t>
      </w:r>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r>
        <w:rPr>
          <w:rFonts w:ascii="arial" w:eastAsia="arial" w:hAnsi="arial" w:cs="arial"/>
          <w:sz w:val="20"/>
          <w:lang w:val="en-US" w:eastAsia="en-US" w:bidi="ar-SA"/>
        </w:rPr>
        <w:cr/>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Who was the dominant driver at the time of the Accident?</w:t>
      </w:r>
    </w:p>
    <w:p>
      <w:pPr>
        <w:numPr>
          <w:numId w:val="4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BMW an immediate hazard when the Volvo entered the intersection such that the Mr. Knight should not have entered the intersection?</w:t>
      </w:r>
    </w:p>
    <w:p>
      <w:pPr>
        <w:numPr>
          <w:numId w:val="44"/>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How fast were the Volvo and BMW travelling at the time of impact?</w:t>
      </w:r>
    </w:p>
    <w:p>
      <w:pPr>
        <w:numPr>
          <w:numId w:val="45"/>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How fast was the BMW travelling before Mr. Li saw the Volvo?</w:t>
      </w:r>
    </w:p>
    <w:p>
      <w:pPr>
        <w:numPr>
          <w:numId w:val="46"/>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How far from the intersection was the BMW when the Volvo entered it?</w:t>
      </w:r>
    </w:p>
    <w:p>
      <w:pPr>
        <w:numPr>
          <w:numId w:val="4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dominant driver act reasonably in the circumstances?</w:t>
      </w:r>
    </w:p>
    <w:p>
      <w:pPr>
        <w:numPr>
          <w:numId w:val="4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both drivers were at fault, how should liability be apportioned?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APPLICATION OF THE LAW TO THE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1. Who was the Dominant Driver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Mr. Knight was the servient driver when he was on Angus Drive at 41st Avenue. Pursuant to ss. 175 and 186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because he faced a stop sign, it was his responsibility to yield the right of way to any traffic on 41st Avenue and to proceed to cross the intersection only if the intersection was clear and there was no immediate hazard. In addition, the common law placed an obligation on him to ensure that it was reasonably safe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Mr. Knight asks that I find that he became the dominant driver by operation of s. 175(2)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Mr. Knight is the plaintiff in this action. He has the onus of proving his case. As the servient driver he has the onus of proving that it was clearly safe for him to enter into the intersection and in doing so he breached no duties to Mr. Li. He also has the onus of establishing that he gained the right of way over Mr. Li and thereby became the dominant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order to show that he was entitled to cross the intersection, Mr. Knight must show that the BMW was not an immediate hazard at the moment he drove into the intersection. To show that it is necessary for him to show, and for me to conclude, that Mr. Li was not put in a position where he had to make a sudden or violent manoeuvre to avoid the threat of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To reach this conclusion, I must determine how fast both the Volvo and the BMW were travelling at the relevant time, where the BMW was on 41st Avenue relative to the intersection with Angus Drive when Mr. Knight entered the intersection and how much time Mr. Li had to react to the situation as it unfolded.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only eye witness who testified was Mr. Li who acknowledged that he saw Mr. Knight's Volvo only when it was already in the intersection, at about the 11 o'clock position in his range of 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Resolution of these liability issues turns, therefore, principally on the engineering evidence. Mr. Gough testified on behalf of Mr. Knight. Mr. Leggett provided expert evidence for the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Gough's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During the trial the defendants objected to the admissibility of the expert report prepared by Mr. Gough on behalf of the plaintiff. They submitted that the report was unreliable and given the extent to which its conclusions depended on unproven assumptions of fact about the behaviour of the drivers, did not meet the necessity test for admission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ruled the report admissible, since without it I considered that it would be impossible to assess the relative speeds and locations of the two vehicles and thus assess fault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final argument, the defendants submitted that Mr. Gough's evidence was of very limited utility. They said it was one-sided and biased. Mr. Gough, they submitted, had demonstrated that he was simply an advocate for the plaintiff and had not discharged his duty to assist the Court by providing impartial and objective evidence on material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find that Mr. Gough gave his oral evidence objectively. He readily agreed to propositions put to him in cross-examination. I have no doubt that he fulfilled his obligations as an expert in giving his oral evidence. I also reach the same conclusion insofar as Mr. Gough's report considered the speeds of the vehicles involved in the collision at the moment of impact. I do, however, have reservations about other aspects of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Gough stated that the scope of his analysis was to determine the speeds of the two vehicles prior to impact. If his analysis revealed that the BMW was travelling in excess of the speed limit, he was to assess the effect of speed on Mr. Li's ability to avoid the collision. But Mr. Gough did not undertake that latter task in a proper manner. His analysis and the conclusions he reached were critically shaped by assumptions he was instructed to make, but which were not explicitly and clearly stated in the report. In particular, he assumed that Mr. Knight stopped at the stop sign or at the curb of 41st Avenue. If Mr. Knight did not stop, then Mr. Gough's analysis of the time available for Mr. Li to avoid the Accident is materially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accept that a careful reading of the report would reveal that the analysis is based on certain assumptions about Mr. Knight's driving and that the conclusion he reaches about Mr. Li's apparent perception-reaction time being so much greater than the average driver depends critically on those assumptions. But in my view it should not be necessary to have to tease out the implications of such limiting assumptions or for a trier of fact to depend on skilful cross-examination to draw out and make clear how limiting assumptions affect the opinions proffered.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Our new Supreme Court Civil Rules codify the obligations of experts testifying in our Court. In my view, they restate obligations our law has long recognised. The Civil Rules require a clear statement of the facts and assumptions on which a report is based. It was incumbent on Mr. Gough to state clearly the assumptions on which his report was based. He did not do so. He did not provide me with an opinion of the effect of Mr. Li's excessive speed on his ability to avoid the collision as he claimed. He gave me an opinion of Mr. Li's ability to avoid the collision if certain assumptions favourable to Mr. Knight were made. He said nothing about being instructed to make those assumptions and nothing about the effect on Mr. Li's ability to avoid the Accident if those assumptions did not 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must be remembered that Mr. Gough's report is his evidence. In my view, the report as written did not comply with the requirements in the Civil Rules to state the facts and assumptions on which it is based. There is nothing improper in an expert accepting assumptions of fact that affect the opinions the expert provides, but they must be clearly stated. If they are not, there is a real risk that the trier of fact could be misled. In this case it required cross-examination to demonstrate the implications of the assumptions for the conclusions reached about Mr. Li's ability to avoid the Accident. In my view, in this case, given the opinion being offered, the report should have clarified the effect of the assumptions about Mr. Knight's driving on the conclusions about Mr. Li's ability to avoid the Accident. By failing to do so, this aspect of the report descended into little more than a piece of advocacy.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 Was the BMW an Immediate Hazard when the Volvo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To assess who the dominant driver was at the relevant time, I must determine whether the BMW was an immediate hazard when the Volvo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Knight has no memory of the Accident. He did not testify. Mr. Li did not see the Volvo until it was moving in the intersection. There is no evidence about how Mr. Knight entered the intersection with 41st Avenue. There is no way to know if Mr. Knight stopped at the stop sign or in advance of the stop sign before entering 41st Avenue at a point that would have given him a view of oncoming traffic on 41st Avenue. Equally, it cannot be known if he simply drove straight through the stop sign or whether he slowed, rolled into the intersection and then accelerated across 41st Avenue. The accident reconstruction evidence does not support any inferences about whether Mr. Knight did or did not stop or what his speed may have been when he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There is also no eye witness evidence estimating how far the BMW was from the intersection when the Volvo arrived there. Mr. Li did not give an estimate, not having seen the Volvo until it had already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This gap in the evidence is important for the following reason: whether the BMW was an immediate hazard is a function both of its distance from the intersection with Angus Drive when the Volvo arrived there and the speed of the BMW as it approached the intersection. As I have said, in the absence of reliable eye witness evidence, the only way to attempt to find the necessary facts is to rely on the accident reconstruction evidence. It is clear from Mr. Gough's report that the position of the BMW when the Volvo entered the intersection requires a calculation depending on two input variables. The calculation involves multiplying the number of seconds the Volvo took to travel through the intersection to the point of impact by the speed of the BMW in metres per second.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submitted that the location of the BMW could be determined without considering whether the Volvo stopped or not. I reject that submission. Mr. Gough is correct that the location of the BMW at the moment the Volvo entered the intersection is calculated in part by how long it took the Volvo to travel from that point to the point of impact. In turn, the amount of time the Volvo was in the intersection before impact is affected by whether it stopped or not. If it did not stop, the time spent travelling across the intersection is reduced, thereby reducing the distance of the BMW from the intersection at any given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second variable determining the location of the BMW at the moment the Volvo entered the intersection is the speed of the BMW as it approached the intersection. Clearly, the faster the BMW was going, the further it was away from the intersection; the slower, the nearer to it.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 How fast were the Volvo and BMW travelling at the time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There are two classes of evidence bearing on the question of how fast Mr. Li was driving the BMW. First, Mr. Li has estimated his speed variously at somewhere between 60 and 70 km/h or more specifically 65 km/h. He also described his perception of seeing the Volvo, the time that elapsed from his perception of the risk to the Accident itself and his behaviour in the collision, namely, braking and steering.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Secondly, the engineers have attempted to reconstruct the Accident using input data gathered principally by the police. For practical purposes it is common ground that at the point of collision there is a 95% probability that the BMW was travelling at between 64 and 75 km/h and the Volvo was travelling between 23 and 34 km/h. These speeds were calculated using the principles of conservation of energy and momentum. In brief form, Mr. Gough examined the "crush" damage to both vehicles, their paths of travel from impact to resting point and made a variety of assumptions about co-efficient of friction and the absence of post-impact braking from which he then calculated the speeds of the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Mr. Gough's opinion states a fairly wide range of probable speeds for the two vehicles. It is not clear to me from the evidence that the analysis produces conclusions of probable speed for each vehicle which are independent of the other or whether the conclusions are interdependent. In other words, if the Volvo was travelling at 34 km/h does the probability increase that the BMW was travelling at the lower end of the estimated range and </w:t>
      </w:r>
      <w:r>
        <w:rPr>
          <w:rFonts w:ascii="arial" w:eastAsia="arial" w:hAnsi="arial" w:cs="arial"/>
          <w:i/>
          <w:color w:val="000000"/>
          <w:sz w:val="20"/>
          <w:lang w:val="en-US" w:eastAsia="en-US" w:bidi="ar-SA"/>
        </w:rPr>
        <w:t>vice versa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Gough's analysis of the probable speed ranges of the two vehicles was not challenged by Mr. Leggett on the instructions of counsel. Nonetheless, it is necessary to repeat that the calculated speeds of the vehicles depend on assumptions. Certain of those assumptions were conservative and likely underestimate the speed of the BMW at impact. Others, such as the co-efficient of friction at various points in the travel of the vehicle may lead to an overestimate of its speed. In my view, the sophistication of complex mathematical calculations can be beguiling and it is wise to maintain a healthy scepticism about the reliability of any conclusions derived from assumptions that may well not accord with the facts of a particular incident, especially where both experts have had to rely on sparse first hand data derived from the Accident scene. Estimates are inherently uncertain. Having said this, I accept the estimates offered by Mr. Gough of the speed ranges of the two vehicles at the point of impact as the best estimates available.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 How fast was the BMW travelling before Mr. Li saw the Volvo?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speed of the BMW at impact does not determine its speed as it approached the intersection. This is so because the BMW may have slowed down in reaction to Mr. Li appreciating the risk of a collision. Most likely any slowing down was caused by Mr. Li braking prior to impact. In Mr. Gough's opinion, Mr. Li probably did so. On the basis of photographs of tire marks on the road before the collision he estimates that Mr. Li's pre-braking speed was 74-85 km/h. That speed estimate depends on the assumption that Mr. Li began to brake at the point where the first tire mark begins. If he began to brake before laying down a tire mark, the pre-braking speed would rise, perhaps to in excess of 110 km/h depending on how long Mr. Li braked before his tires left a mark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Gough expressed the opinion that the tire marks shown in the photographs were typical of those created as the result of the operation of the automatic braking system (ABS) with which the BMW was equipped. In his opinion they were not characteristic of "yaw" skid marks caused by the skidding of the tires as the BMW was steered to the right in an effort to avoid the collision. He supported his conclusion that Mr. Li did brake before impact by referring to Mr. Li's statements that he hit the brakes and a study that found that under certain test conditions, 99% of drivers reacted to the threat of an imminent collision by braking at some point during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Whether or not Mr. Li braked is critical to estimating his speed as he approached the intersection before he recognised the imminent risk of a collision and reacted to it. For the reasons already stated this is an issue along the path to deciding where the BMW was when the Volvo entered the intersection and whether at that place and speed it constituted an immediate hazard to Mr. Knight.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Leggett's opinion contradicts Mr. Gough's on this primary question. In Mr. Leggett's opinion the tire marks are "classic" yaw marks (i.e. caused by skidding induced by steering to avoid the Accident). Their character is inconsistent with the operation of the ABS. Therefore the physical evidence is not probative of any braking. No inference can be drawn from the marks themselves that any braking occurred. The marks do not rule out the possibility that there was some braking. The only proper inference is that if there was some braking, it had not engaged the ABS to leave those tire 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Leggett was not prepared to rely on Mr. Li's statement to conclude that he had braked. He said that traumatic accidents like this occur so fast that the human mind can barely assimilate the events. Witness recollections tend to be unreliable. He gave the example of a driver saying that he only saw a pedestrian when the pedestrian hit the front of his car, even though there were thirty feet of brake marks leading up to the point of contact. As a result, he thought that as an engineer it fell within his expertise only to rely on objective data from which an analysis could be conducted and not reach conclusions on unreliable subjective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Although he accepted that one study did produce the result that at some time during an imminent collision 99% of drivers braked, something less than 50% will steer first then brake and an equal number will brake then steer.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Resolving the question whether Mr. Li did apply his brakes before the impact is a difficult question. First, in my opinion, Mr. Li's recollection that he braked may be probative of the fact that he did brake, but not of the question whether the tire marks on the road are evidence that the ABS was engaged. That conclusion turns on the question whether the marks are characteristic ABS marks or not. As observed, the experts offer conflicting opinions on this question. Mr. Gough says the marks are typical ABS brake marks and uncharacteristic of yaw marks. Mr. Leggett says precisely the opposite.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Gough says that the photographs show five tire marks left by the BMW that begin on the white paint on the stop line at the west side of the intersection on 41st Avenue. The stop line is for vehicles stopping to allow pedestrians to cross the street. He says that the marks are discontinuous and that this is typical of ABS brake marks, resulting from the pulsing of the ABS as it maintains the vehicle at the threshold of braking while allowing the vehicle to be steered. The first tire marks are narrow and from the driver-side tires as a result of the greatest loading being on their outside leading edge. In his view, if the marks had been left by only aggressive steering, there would likely be continuous marks from more than one tire not discontinuous marks. In his view the angle of steering alone would not create enough sideways force to leave a mark. In cross-examination he agreed that he was not certain that the marks were ABS marks and they could be tire yaw, though if they were he would expect the marks to be continuous.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Leggett says that ABS marks are typically continuous and leave highly characteristic marks as the ABS pulses at a very high frequency. ABS brake marks display alternating darker and lighter shading every couple of inches as the brake pulses on and off. That kind of shading is absent in the photographs of the marks. Mr. Leggett enlarged the photographs to enhance the view of them. On his interpretation, the marks were scallop-like in shape, typical of yaw marks at an early stage in a steering manoeuvre before there is sufficient friction to leave a broader mark. Mr. Leggett examined the enlarged photographs of the first five tire marks. In his opinion, those photographs showed the presence of tire marks in only three of the five photographs, namely those of marks on the white lines. The two photographs on asphalt within the intersection did not, he thought, show tire marks, although I note that the police log does identify them as photographs of tire marks. Mr. Leggett said that he would expect to see the tire marks on the white lines before they were evident on the asphalt because they show up more clearly on the paint. As noted above, Mr. Leggett said that the type of marks ruled out the possibility that they had been left by the operation of the ABS. They did not rule out the possibility that the steering manoeuvre that had left them was associated with braking but the markings themselves were not evidence that there had been braking.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Both Mr. Gough and Mr. Leggett are experts in the field. It is surprising that radically conflicting views of the characteristics of yaw or ABS marks would be offered. Mr. Gough was not asked specifically whether he accepted that scallop-like marks are characteristic of yaw or whether typical ABS brake marks alternate every couple of inches between lighter and darker shading. He did not base his opinion of the shapes within the marks themselves, though he did refer to their width.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Leggett's opinion about the appearance of ABS brake marks was not directly challenged in cross-examination. His opinion on alternating shading and the scallop-like shape of the marks was not challenged. Mr. Gough did not give evidence in reply to contradict those opinions. Mr. Leggett said that the literature, which he had with him in the courtroom, was clear in supporting his opinion on these matters. I was not shown that literature, but Mr. Leggett's statement was not challenged.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the question whether the tire marks were ABS brake marks I prefer the evidence of Mr. Leggett to that of Mr. Gough. The detailed basis of his opinion was not effectively challenged. Mr. Leggett took the trouble to enlarge the photographs to view the marks more clearly and thereby more securely derive conclusions from them. If there were a basis to challenge the foundation of Mr. Leggett's opinion, I would have expected Mr. Leggett to have been challenged.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This conclusion does not, however, answer the question whether Mr. Li did apply his brakes as he said he did. Although I am aware that a witness' recollection of what he did in an event that occurred in a very short time is often not reliable, Mr. Li has consistently maintained that he braked. When that evidence is assessed in light of the study that found that 99% of drivers braked at some point in reaction to an imminent collision, I find it more likely than not that at some point between recognising the risk of collision and the Accident occurring Mr. Li applied his brakes, but prior to impact did not engage the ABS.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effect of this finding is that on the engineering evidence, Mr. Li was travelling faster before he reacted to the threat of collision than at the point of impact. The question is, how much faster?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Li says he was travelling about 65 km/h. He had checked his speed by looking at his speedometer shortly after turning onto 41st Avenue from Arbutus Street several blocks before the Accident scene. At other times he estimated his speed at between 60 and 70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have no doubt that Mr. Li gave an honest estimate of his speed, but it must be remembered that he was an inexperienced driver driving unsupervised for the first or second time. The BMW is powerful and quiet. Accurately estimating speed requires experienced judgment. It is likely that if the BMW's speed crept up as he drove Mr. Li would not appreciate the extent to which it had done so. But equally I would expect that if the car accelerated by 20 or 30 km/h, he would have been aware that he was driving significantly faster than when he had previously checked his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engineering evidence also does not provide unequivocal assistance to estimate the speed of the BMW. If there were some braking of uncertain force for an uncertain time, the increase in pre-braking speed could be up to the additional 10 km/h suggested by Mr. Gough as the adjustment he made for ABS braking or possibly more if Mr. Li began to brake before the first tire mark left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impact speed range calculated by Mr. Gough produces a range of possible speeds for the BMW and assigns a probability to each particular speed within the range. The range is calculated with a 95% probability, i.e. it is 95% probable that Mr. Li was travelling at between 64 to 75 km/h, although depending on how uncertainties are handled the absolute range consistent with the calculations is 57.8 to 80.95 km/h. Unsurprisingly, the median speed is approximately 70 km/h and the highest probability speeds cluster around a 68-72 km/h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Taking into account all of the above, I consider it unlikely that Mr. Li's pre-braking speed was as low as 65 km/h but equally unlikely it was as high as 80 km/h. Mr. Li would have recognised that he had accelerated if he was driving that quickly. Making some allowance for the effect of braking on his speed and for the estimate of Mr. Leggett that Mr. Li had begun to manoeuvre his car some distance before laying down the first tire mark, it is probable that Mr. Li was driving at about 75 km/h before he braked and I so find.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iii. How far from the Intersection was the BMW when the Volvo entered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next step in determining whether Mr. Li was an immediate hazard to Mr. Knight is to determine how far the BMW was from the intersection when the Volvo entered it. I repeat that the behaviour of the Volvo is one variable involved in the analysis but the facts about its behaviour are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Calculating the distance of the BMW from the intersection is approximated by calculating how far it was from the point of impact when the Volvo entered the intersection. The calculation requires an analysis of how far the BMW travelled from the moment the Volvo entered the intersection. This is a function of the time the Volvo was in the intersection as it travelled to the point of impact and the speed of the BMW. For current purposes and ease of analysis I assume the BMW travelled at a constant speed to the point of impact. It is necessary to make an adjustment to reflect the fact that the point of impact was some seven metres within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Gough estimated at page 7 of his report that if the Volvo entered the intersection from a stop at the north curb edge of 41st Avenue, it would take it between 3.8 and 5.7 seconds to reach the point of impact. If the BMW was travelling at 75 km/h, it would therefore have been between 80 and 118 metres from the point of impact when the Volvo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Gough also estimated at page 9 of his report that if the Volvo started from a stop at the stop sign (at which point the view west along 41st Avenue is obscured by the hedge) and accelerated to the point of impact it would take the Volvo between 2.7 and 4.1 seconds to reach the point of impact from the time it entered the intersection itself. Travelling at 75 km/h, the BMW would have been between 56 and 85 metres from the point of impact when the Volvo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This calculation is close to one of Mr. Leggett's calculations. He estimated that if Mr. Knight slowed to 5 km/h at the stop sign and began to accelerate, then it would take the Volvo between 2.8 to 4.1 seconds to reach the point of impact from the point at which it was discernible as a hazard to the BMW (a point I take to be close to the curb edge). On these assumptions, the BMW would have been between 56 and 85 metres from the point of impact when the Volvo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Finally, Mr. Leggett estimated that if the Volvo did not slow down at all before entering the intersection, it would have been discernible as a hazard (again I take it that it became discernible close to the curb edge) for between 1.9 to 2.9 seconds. At a speed of 75 km/h, the BMW would have been between approximately 40 and 60 metres from the point of impact when the Volvo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Each of these estimates of distance must be adjusted by about 7 metres to allow for the difference between the point of impact and the beginning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Taking all this into account and making allowance for the uncertainties of estimates, I find that the BMW was no more than 80 to 90 metres from the point of impact if the Volvo started from a stop at the curb edge or 55 to 65 metres if the Volvo did not stop at the curb edge but slowed down before entering the intersection. On a balance of probabilities, I find that the BMW was likely 60-70 metres from the point of impact when Mr. Knight entered the intersection. In other words, the BMW was likely 53 to 63 metres from the beginning of the intersection.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 on the BMW as an Imminent Hazard to the Volvo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my view, it is clear as a matter of common sense that, where the servient driver must cross a street as wide as 41st Avenue, even if a car is no more than 80 to 90 metres from a potential collision within the intersection it is an immediate hazard. A car which is as close as about 60 metres is even more so. I find that, based on my assessment of the probable distance of the BMW from the intersection, it was an immediate hazard when the Volvo entered it. The driver of the BMW was placed in a position where he would be required to take a sudden action to avoid the threat of a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Knight ought not to have entered the intersection unless it was clearly safe to do so. It is not appropriate for the court to approach this issue with excessive refinement. It must do so broadly from the point of view of the drivers. On that basis, as the BMW was an immediate hazard to the Volvo, the Volvo ought not to have entered the intersection. Mr. Knight has not established he had the right of way. Assessing whether a vehicle is an immediate hazard is not a matter of fine calculation. The benefit of any doubt should go to the otherwise dominant driver, in this case, Mr. 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am reinforced in my view that the BMW was an immediate hazard by a consideration of the time available to Mr. Li to react to the threat of a collision without being required to make some sudden or violent manoeuvre to avoid it. It must be remembered that again estimates are inherently uncertain. The analysis should not be approached by way of fine mathematical calculation. Having said that, Mr. Knight was required to assess the effect of his entering the intersection on Mr. Li's driving options. If he, Mr. Knight, entered the intersection, would he force Mr. Li to make a sudden manoeuvre to avoid the risk of a collision? In making this assessment some allowance must be made for the time that it reasonably would take for the driver of the BMW to perceive that the Volvo was a potential hazard. Although, Mr. Li was approaching an intersection with a flashing green light and he ought to have been paying attention to the possibility that a pedestrian would activate the light, he cannot be faulted if it took him some short time before he could be expected to perceive the risk posed by the encroaching Volvo.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Allowance must be made for Mr. Li's perception-reaction time. As defined by Mr. Gough, this is the time that elapses from when a risk becomes discernible to reacting to it. I was told that the average day time perception-reaction time, based on one study, is 1.5 seconds, but the standard deviation is from 0.7 to 2.3 seconds. In other words, any time within that range is a normal perception-reaction time. Mr. Knight was not entitled to act as if Mr. Li had an average perception-reaction time. Drivers cannot be expected to know the statistical averages of perception-reaction times, but they can be expected to know that it takes time to perceive and react to events and that the time it takes drivers to do so varies considerably. In my opinion, a reasonable driver would assess whether it was safe to cross the intersection making due allowance for the variability in an oncoming driver's reaction time while leaving a safe distance between the two passing vehicles. In this case, I find that, if Mr. Knight saw the BMW as it approached the intersection, he did not allow a sufficient opportunity for Mr. Li to perceive and react to the situation he created by crossing 41st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Thirdly, there is some evidence from which a rough estimate can be made of how much time elapsed in Mr. Li actually reacting to the threat of collision. In an estimate, which I accept, Mr. Leggett calculated that Mr. Li was steering to avoid the collision for between 0.9 and 1.2 seconds before impact. This time needs to be deducted from the time available to Mr. Li to discern the hazard and react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Even if the BMW were 85 metres from the point of impact, allowing for the time actually reacting to the threat, Mr. Li only had a total of about three seconds to discern the risk and react to it. In my view, given the speed that I have found Mr. Li was driving, that was insufficient time for the Volvo safely to enter the intersection without requiring the BMW to undertake a sudden or violent manoeuvre to avoid the threat of the collision. If the BMW was closer to the point of impact, as I have found it was, the time available to Mr. Li was correspondingly less. Even if the BMW had been travelling at 60 km/h, Mr. Li would have had only an additional second if he were 85 metres from the point of impact and less if he were closer. The BMW would still have been an immediate hazard. In my view, there was not sufficient time available to Mr. Li to avoid the threat of collision without being required to take some sudden or violent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my view, a driver in the position of Mr. Knight had an obligation to assess whether it was safe for him to enter the intersection. Mr. Li's BMW was there to be seen. Mr. Knight had to draw forward to a point where his view along 41st Avenue was sufficiently unobstructed that he could assess whether the BMW was an immediate hazard. Given the obstruction posed by the hedge, that required him to draw forward to close to the curb edge. Only then could he see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Knight was required to stop before entering the intersection. There is no evidence that he did so. In my view, given that he was the servient driver, I should not speculate that he did stop. To assess whether it was safe to enter and cross the intersection, Mr. Knight needed to decide, as I have said, that he could safely cross in front of the BMW without requiring it to take a sudden or violent step to avoid the risk of a collision. Mr. Knight was familiar with the route. A driver familiar with driving in Vancouver and with that route would know that typically drivers on main streets will drive some 10-15 km/h faster than the speed limit as the evidence disclosed is common. A driver would know that there was a reasonable likelihood that the BMW was exceeding the 50 km/h speed limit, especially on a wide street, in dry conditions with light traffic. Although there are occasions when it may be appropriate for a driver to assume that others will strictly obey the rules of the road, it is not open to a driver to disregard the actual conditions he or she confronts. It should have been apparent to a driver in Mr. Knight's position that Mr. Li was driving somewhat in excess of the speed limit, even if he could not have been expected to make a finely calibrated estimate of his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find that the BMW was an immediate hazard when Mr. Knight entered the intersection. There was insufficient time for Mr. Knight to clear the intersection without creating the risk of a collision if the BMW was between 55 and 65 or 80 and 90 metres from the point of impact when Mr. Knight entered it. There was certainly insufficient time to clear the intersection if the BMW were 60-70 metres from the point of impact. As a result, it is not necessary for me to base my finding that the BMW was an immediate hazard on a finding that Mr. Knight did not stop at the curb side, which was practically the only safe point for him to stop. Whether he stopped or not, the BMW was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If my conclusion that the BMW was an immediate hazard turned on whether Mr. Knight stopped, I would be obliged to conclude that, having failed to prove that he did stop, Mr. Li as the dominant driver at the moment the Volvo entered the intersection is entitled to the benefit of the doubt. In other words, I would be required to make my findings on the assumption that the Volvo did not stop. The consequence of that finding would be that the BMW was likely well within 60 metres of the intersection when Mr. Knight entered it and Mr. Li would have had correspondingly less time to avoid the threat of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 on the Dominant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my view, Mr. Li was the dominant driver at the time of the Accident. Mr. Knight remained the servient driver throughout. Mr. Knight's breach of the standard of care caused or contributed to the Accident. Without his breach the Accident would not have happened. Indeed, on the evidence, had Mr. Knight kept a proper look out he could easily have stopped his car before the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2. Did the Dominant Driver act reasonably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Having found that the Accident would not have happened but for Mr. Knight's breach of the standard of care, I must turn to consider whether Mr. Li also breached the standard of care and, if he did so, whether that breach caused or contributed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As I have previously observed, driving in excess of the speed limit is not necessarily a breach of the standard of care. The question is what speed is safe in the circumstances. Here, Mr. Li was driving on a wide street in dry, light traffic conditions. He was approaching a flashing green light which requires a driver to use caution in the event that a pedestrian might activate it. I have found that he was driving at about 75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my view, Mr. Li was driving too fast for the conditions whether or not he also faced a flashing green light. Given the presence of the flashing light he was certainly driving too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It is common ground that the Volvo would have cleared the path of the BMW if another 0.4 to 0.6 of a second passed before the BMW reached the point where the impact occurred. Had Mr. Li driven 85 metres at 60 km/h it would have taken another second to reach the point of impact and the collision would not have occurred. If he drove 60 metres at that speed he would have taken an additional 0.7 seconds to reach that point. The margins are fine, but the collision probably would not have happened without any evasive action being taken by him. Certainly, if he had driven those distances at 50 km/h, the Volvo would have passed the point of impact with a margin of something in the order of a couple of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Had Mr. Li been driving at 50 or even 60 km/h, not only would the Accident not have occurred, but he would have had more time to react to avoid the Accident by steering or braking. I find that by driving at an excessive and unsafe speed Mr Li deprived himself of a sufficient opportunity to avoid the Accident which a reasonably careful and skilful driver would have taken. The Accident would not have happened but for Mr. Li's breach of the standard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3. How should Liability be Apportioned?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Having concluded that the breach of the standard of care by both drivers caused or contributed to the Accident, both are at fault. I turn, therefore, to apportion liability which is a matter of assessing fault, not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my view, Mr. Knight is primarily at fault for the Accident. He was the servient driver. As noted in the cases, where an accident occurs partially because of the fault of the servient driver, that driver will typically bear the majority of the fault. That principle applies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As the expert evidence demonstrated, Mr. Knight was intoxicated at the time of the Accident. In other words, he was in a severe state of impairment. His blood alcohol reading was 176 to 183 mg%. Impairment slows reaction times and impairs vision, typically inducing a tunnel vision in which an impaired individual focuses on one thing to the exclusion of others. It also hampers control and coordination and undermines the ability to make correct and appropriate decisions. An impaired driver's judgment is likely to be compromised. Mr. Knight had a blood alcohol reading that suggests he was severely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Of course, not all impaired drivers are involved in accidents; the evidence suggests that most are not. Mr. Knight submits that his impairment was not a contributing cause of the Accident. He says that his fault lies in not keeping a proper look out as he crossed the intersection. The suggestion is that his impairment has not been demonstrated to have caused or contributed to that admitted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reject this submission. In my view, there is little doubt that Mr. Knight's ability to drive safely was compromised by his impairment. I have found that he entered the intersection when he should not have. He also failed to see Mr. Li's vehicle as he ought to have. Had he seen the BMW as he was driving in the intersection he could, as the evidence established, readily have braked, stopped and avoided the collision. In my view, the overwhelming probability is that his impairment contributed to both these failures. Likely, he did not see the BMW at all; if he did his capacity to assess the safety of entering the intersection was undermined. There is no evidence that he saw the approaching vehicle except for Mr. Li's observation that he thought that the Volvo tried to accelerate out of the path of the oncoming BMW. If Mr. Li was in any position to make a reliable observation on this matter, at best it demonstrates that Mr. Knight saw the BMW far too late and later than he 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also do not place any weight on the argument that I should infer that Mr. Knight was capable of and did drive carefully on his way home from Grouse Mountain that evening. The suggestion that was made was that Mr. Knight had successfully negotiated a complex route home and had driven without incident through downtown traffic. In fact nothing is known about how Mr. Knight drove home that night. While he may not have been involved in other accidents, it is pure speculation to conclude that he drove well and safely rather than that he was lucky not to have had an earlier accident. What is relevant here is whether his impairment caused or contributed to this particular accident. I find that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Both the fact that Mr. Knight was the servient driver and that he was driving impaired support my conclusion that Mr. Knight is primarily at fault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Li was the dominant driver. He had no reason to expect that a driver at Angus Drive would create the risk of a collision. He was nonetheless driving too quickly in the conditions and given his experience. Moreover, he was approaching an intersection controlled by a pedestrian-activated flashing green light. His responsibility was to be able to stop if the light was activated. Although he testified that he did not see a pedestrian at the cross-walk, in my view he did not approach the intersection with sufficient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Taking all of these factors into account, I find Mr. Knight 75% and Mr. Li 25% at fault for the Accident. Counsel may make any submissions on costs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D.C. HARRIS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3"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88"/>
          <w:headerReference w:type="default" r:id="rId789"/>
          <w:footerReference w:type="even" r:id="rId790"/>
          <w:footerReference w:type="default" r:id="rId791"/>
          <w:headerReference w:type="first" r:id="rId792"/>
          <w:footerReference w:type="first" r:id="rId79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94" w:history="1">
        <w:r>
          <w:rPr>
            <w:rFonts w:ascii="arial" w:eastAsia="arial" w:hAnsi="arial" w:cs="arial"/>
            <w:b/>
            <w:bCs/>
            <w:i/>
            <w:color w:val="0077CC"/>
            <w:kern w:val="32"/>
            <w:sz w:val="28"/>
            <w:szCs w:val="32"/>
            <w:u w:val="single"/>
            <w:shd w:val="clear" w:color="auto" w:fill="FFFFFF"/>
            <w:lang w:val="en-US" w:eastAsia="en-US" w:bidi="ar-SA"/>
          </w:rPr>
          <w:t>Link v. Insurance Corp. of British Columbia, [2014] B.C.J. No. 2357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K.W. Ball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8,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19,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S151849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2357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1765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2777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245 A.C.W.S. (3d) 237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41 C.C.L.I. (5th) 47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Peter Aaron Link, Plaintiff, and Insurance Corporation of British Columbia and John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4"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8" w:name="Keywords_31"/>
      <w:bookmarkEnd w:id="228"/>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Causation — Causal connection — Dangerous things and situations — Snow — Motor vehicles — Rules of the road — Application by plaintiff for summary judgment against unidentified driver allowed — Plaintiff was involved in single vehicle accident after windshield of his vehicle was blanketed with snow by passing vehicle — Unidentified driver was in breach of standard of care by passing at high speed and abruptly returning to slow lane in poor weather and road conditions — Unsafe pass precipitated chain of events that culminated in plaintiff's accident — No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proven.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Rules of the road — Meeting, overtaking and passing — Application by plaintiff for summary judgment against unidentified driver allowed — Plaintiff was involved in single vehicle accident after windshield of his vehicle was blanketed with snow by passing vehicle — Unidentified driver was in breach of standard of care by passing at high speed and abruptly returning to slow lane in poor weather and road conditions — Unsafe pass precipitated chain of events that culminated in plaintiff's accident — No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proven.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9" w:name="Case Summary_30"/>
            <w:bookmarkEnd w:id="22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for summary judgment against an unidentified driver. The plaintiff was involved in a single vehicle accident after the front windshield of his vehicle was blanketed with snow by a passing sport utility vehicle. At the time of the accident, there were two to three inches of snow on the ground and it was snowing heavily. The highway had not been ploughed. The plaintiff was driving between 40 and 60 km per hour in the slow lane. The unidentified driver passed the plaintiff at a high speed and then cut in front of the plaintiff. As a result of the snow spray on the windshield, the plaintiff instinctively touched his brakes and his vehicle went into a spin on the highway, colliding into metal posts.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0" w:name="Holdings of Court_30"/>
            <w:bookmarkEnd w:id="230"/>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unidentified driver, as the driver of an overtaking vehicle, owed a duty of care to the plaintiff. The unidentified driver, given the weather and road conditions, should have appreciated the likelihood that passing at high speed and returning to the slow lane immediately in front of the plaintiff's vehicle would result in a significant amount of snow being thrown onto the plaintiff's vehicle causing a total loss of visibility. The risk could have been avoided by the unidentified driver passing at a lower rate of speed and not returning to the slow lane abruptly. The unidentified driver was in breach of the standard of care. The unsafe pass precipitated the chain of events that culminated in the plaintiff's accident. The unidentified driver caused the accident.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proven.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1" w:name="Legislation Cited_22"/>
      <w:bookmarkEnd w:id="23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5"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795" w:history="1">
        <w:r>
          <w:rPr>
            <w:rFonts w:ascii="arial" w:eastAsia="arial" w:hAnsi="arial" w:cs="arial"/>
            <w:i/>
            <w:color w:val="0077CC"/>
            <w:sz w:val="20"/>
            <w:u w:val="single"/>
            <w:shd w:val="clear" w:color="auto" w:fill="FFFFFF"/>
            <w:lang w:val="en-US" w:eastAsia="en-US" w:bidi="ar-SA"/>
          </w:rPr>
          <w:t>RSBC 1996, CHAPTER 318, s. 157</w:t>
        </w:r>
      </w:hyperlink>
      <w:r>
        <w:rPr>
          <w:rFonts w:ascii="arial" w:eastAsia="arial" w:hAnsi="arial" w:cs="arial"/>
          <w:color w:val="000000"/>
          <w:sz w:val="20"/>
          <w:lang w:val="en-US" w:eastAsia="en-US" w:bidi="ar-SA"/>
        </w:rPr>
        <w:t>, s. 158, s. 159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2" w:name="Counsel_32"/>
      <w:bookmarkEnd w:id="23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6" style="position:absolute;z-index:251794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R. Davidson.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A. Watchorn.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3" w:name="Judgment_32"/>
      <w:bookmarkEnd w:id="233"/>
      <w:r>
        <w:pict>
          <v:line id="_x0000_s1187" style="position:absolute;z-index:2518446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4" w:name="K.W. BALL J."/>
            <w:bookmarkEnd w:id="234"/>
            <w:r>
              <w:rPr>
                <w:rFonts w:ascii="arial" w:eastAsia="arial" w:hAnsi="arial" w:cs="arial"/>
                <w:b/>
                <w:color w:val="000000"/>
                <w:sz w:val="30"/>
                <w:lang w:val="en-US" w:eastAsia="en-US" w:bidi="ar-SA"/>
              </w:rPr>
              <w:t>K.W. BALL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this case, the parties agreed to sever liability from damages for the purposes of this summary judgment application. The determination of liability is the sole issue before the Court. The plaintiff, Mr. Link, was involved in a single vehicle accident after the front windshield of his vehicle (the "Link Vehicle") was blanketed with snow by a passing sport utility vehicle (the "SUV"). The issue in this case is whether the actions of the driver of the (unidentified) SUV constituted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Link was a designated driver for his passenger, a female friend, driving her vehicle home from an evening at a local casino in Richmond. When they entered the casino in the early evening, there was no snow on the ground. When they exited the casino later that night, there was at least two or three inches of snow on the ground and it was snowing heavily.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They began their drive home to White Rock. The drive across Richmond was without incident. They continued south on Highway 99, reaching a point between the Highway 10 exit and before the Highway 91 exit. The highway surface was covered with snow which had not been ploughed. Mr. Link was driving at approximately 40 to 60 km per hour in the slow or curb lane and was following a set of tire tracks. He could see vehicles on the highway ahead in the distance travelling single file in the same tracks.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that point, Mr. Link observed an SUV approaching from the rear. The SUV changed from the slow lane occupied by the Link Vehicle into the passing lane, driving at a high speed past the Link Vehicle. According to the affidavit of Mr. Link, the SUV passed the Link Vehicle and cut back in front of the Link Vehicle, and in the process delivered a significant "rooster tail of snow" onto the Link Vehicle's windshield, "making it impossible to see". To that point in time the windshield wipers on the Link Vehicle were keeping barely ahead of the snow. They were unable, however, to cope with the blanket of snow dumped by the passing SUV. As a result, Mr. Link instinctively tapped his brake pedal and the vehicle went into a spin on the highway, until it collided with the safety devices made out of cables and posts designed to catch vehicles and prevent them from crossing the highway median.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Link described the event on discovery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could see it in my rear-view mirror ... eventually was roaring up right behind me and flew by me, you know, in the left-side and roared right by me in some sort of SUV truck, and a big rooster tail of snow completely covered the windshield, I couldn't see a thing, and I remember just tapping the brakes a little bit because I couldn't see, and the car spun out and hit these metal posts with wires in between, and I mean, it just happened so fast."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Mr. Link, in written statements, stated that the SUV had moved abruptly back into the slow lane after passing him, and it was during that action that the blanket of snow was thrown onto the Link Vehicle's windshield. Counsel for ICBC submitted that I should disregard those written statements as they were inconsistent with what Mr. Link said in his examination for discovery. It is difficult to make credibility findings based on written material filed in a summary judgment application. If such a finding was an important consideration to the decision being made, it would be preferable for the Court to refuse the summary judgment application and require a trial with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where credibility issues can be properly canvassed. Having reviewed the examination for discovery transcript, the issue does not arise as Mr. Link was never asked about where the SUV went after passing the Link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appreciate that counsel were in agreement that this issue should be decided prior to a trial scheduled for January 2015 and in order to avoid a potentially unnecessary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Sections 157-159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establish a statutory duty of care on the driver of a vehicle overtaking another vehicle. These provisions provide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157 (1) Except as provided in section 158, the driver of a vehicle overtaking another vehicle</w:t>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cause the vehicle to pass to the left of the other vehicle at a safe distance, and</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cause or permit the vehicle to return to the right side of the highway until safely clear of the overtaken vehicle.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when overtaking and passing on the right is permitted, a driver of an overtaken vehicle,</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hearing an audible signal given by the driver of the overtaking vehicle, must cause the vehicle to give way to the right in favour of the overtaking vehicle, and</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increase the speed of the vehicle until completely passed by the overtaking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158 (1) The driver of a vehicle must not cause or permit the vehicle to overtake and pass on the right of another vehicle, except</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vehicle overtaken is making a left turn or its driver has signalled his or her intention to make a left turn,</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on a laned roadway there is one or more than one unobstructed lane on the side of the roadway on which the driver is permitted to drive, or</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a one way street or a highway on which traffic is restricted to one direction of movement, where the roadway is free from obstructions and is of sufficient width for 2 or more lanes of moving vehicles.</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 driver of a vehicle must not cause the vehicle to overtake and pass another vehicle on the right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movement cannot be made safely, or</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driving the vehicle off the roadway.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159 A driver of a vehicle must not drive to the left side of the roadway in overtaking and passing another vehicle unless the driver can do so in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Counsel have referred me to </w:t>
      </w:r>
      <w:r>
        <w:rPr>
          <w:rFonts w:ascii="arial" w:eastAsia="arial" w:hAnsi="arial" w:cs="arial"/>
          <w:i/>
          <w:color w:val="000000"/>
          <w:sz w:val="20"/>
          <w:lang w:val="en-US" w:eastAsia="en-US" w:bidi="ar-SA"/>
        </w:rPr>
        <w:t>Crocker v. Sundance Northwest Resorts Ltd.</w:t>
      </w:r>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[1988] 1 S.C.R. 1186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Tower v. Tower</w:t>
      </w:r>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2010 NBCA 64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[1999] B.C.J. No. 510</w:t>
        </w:r>
      </w:hyperlink>
      <w:r>
        <w:rPr>
          <w:rFonts w:ascii="arial" w:eastAsia="arial" w:hAnsi="arial" w:cs="arial"/>
          <w:color w:val="000000"/>
          <w:sz w:val="20"/>
          <w:lang w:val="en-US" w:eastAsia="en-US" w:bidi="ar-SA"/>
        </w:rPr>
        <w:t xml:space="preserve">. Another case, not cited by counsel, which has been drawn to my attention is </w:t>
      </w:r>
      <w:r>
        <w:rPr>
          <w:rFonts w:ascii="arial" w:eastAsia="arial" w:hAnsi="arial" w:cs="arial"/>
          <w:i/>
          <w:color w:val="000000"/>
          <w:sz w:val="20"/>
          <w:lang w:val="en-US" w:eastAsia="en-US" w:bidi="ar-SA"/>
        </w:rPr>
        <w:t>Lang v. Insurance Corporation of British Columbia</w:t>
      </w:r>
      <w:r>
        <w:rPr>
          <w:rFonts w:ascii="arial" w:eastAsia="arial" w:hAnsi="arial" w:cs="arial"/>
          <w:color w:val="000000"/>
          <w:sz w:val="20"/>
          <w:lang w:val="en-US" w:eastAsia="en-US" w:bidi="ar-SA"/>
        </w:rPr>
        <w:t xml:space="preserve"> (1994), 51 A.C.W.S. (3d) 756.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facts in </w:t>
      </w:r>
      <w:r>
        <w:rPr>
          <w:rFonts w:ascii="arial" w:eastAsia="arial" w:hAnsi="arial" w:cs="arial"/>
          <w:i/>
          <w:color w:val="000000"/>
          <w:sz w:val="20"/>
          <w:lang w:val="en-US" w:eastAsia="en-US" w:bidi="ar-SA"/>
        </w:rPr>
        <w:t>Rowe</w:t>
      </w:r>
      <w:r>
        <w:rPr>
          <w:rFonts w:ascii="arial" w:eastAsia="arial" w:hAnsi="arial" w:cs="arial"/>
          <w:color w:val="000000"/>
          <w:sz w:val="20"/>
          <w:lang w:val="en-US" w:eastAsia="en-US" w:bidi="ar-SA"/>
        </w:rPr>
        <w:t xml:space="preserve"> were as follows. Mr. Rowe was driving in the fast lane heading westbound on Highway 1 south of Ashcroft, BC. The defendant's tractor, which was hauling two trailers, was in the slow lane ahead of Mr. Rowe's car. Mr. Rowe heard a noise sounding like an explosion or "something like a shotgun going off", which was later determined to have been caused by a blowout from an inside tire on one of the trailers. The noise startled Mr. Rowe who slowed his car, but the car in front of him had decelerated suddenly as a result of the same noise. Mr. Rowe slammed on his brakes and turned hard to the right to avoid colliding with the rear of the car in front of him. As a result his car went into a ditch on the north side of the highway and overturned.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Rowe alleged that tire maintenance on the tractor trailer tires had not been conducted properly. Madam Justice Fitzpatrick concluded that the defendants failed to property inspect the tire and remove it from service, thereby creating a risk of harm to all persons using the highway in the defendant's vicinity, including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It was argued by the defendants, however, that their failure to properly inspect in no way connected the blown tire with the plaintiff ending up in the ditch. Kirkpatrick J. followed the Supreme Court of Canada's analysis in </w:t>
      </w:r>
      <w:r>
        <w:rPr>
          <w:rFonts w:ascii="arial" w:eastAsia="arial" w:hAnsi="arial" w:cs="arial"/>
          <w:i/>
          <w:color w:val="000000"/>
          <w:sz w:val="20"/>
          <w:lang w:val="en-US" w:eastAsia="en-US" w:bidi="ar-SA"/>
        </w:rPr>
        <w:t>Crocker</w:t>
      </w:r>
      <w:r>
        <w:rPr>
          <w:rFonts w:ascii="arial" w:eastAsia="arial" w:hAnsi="arial" w:cs="arial"/>
          <w:color w:val="000000"/>
          <w:sz w:val="20"/>
          <w:lang w:val="en-US" w:eastAsia="en-US" w:bidi="ar-SA"/>
        </w:rPr>
        <w:t xml:space="preserve">, finding, at para. 22 of her reasons, that in order to decide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Court must determine:</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 owed a duty of care to the plaintiff;</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duty existed, what standard of care was required and was the standard met;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failure to meet the standard of care cause the harm suffered;</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plaintiff voluntarily accept the risk; and</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plaintiff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Kirkpatrick J. found that the defendants owed a duty of care to the plaintiff; that they failed to meet the standard of care by failing to undertake proper inspection of the tire which would have revealed the defect; and that the plaintiff had not accepted any risk in relation to the tire. The real issues in the case were whether the defendant's failure to meet the standard of care caused the harm suffered and whether the plaintiff was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Kirkpatrick J., at para. 24, concluded that the plaintiff's attention to the road had been distracted by the explosion of the tire, and that in all likelihood the deceleration of the car in front of him was "precipitated either by the same explosive sound heard by Rowe or by a piece of rubber thrown up from the delaminated tire". She held that the tire blowout had caused the accident, as it set off a "chain of events which culminated in Rowe's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Kirkpatrick J. further held, at para. 25, that this was an unexpected emergency of a kind described in </w:t>
      </w:r>
      <w:r>
        <w:rPr>
          <w:rFonts w:ascii="arial" w:eastAsia="arial" w:hAnsi="arial" w:cs="arial"/>
          <w:i/>
          <w:color w:val="000000"/>
          <w:sz w:val="20"/>
          <w:lang w:val="en-US" w:eastAsia="en-US" w:bidi="ar-SA"/>
        </w:rPr>
        <w:t>Jantz v. Mulvahill</w:t>
      </w:r>
      <w:r>
        <w:rPr>
          <w:rFonts w:ascii="arial" w:eastAsia="arial" w:hAnsi="arial" w:cs="arial"/>
          <w:color w:val="000000"/>
          <w:sz w:val="20"/>
          <w:lang w:val="en-US" w:eastAsia="en-US" w:bidi="ar-SA"/>
        </w:rPr>
        <w:t xml:space="preserve"> </w:t>
      </w:r>
      <w:hyperlink r:id="rId799" w:history="1">
        <w:r>
          <w:rPr>
            <w:rFonts w:ascii="arial" w:eastAsia="arial" w:hAnsi="arial" w:cs="arial"/>
            <w:i/>
            <w:color w:val="0077CC"/>
            <w:sz w:val="20"/>
            <w:u w:val="single"/>
            <w:shd w:val="clear" w:color="auto" w:fill="FFFFFF"/>
            <w:lang w:val="en-US" w:eastAsia="en-US" w:bidi="ar-SA"/>
          </w:rPr>
          <w:t>1992, 11 B.C.A.C. 127</w:t>
        </w:r>
      </w:hyperlink>
      <w:r>
        <w:rPr>
          <w:rFonts w:ascii="arial" w:eastAsia="arial" w:hAnsi="arial" w:cs="arial"/>
          <w:color w:val="000000"/>
          <w:sz w:val="20"/>
          <w:lang w:val="en-US" w:eastAsia="en-US" w:bidi="ar-SA"/>
        </w:rPr>
        <w:t xml:space="preserve">. She also found that the plaintiff did not commit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result, the defendant was held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Lang</w:t>
      </w:r>
      <w:r>
        <w:rPr>
          <w:rFonts w:ascii="arial" w:eastAsia="arial" w:hAnsi="arial" w:cs="arial"/>
          <w:color w:val="000000"/>
          <w:sz w:val="20"/>
          <w:lang w:val="en-US" w:eastAsia="en-US" w:bidi="ar-SA"/>
        </w:rPr>
        <w:t xml:space="preserve">, an overtaking vehicle splashed water onto a motorcycle leading the motorcyclist to lose visibility and control of his motorcycle. Mr. Justice Hood found that the spraying of a large volume of water was unanticipated and a surprise to both drivers and, in the circumstances, the defendant owed no duty to the plaintiff travelling in the slow lane. Notably, Hood J. did not consider the provisions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imposing a statutory duty of care on overtaking vehicles to pass in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To determine whether the driver of the SUV was negligent, the Court must follow the analysis outlined in </w:t>
      </w:r>
      <w:r>
        <w:rPr>
          <w:rFonts w:ascii="arial" w:eastAsia="arial" w:hAnsi="arial" w:cs="arial"/>
          <w:i/>
          <w:color w:val="000000"/>
          <w:sz w:val="20"/>
          <w:lang w:val="en-US" w:eastAsia="en-US" w:bidi="ar-SA"/>
        </w:rPr>
        <w:t>Crocker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Rowe</w:t>
      </w:r>
      <w:r>
        <w:rPr>
          <w:rFonts w:ascii="arial" w:eastAsia="arial" w:hAnsi="arial" w:cs="arial"/>
          <w:color w:val="000000"/>
          <w:sz w:val="20"/>
          <w:lang w:val="en-US" w:eastAsia="en-US" w:bidi="ar-SA"/>
        </w:rPr>
        <w:t xml:space="preserve">. The driver of the SUV, as the driver of a vehicle overtaking another vehicle on the highway, owed a duty of care to the plaintiff. That duty is statutorily mandated in ss. 157-159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Those sections also outline the required standard of care. Section 157 requires that the driver of an overtaking vehicle may only pass another vehicle on the left side "at a safe distance and must not cause or permit the vehicle to return to the right side of the highway until safely clear of the overtaken vehicle". Section 159 states that "a driver of a vehicle must not drive to the left side of roadway when overtaking and passing another vehicle unless the driver can do so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the case at bar, the highway was blanketed with a large amount of snow that was clearly visible for all drivers to see, which made driving a treacherous task. Despite the poor road and weather conditions, the driver of the SUV blew by Mr. Link at a high speed in the left lane. Unlike the situation in </w:t>
      </w:r>
      <w:r>
        <w:rPr>
          <w:rFonts w:ascii="arial" w:eastAsia="arial" w:hAnsi="arial" w:cs="arial"/>
          <w:i/>
          <w:color w:val="000000"/>
          <w:sz w:val="20"/>
          <w:lang w:val="en-US" w:eastAsia="en-US" w:bidi="ar-SA"/>
        </w:rPr>
        <w:t>Lang</w:t>
      </w:r>
      <w:r>
        <w:rPr>
          <w:rFonts w:ascii="arial" w:eastAsia="arial" w:hAnsi="arial" w:cs="arial"/>
          <w:color w:val="000000"/>
          <w:sz w:val="20"/>
          <w:lang w:val="en-US" w:eastAsia="en-US" w:bidi="ar-SA"/>
        </w:rPr>
        <w:t>, where Hood J. found that the spray was unanticipated and a surprise to the overtaking driver, the driver of the SUV, given the conditions, would have - or should have - appreciated the likelihood that the act of passing at high speed and returning to the slow lane immediately in front of the overtaken vehicle would result in a significant amount of snow being thrown onto the overtaken vehicle causing a total loss of visibility. This risk could have been avoided by the driver of the SUV by passing at a lower rate of speed and not returning to the slow lane abruptly.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There is, in my view, a very heavy onus on the driver of an overtaking vehicle to make sure that passing can be done in safety; particularly in poor road and weather conditions. The driver of the SUV in this case did not respect the circumstances that the standard of care dictated. That driver was in clear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Mr. Link did not voluntarily accept the risk that another driver on the highway would fail to pass him in safety. As for causation, I am satisfied that, as in </w:t>
      </w:r>
      <w:r>
        <w:rPr>
          <w:rFonts w:ascii="arial" w:eastAsia="arial" w:hAnsi="arial" w:cs="arial"/>
          <w:i/>
          <w:color w:val="000000"/>
          <w:sz w:val="20"/>
          <w:lang w:val="en-US" w:eastAsia="en-US" w:bidi="ar-SA"/>
        </w:rPr>
        <w:t>Rowe</w:t>
      </w:r>
      <w:r>
        <w:rPr>
          <w:rFonts w:ascii="arial" w:eastAsia="arial" w:hAnsi="arial" w:cs="arial"/>
          <w:color w:val="000000"/>
          <w:sz w:val="20"/>
          <w:lang w:val="en-US" w:eastAsia="en-US" w:bidi="ar-SA"/>
        </w:rPr>
        <w:t>, the unsafe pass "precipitated a chain of events" which culminated in Mr. Link's accident. The driver of the SUV "roared right by" Mr. Link and "a big rooster tail of snow completed covered [the] windshield". This caused Mr. Link to lose complete visibility, and he tapped his brakes because he could not see. The Link Vehicle then spun out and hit the median. I find, in the circumstances, that the driver of the SUV caused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proven by the defendant. Mr. Link was in a smaller vehicle competing with bad weather and snow conditions. I find that Mr. Link was driving in a safe manner at low speed consistent with the difficult conditions. I also find that Mr. Link's actions in tapping his brakes was a reasonable reaction to losing total forward visibility.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result I am satisfied that Mr. Link has proven on a balance of probabilities that the driver of the SUV was negligent in all of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Costs of this application are awarded to the plaintiff on Appendix "B",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K.W. BALL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8"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00"/>
          <w:headerReference w:type="default" r:id="rId801"/>
          <w:footerReference w:type="even" r:id="rId802"/>
          <w:footerReference w:type="default" r:id="rId803"/>
          <w:headerReference w:type="first" r:id="rId804"/>
          <w:footerReference w:type="first" r:id="rId80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06" w:history="1">
        <w:r>
          <w:rPr>
            <w:rFonts w:ascii="arial" w:eastAsia="arial" w:hAnsi="arial" w:cs="arial"/>
            <w:b/>
            <w:bCs/>
            <w:i/>
            <w:color w:val="0077CC"/>
            <w:kern w:val="32"/>
            <w:sz w:val="28"/>
            <w:szCs w:val="32"/>
            <w:u w:val="single"/>
            <w:shd w:val="clear" w:color="auto" w:fill="FFFFFF"/>
            <w:lang w:val="en-US" w:eastAsia="en-US" w:bidi="ar-SA"/>
          </w:rPr>
          <w:t>MacEachern (Committee of) v. Rennie, [2009] B.C.J. No. 867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 Ehrcke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April 17,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M072923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867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2009 BCSC 585</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Christina Marie MacEachern, by her committee, William James MacEachern, Plaintiff, and John Gardner Rennie, Canadian National Transportation Limited, also doing business as Canadian Nat'l Trans Ltd., Canadian National Railway Company, All Weather Products Ltd., Richard Allan Duncan and John Doe, Defendants, and John Gardner Rennie, Canadian National Transportation Limited, also doing business as Canadian Nat'l Trans Ltd., Canadian National Railway Company, All Weather Products Ltd., and Richard Allan Duncan,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9"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5" w:name="Keywords_32"/>
      <w:bookmarkEnd w:id="235"/>
      <w:r>
        <w:rPr>
          <w:rFonts w:ascii="arial" w:eastAsia="arial" w:hAnsi="arial" w:cs="arial"/>
          <w:b/>
          <w:color w:val="000000"/>
          <w:sz w:val="20"/>
          <w:lang w:val="en-US" w:eastAsia="en-US" w:bidi="ar-SA"/>
        </w:rPr>
        <w:t xml:space="preserve">Civil litigation — Civil evidence — Opinion evidence — Expert evidence — Criteria for admissibility — Qualification as an expert — What constitutes special knowledge and experience — Application by the plaintiff to qualify a professional driving instructor as an expert witness in her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action, allowed — Plaintiff was injured by a tractor-trailer — Proposed witness had extensive experience driving large commercial vehicles — He had the necessary qualifications and his evidence was necessary.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6" w:name="Case Summary_31"/>
            <w:bookmarkEnd w:id="23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MacEachern for an order to have a professional driving instructor named Eckert qualified as an expert witness. While walking or riding her bicycle along the side of a highway MacEachern was severely injured when her head struck the side of a large tractor-trailer owned by the CN defendants and driven by the defendant Rennie. Eckert had extensive experience driving large commercial vehicles. MacEachern sought to have him give opinion evidence in three areas. The first was the standard of care applicable to the professional driver of a commercial tractor-trailer in the circumstances of this case. The second was whether Rennie's conduct fell below the standard of care. The third was evidence regarding the characteristics of large tractor-trailers. The defendants objected to Eckert being qualified to give opinion evidence because his testimony was unnecessary.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7" w:name="Holdings of Court_31"/>
            <w:bookmarkEnd w:id="237"/>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proposed evidence was relevant and was not subject to any exclusionary rule. Due to Eckert's training and experience he was properly qualified to give opinion evidence in the areas where his testimony was sought. His evidence was necessary. Regarding excluding the evidence because it went to the ultimate issue to be decided, there was no longer a rule of general application that otherwise admissible opinion evidence had to be excluded if it touched on the ultimate issue. The degree to which an opinion related to the ultimate issue was rather a consideration in determining whether the proposed evidence was necessary and relevant. Expert evidence on the standard of care was admissible in cases where the subject matter was beyond the common understanding of the judge or jury. Few individuals had experience in driving large commercial tractor-trailers. Most people would not know their handling characteristics were, what their visibility was from the perspective of the driver or what the common driving practices of professional drivers of such rigs were. The existence of statutory standards, such as those set out in the Motor Vehicle Act, were not a complete answer to the question of determining the applicable standard of care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The weight to be attached to the expert evidence would be determined at the end of the trial.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8" w:name="Legislation Cited_23"/>
      <w:bookmarkEnd w:id="23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0"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298" w:history="1">
        <w:r>
          <w:rPr>
            <w:rFonts w:ascii="arial" w:eastAsia="arial" w:hAnsi="arial" w:cs="arial"/>
            <w:i/>
            <w:color w:val="0077CC"/>
            <w:sz w:val="20"/>
            <w:u w:val="single"/>
            <w:shd w:val="clear" w:color="auto" w:fill="FFFFFF"/>
            <w:lang w:val="en-US" w:eastAsia="en-US" w:bidi="ar-SA"/>
          </w:rPr>
          <w:t>RSBC 1996, CHAPTER 318, s. 144</w:t>
        </w:r>
      </w:hyperlink>
      <w:r>
        <w:rPr>
          <w:rFonts w:ascii="arial" w:eastAsia="arial" w:hAnsi="arial" w:cs="arial"/>
          <w:color w:val="000000"/>
          <w:sz w:val="20"/>
          <w:lang w:val="en-US" w:eastAsia="en-US" w:bidi="ar-SA"/>
        </w:rPr>
        <w:t>, s. 144(1)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9" w:name="Counsel_33"/>
      <w:bookmarkEnd w:id="23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1" style="position:absolute;z-index:251795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R.B. Webster, Q.C., B. Webster-Evans, D. Corrin.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 Rennie, Canadian National Transportation: E.A. Dolden, K.S. Duffield.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All Weather Products: R. McLennan, J.A. Dowler.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R.A. Duncan: C. Hickey, J. Kandola.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0" w:name="Judgment_33"/>
      <w:bookmarkEnd w:id="240"/>
      <w:r>
        <w:pict>
          <v:line id="_x0000_s1192" style="position:absolute;z-index:2518456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Ruling</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1" w:name="W. EHRCKE J. (orally)"/>
            <w:bookmarkEnd w:id="241"/>
            <w:r>
              <w:rPr>
                <w:rFonts w:ascii="arial" w:eastAsia="arial" w:hAnsi="arial" w:cs="arial"/>
                <w:b/>
                <w:color w:val="000000"/>
                <w:sz w:val="30"/>
                <w:lang w:val="en-US" w:eastAsia="en-US" w:bidi="ar-SA"/>
              </w:rPr>
              <w:t>W. EHRCKE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While walking or riding her bicycle along the side of King George Highway the plaintiff was severely injured when her head struck the side of a large tractor-trailer owned by the CN defendants and driven by the defendant John Rennie. Those defendants deny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seeks to have Randy Eckert, a professional driving instructor with extensive experience driving large commercial vehicles, including tractor-trailers similar to the one involved in this accident, qualified as an expert witness to give opinion evidence in three areas: (1) the standard of care applicable to a professional driver of a commercial tractor-trailer in the circumstances of this case; (2) whether the defendant Rennie's conduct fell below that standard of care; and (3) evidence regarding the characteristics of large tractor-trailers.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Rennie and the CN defendants object to Mr. Eckert being qualified to give opinion evidence on the basis that it is unnecessary. They refer to the decision of the Supreme Court of Canada in</w:t>
      </w:r>
      <w:r>
        <w:rPr>
          <w:rFonts w:ascii="arial" w:eastAsia="arial" w:hAnsi="arial" w:cs="arial"/>
          <w:b/>
          <w:i/>
          <w:color w:val="000000"/>
          <w:sz w:val="20"/>
          <w:lang w:val="en-US" w:eastAsia="en-US" w:bidi="ar-SA"/>
        </w:rPr>
        <w:t xml:space="preserve"> R v. Mohan</w:t>
      </w:r>
      <w:r>
        <w:rPr>
          <w:rFonts w:ascii="arial" w:eastAsia="arial" w:hAnsi="arial" w:cs="arial"/>
          <w:color w:val="000000"/>
          <w:sz w:val="20"/>
          <w:lang w:val="en-US" w:eastAsia="en-US" w:bidi="ar-SA"/>
        </w:rPr>
        <w:t xml:space="preserve">, </w:t>
      </w:r>
      <w:hyperlink r:id="rId808" w:history="1">
        <w:r>
          <w:rPr>
            <w:rFonts w:ascii="arial" w:eastAsia="arial" w:hAnsi="arial" w:cs="arial"/>
            <w:i/>
            <w:color w:val="0077CC"/>
            <w:sz w:val="20"/>
            <w:u w:val="single"/>
            <w:shd w:val="clear" w:color="auto" w:fill="FFFFFF"/>
            <w:lang w:val="en-US" w:eastAsia="en-US" w:bidi="ar-SA"/>
          </w:rPr>
          <w:t>[1994] 2 S.C.R. 9</w:t>
        </w:r>
      </w:hyperlink>
      <w:r>
        <w:rPr>
          <w:rFonts w:ascii="arial" w:eastAsia="arial" w:hAnsi="arial" w:cs="arial"/>
          <w:color w:val="000000"/>
          <w:sz w:val="20"/>
          <w:lang w:val="en-US" w:eastAsia="en-US" w:bidi="ar-SA"/>
        </w:rPr>
        <w:t xml:space="preserve"> where, at p. 20, the Court set out four criteria for the admission of expert evidence:</w:t>
      </w:r>
      <w:r>
        <w:rPr>
          <w:rFonts w:ascii="arial" w:eastAsia="arial" w:hAnsi="arial" w:cs="arial"/>
          <w:sz w:val="20"/>
          <w:lang w:val="en-US" w:eastAsia="en-US" w:bidi="ar-SA"/>
        </w:rPr>
        <w:cr/>
      </w:r>
    </w:p>
    <w:p>
      <w:pPr>
        <w:numPr>
          <w:numId w:val="1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relevance;</w:t>
      </w:r>
    </w:p>
    <w:p>
      <w:pPr>
        <w:numPr>
          <w:numId w:val="1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necessity in assisting the trier of fact;</w:t>
      </w:r>
    </w:p>
    <w:p>
      <w:pPr>
        <w:numPr>
          <w:numId w:val="1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absence of any exclusionary rule;</w:t>
      </w:r>
    </w:p>
    <w:p>
      <w:pPr>
        <w:numPr>
          <w:numId w:val="1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properly qualified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am satisfied that the proposed evidence is relevant and that it is not subject to any exclusionary rule. I am also satisfied that because of Mr. Eckert's training and experience he is properly qualified to give opinion evidence in these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contentious issue is whether his opinions are necessary in assisting the trier of fact. What is meant by "necessity" in this context was explained at p. 23 of</w:t>
      </w:r>
      <w:r>
        <w:rPr>
          <w:rFonts w:ascii="arial" w:eastAsia="arial" w:hAnsi="arial" w:cs="arial"/>
          <w:b/>
          <w:i/>
          <w:color w:val="000000"/>
          <w:sz w:val="20"/>
          <w:lang w:val="en-US" w:eastAsia="en-US" w:bidi="ar-SA"/>
        </w:rPr>
        <w:t xml:space="preserve"> Mohan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pre-condition is often expressed in terms as to whether the evidence would be helpful to the trier of fact. The word "helpful" is not quite appropriate and sets too low a standard. However, I would not judge necessity by too strict a standard. What is required is that the opinion be necessary in the sense that it provide information "which is likely to be outside the experience and knowledge of a judge or jury": as quoted by Dickson J. in </w:t>
      </w:r>
      <w:r>
        <w:rPr>
          <w:rFonts w:ascii="arial" w:eastAsia="arial" w:hAnsi="arial" w:cs="arial"/>
          <w:i/>
          <w:color w:val="000000"/>
          <w:sz w:val="20"/>
          <w:lang w:val="en-US" w:eastAsia="en-US" w:bidi="ar-SA"/>
        </w:rPr>
        <w:t>R. v. Abbey</w:t>
      </w:r>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[1982] 2 S.C.R. 24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court went on at pp. 24 to 25 to discuss the dangers of admitting opinion evidence that was not necessary in this sense: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also a concern inherent in the application of this criterion that experts not be permitted to usurp the functions of the trier of fact. Too liberal an approach could result in a trial's becoming nothing more than a contest of experts with the trier of fact acting as referee in deciding which expert to accept.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concerns were the basis of the rule which excluded expert evidence in respect of the ultimate issue. Although the rule is no longer of general application, the concerns underlying it remain. In light of these concerns, the criteria of relevance and necessity are applied strictly, on occasion, to exclude expert evidence as to an ultimate issue. Expert evidence as to credibility or oath-helping has been excluded on this basis. See </w:t>
      </w:r>
      <w:r>
        <w:rPr>
          <w:rFonts w:ascii="arial" w:eastAsia="arial" w:hAnsi="arial" w:cs="arial"/>
          <w:i/>
          <w:color w:val="000000"/>
          <w:sz w:val="20"/>
          <w:lang w:val="en-US" w:eastAsia="en-US" w:bidi="ar-SA"/>
        </w:rPr>
        <w:t>R. v. Marquard</w:t>
      </w:r>
      <w:r>
        <w:rPr>
          <w:rFonts w:ascii="arial" w:eastAsia="arial" w:hAnsi="arial" w:cs="arial"/>
          <w:color w:val="000000"/>
          <w:sz w:val="20"/>
          <w:lang w:val="en-US" w:eastAsia="en-US" w:bidi="ar-SA"/>
        </w:rPr>
        <w:t xml:space="preserve">, </w:t>
      </w:r>
      <w:hyperlink r:id="rId810" w:history="1">
        <w:r>
          <w:rPr>
            <w:rFonts w:ascii="arial" w:eastAsia="arial" w:hAnsi="arial" w:cs="arial"/>
            <w:i/>
            <w:color w:val="0077CC"/>
            <w:sz w:val="20"/>
            <w:u w:val="single"/>
            <w:shd w:val="clear" w:color="auto" w:fill="FFFFFF"/>
            <w:lang w:val="en-US" w:eastAsia="en-US" w:bidi="ar-SA"/>
          </w:rPr>
          <w:t>[1993] 4 S.C.R. 223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McLachlin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defendants submit that Mr. Eckert's evidence is not necessary because the applicable standard of care in this case is determined by the provisions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They also submit that the kind of evidence proposed to be given by Mr. Eckert is a matter of common sense that does not require any specialized training or experience. Finally they submit that his proposed evidence is inadmissible because it goes to the ultimate issue that must be decided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 would not give effect to that last submission. As noted at p. 24 of </w:t>
      </w:r>
      <w:r>
        <w:rPr>
          <w:rFonts w:ascii="arial" w:eastAsia="arial" w:hAnsi="arial" w:cs="arial"/>
          <w:b/>
          <w:i/>
          <w:color w:val="000000"/>
          <w:sz w:val="20"/>
          <w:lang w:val="en-US" w:eastAsia="en-US" w:bidi="ar-SA"/>
        </w:rPr>
        <w:t>Mohan</w:t>
      </w:r>
      <w:r>
        <w:rPr>
          <w:rFonts w:ascii="arial" w:eastAsia="arial" w:hAnsi="arial" w:cs="arial"/>
          <w:color w:val="000000"/>
          <w:sz w:val="20"/>
          <w:lang w:val="en-US" w:eastAsia="en-US" w:bidi="ar-SA"/>
        </w:rPr>
        <w:t>, there is no longer a rule of general application that otherwise admissible opinion evidence must be excluded if it touches on the ultimate issue. The degree to which an opinion relates to the ultimate issue is rather a consideration in determining whether the proposed evidence is truly necessary and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defendants referred to </w:t>
      </w:r>
      <w:r>
        <w:rPr>
          <w:rFonts w:ascii="arial" w:eastAsia="arial" w:hAnsi="arial" w:cs="arial"/>
          <w:b/>
          <w:i/>
          <w:color w:val="000000"/>
          <w:sz w:val="20"/>
          <w:lang w:val="en-US" w:eastAsia="en-US" w:bidi="ar-SA"/>
        </w:rPr>
        <w:t>Drumonde v. Moniz</w:t>
      </w:r>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(1997), 105 O.A.C. 295</w:t>
        </w:r>
      </w:hyperlink>
      <w:r>
        <w:rPr>
          <w:rFonts w:ascii="arial" w:eastAsia="arial" w:hAnsi="arial" w:cs="arial"/>
          <w:color w:val="000000"/>
          <w:sz w:val="20"/>
          <w:lang w:val="en-US" w:eastAsia="en-US" w:bidi="ar-SA"/>
        </w:rPr>
        <w:t xml:space="preserve"> (C.A.) where the Ontario Court of Appeal criticized the admission at trial of expert evidence from a driving instructor. That case is clearly distinguishable as it dealt not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context of a motor vehicle accident, but rather a dispute between neighbours about erecting a 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 xml:space="preserve"> Burbank v. R.T.B.</w:t>
      </w:r>
      <w:r>
        <w:rPr>
          <w:rFonts w:ascii="arial" w:eastAsia="arial" w:hAnsi="arial" w:cs="arial"/>
          <w:color w:val="000000"/>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2007 BCCA 215</w:t>
        </w:r>
      </w:hyperlink>
      <w:r>
        <w:rPr>
          <w:rFonts w:ascii="arial" w:eastAsia="arial" w:hAnsi="arial" w:cs="arial"/>
          <w:color w:val="000000"/>
          <w:sz w:val="20"/>
          <w:lang w:val="en-US" w:eastAsia="en-US" w:bidi="ar-SA"/>
        </w:rPr>
        <w:t xml:space="preserve"> our Court of Appeal observed that while expert evidence on the standard of care is not usually required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it may be capable of assisting the trier of fact and admissible as necessary in certain cases, particularly where the subject matter is beyond the common understanding of the judge or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present case, while most adults in British Columbia may have some experience in driving motor vehicles, few have experience in driving large commercial tractor-trailers. Few would know from their common experience what the handling characteristics of such vehicles are, or what the visibility is from the perspective of a driver in the cab, or what the common driving practices are of professional drivers of such rigs.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Not only have most persons never had the experience of driving such vehicles, most persons would not even be legally permitted to drive them, since to do so one must first satisfy the requirements to obtain a special class of driver's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Lowry J.A. in </w:t>
      </w:r>
      <w:r>
        <w:rPr>
          <w:rFonts w:ascii="arial" w:eastAsia="arial" w:hAnsi="arial" w:cs="arial"/>
          <w:b/>
          <w:i/>
          <w:color w:val="000000"/>
          <w:sz w:val="20"/>
          <w:lang w:val="en-US" w:eastAsia="en-US" w:bidi="ar-SA"/>
        </w:rPr>
        <w:t>Burbank</w:t>
      </w:r>
      <w:r>
        <w:rPr>
          <w:rFonts w:ascii="arial" w:eastAsia="arial" w:hAnsi="arial" w:cs="arial"/>
          <w:color w:val="000000"/>
          <w:sz w:val="20"/>
          <w:lang w:val="en-US" w:eastAsia="en-US" w:bidi="ar-SA"/>
        </w:rPr>
        <w:t xml:space="preserve"> also touched on the issue raised by the defendants in this case of whether the existence of statutory standards such as those set out in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are a complete answer to the question of determining the applicable standard of care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He wrote at para. 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Stewart v. Pettie</w:t>
      </w:r>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[1995] 1 S.C.R. 131</w:t>
        </w:r>
      </w:hyperlink>
      <w:r>
        <w:rPr>
          <w:rFonts w:ascii="arial" w:eastAsia="arial" w:hAnsi="arial" w:cs="arial"/>
          <w:color w:val="000000"/>
          <w:sz w:val="20"/>
          <w:lang w:val="en-US" w:eastAsia="en-US" w:bidi="ar-SA"/>
        </w:rPr>
        <w:t xml:space="preserve">, the court noted applicable legislation prohibiting the serving of alcohol to persons who are apparently intoxicated. However, the court affirmed that the fact of violation of legislation alone does not ground liability. Similarly, in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the court allowed an appeal from a decision of this Court, which had decided that because the railways had complied with applicable regulations, they could not be found negligent with respect to configuration of tracks. However, the Supreme Court of Canada emphasized as follows, at para. 29: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Legislative standards are relevant to the common law standard of care, but the two are not necessarily co-extensive. The fact that a statute prescribes or prohibits certain activities may constitute evidence of reasonable conduct in a given situation, but it does not extinguish the underlying obligation of reasonableness. See </w:t>
      </w:r>
      <w:r>
        <w:rPr>
          <w:rFonts w:ascii="arial" w:eastAsia="arial" w:hAnsi="arial" w:cs="arial"/>
          <w:i/>
          <w:color w:val="000000"/>
          <w:sz w:val="20"/>
          <w:lang w:val="en-US" w:eastAsia="en-US" w:bidi="ar-SA"/>
        </w:rPr>
        <w:t>R. in right of Canada v. Saskatchewan Wheat Pool</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xml:space="preserve">. Thus, a statutory breach does not automatically give rise to civil liability; it is merely some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e.g., </w:t>
      </w:r>
      <w:r>
        <w:rPr>
          <w:rFonts w:ascii="arial" w:eastAsia="arial" w:hAnsi="arial" w:cs="arial"/>
          <w:i/>
          <w:color w:val="000000"/>
          <w:sz w:val="20"/>
          <w:lang w:val="en-US" w:eastAsia="en-US" w:bidi="ar-SA"/>
        </w:rPr>
        <w:t>Stewart v. Pettie</w:t>
      </w:r>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[1995] 1 S.C.R. 131</w:t>
        </w:r>
      </w:hyperlink>
      <w:r>
        <w:rPr>
          <w:rFonts w:ascii="arial" w:eastAsia="arial" w:hAnsi="arial" w:cs="arial"/>
          <w:color w:val="000000"/>
          <w:sz w:val="20"/>
          <w:lang w:val="en-US" w:eastAsia="en-US" w:bidi="ar-SA"/>
        </w:rPr>
        <w:t xml:space="preserve">, at para. 36, and </w:t>
      </w:r>
      <w:r>
        <w:rPr>
          <w:rFonts w:ascii="arial" w:eastAsia="arial" w:hAnsi="arial" w:cs="arial"/>
          <w:i/>
          <w:color w:val="000000"/>
          <w:sz w:val="20"/>
          <w:lang w:val="en-US" w:eastAsia="en-US" w:bidi="ar-SA"/>
        </w:rPr>
        <w:t>Saskatchewan Wheat Pool</w:t>
      </w:r>
      <w:r>
        <w:rPr>
          <w:rFonts w:ascii="arial" w:eastAsia="arial" w:hAnsi="arial" w:cs="arial"/>
          <w:color w:val="000000"/>
          <w:sz w:val="20"/>
          <w:lang w:val="en-US" w:eastAsia="en-US" w:bidi="ar-SA"/>
        </w:rPr>
        <w:t>, at p. 225. By the same token, mere compliance with a statute does not, in and of itself, preclude a finding of civil liability. See Linden,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6th ed. (Toronto: Butterworths, 1997)] at p. 219. Statutory standards can, however, be highly relevant to the assessment of reasonable conduct in a particular case, and in fact may render reasonable an act or omission which would otherwise appear to be negligent. This allows courts to consider the legislative framework in which people and companies must operate, while at the same time recognizing that one cannot avoid the underlying obligation of reasonable care simply by discharging statutory duties.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further, at paras. 39-40: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weight to be accorded to statutory compliance in the overall assessment of reasonableness depends on the nature of the statute and the circumstances of the case. It should be determined whether the legislative standards are necessarily applicable to the facts of the case. Statutory compliance will have more relevance in "ordinary" cases - i.e., cases clearly within the intended scope of the statute - than in cases involving special or unusual circumstances. See </w:t>
      </w:r>
      <w:r>
        <w:rPr>
          <w:rFonts w:ascii="arial" w:eastAsia="arial" w:hAnsi="arial" w:cs="arial"/>
          <w:i/>
          <w:color w:val="000000"/>
          <w:sz w:val="20"/>
          <w:lang w:val="en-US" w:eastAsia="en-US" w:bidi="ar-SA"/>
        </w:rPr>
        <w:t>Paskivski v. Canadian Pacific Ltd.</w:t>
      </w:r>
      <w:r>
        <w:rPr>
          <w:rFonts w:ascii="arial" w:eastAsia="arial" w:hAnsi="arial" w:cs="arial"/>
          <w:color w:val="000000"/>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[1976] 1 S.C.R. 687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Anderson</w:t>
      </w:r>
      <w:r>
        <w:rPr>
          <w:rFonts w:ascii="arial" w:eastAsia="arial" w:hAnsi="arial" w:cs="arial"/>
          <w:color w:val="000000"/>
          <w:sz w:val="20"/>
          <w:lang w:val="en-US" w:eastAsia="en-US" w:bidi="ar-SA"/>
        </w:rPr>
        <w:t xml:space="preserve">, </w:t>
      </w:r>
      <w:hyperlink r:id="rId815" w:history="1">
        <w:r>
          <w:rPr>
            <w:rFonts w:ascii="arial" w:eastAsia="arial" w:hAnsi="arial" w:cs="arial"/>
            <w:i/>
            <w:color w:val="0077CC"/>
            <w:sz w:val="20"/>
            <w:u w:val="single"/>
            <w:shd w:val="clear" w:color="auto" w:fill="FFFFFF"/>
            <w:lang w:val="en-US" w:eastAsia="en-US" w:bidi="ar-SA"/>
          </w:rPr>
          <w:t>[1949] M.J. No. 54</w:t>
        </w:r>
      </w:hyperlink>
      <w:r>
        <w:rPr>
          <w:rFonts w:ascii="arial" w:eastAsia="arial" w:hAnsi="arial" w:cs="arial"/>
          <w:color w:val="000000"/>
          <w:sz w:val="20"/>
          <w:lang w:val="en-US" w:eastAsia="en-US" w:bidi="ar-SA"/>
        </w:rPr>
        <w:t xml:space="preserve">. It should also be determined whether the legislative standards are specific or general, and whether they allow for discretion in the manner of performance. It is a well-established principle that an action will lie against any party, public or private, "for doing that which the legislature has authorized, if it be done negligently". See </w:t>
      </w:r>
      <w:r>
        <w:rPr>
          <w:rFonts w:ascii="arial" w:eastAsia="arial" w:hAnsi="arial" w:cs="arial"/>
          <w:i/>
          <w:color w:val="000000"/>
          <w:sz w:val="20"/>
          <w:lang w:val="en-US" w:eastAsia="en-US" w:bidi="ar-SA"/>
        </w:rPr>
        <w:t>Geddis v. Proprietors of the Bann Reservoir</w:t>
      </w:r>
      <w:r>
        <w:rPr>
          <w:rFonts w:ascii="arial" w:eastAsia="arial" w:hAnsi="arial" w:cs="arial"/>
          <w:color w:val="000000"/>
          <w:sz w:val="20"/>
          <w:lang w:val="en-US" w:eastAsia="en-US" w:bidi="ar-SA"/>
        </w:rPr>
        <w:t xml:space="preserve"> (1878), 3 App. Cas. 430 (H.L.), at pp. 455-56; see also </w:t>
      </w:r>
      <w:r>
        <w:rPr>
          <w:rFonts w:ascii="arial" w:eastAsia="arial" w:hAnsi="arial" w:cs="arial"/>
          <w:i/>
          <w:color w:val="000000"/>
          <w:sz w:val="20"/>
          <w:lang w:val="en-US" w:eastAsia="en-US" w:bidi="ar-SA"/>
        </w:rPr>
        <w:t>Kamloops (City of) v. Nielsen</w:t>
      </w:r>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at p. 11, and </w:t>
      </w:r>
      <w:r>
        <w:rPr>
          <w:rFonts w:ascii="arial" w:eastAsia="arial" w:hAnsi="arial" w:cs="arial"/>
          <w:i/>
          <w:color w:val="000000"/>
          <w:sz w:val="20"/>
          <w:lang w:val="en-US" w:eastAsia="en-US" w:bidi="ar-SA"/>
        </w:rPr>
        <w:t>Just v. British Columbia</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xml:space="preserve">, at p. 1245. It follows that a party acting under statutory authority must still take such precautions as are reasonable within the range of that authority to minimize the risks which may result from its actions. See </w:t>
      </w:r>
      <w:r>
        <w:rPr>
          <w:rFonts w:ascii="arial" w:eastAsia="arial" w:hAnsi="arial" w:cs="arial"/>
          <w:i/>
          <w:color w:val="000000"/>
          <w:sz w:val="20"/>
          <w:lang w:val="en-US" w:eastAsia="en-US" w:bidi="ar-SA"/>
        </w:rPr>
        <w:t>Tock v. St. John's Metropolitan Area Board</w:t>
      </w:r>
      <w:r>
        <w:rPr>
          <w:rFonts w:ascii="arial" w:eastAsia="arial" w:hAnsi="arial" w:cs="arial"/>
          <w:color w:val="000000"/>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[1989] 2 S.C.R. 1181</w:t>
        </w:r>
      </w:hyperlink>
      <w:r>
        <w:rPr>
          <w:rFonts w:ascii="arial" w:eastAsia="arial" w:hAnsi="arial" w:cs="arial"/>
          <w:color w:val="000000"/>
          <w:sz w:val="20"/>
          <w:lang w:val="en-US" w:eastAsia="en-US" w:bidi="ar-SA"/>
        </w:rPr>
        <w:t>, (applying similar principles in the nuisance context).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Where a statute authorizes certain activities and strictly defines the manner of performance and the precautions to be taken, it is more likely to be found that compliance with the statute constitutes reasonable care and that no additional measures are required. By contrast, where a statute is general or permits discretion as to the manner of performance, or where unusual circumstances exist which are not clearly within the scope of the statute, mere compliance is unlikely to exhaust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 note that some of the requirements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are worded in a general way, for example, s. 144 which prohibits driving without reasonable consideration for other persons using the highway: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144 (1) A person must not drive a motor vehicle on a highway.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w:t>
      </w:r>
      <w:r>
        <w:rPr>
          <w:rFonts w:ascii="arial" w:eastAsia="arial" w:hAnsi="arial" w:cs="arial"/>
          <w:b/>
          <w:i/>
          <w:color w:val="000000"/>
          <w:sz w:val="20"/>
          <w:lang w:val="en-US" w:eastAsia="en-US" w:bidi="ar-SA"/>
        </w:rPr>
        <w:t xml:space="preserve"> Tucker (Public Trustee of) v. Asleson</w:t>
      </w:r>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(1993), 78 B.C.L.R. (2d) 173</w:t>
        </w:r>
      </w:hyperlink>
      <w:r>
        <w:rPr>
          <w:rFonts w:ascii="arial" w:eastAsia="arial" w:hAnsi="arial" w:cs="arial"/>
          <w:color w:val="000000"/>
          <w:sz w:val="20"/>
          <w:lang w:val="en-US" w:eastAsia="en-US" w:bidi="ar-SA"/>
        </w:rPr>
        <w:t xml:space="preserve"> (C.A.), Southin, J.A. specifically addressed the issue of expert evidence in motor vehicle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and observed that a distinction ought to be made between cases involving motor cars and those involving large transport vehicles. She wrote at pp. 194-195: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my mind, motor car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differ significantly from all other actions in which one person alleges that the acts or omissions of another in breach of a duty of care have done him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the Legislature has laid down for motorists many rules of the road and many requirements concerning the equipping of vehicles, all of which the motorist is expected to obey and which he expects others to obey. The only other aspect of ordinary life so governed is that of the movement of vessels upon certain navigable waters. But I do not say that obedience to these rules relieves the motorist from all other obligations. See</w:t>
      </w:r>
      <w:r>
        <w:rPr>
          <w:rFonts w:ascii="arial" w:eastAsia="arial" w:hAnsi="arial" w:cs="arial"/>
          <w:i/>
          <w:color w:val="000000"/>
          <w:sz w:val="20"/>
          <w:lang w:val="en-US" w:eastAsia="en-US" w:bidi="ar-SA"/>
        </w:rPr>
        <w:t xml:space="preserve"> British Columbia Electric Railway v. Farrer</w:t>
      </w:r>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[1955] S.C.R. 757</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Secondly, experts are not called to prove the standard of care which is appropriate. Each judge brings into court his or her own notions of what constitutes driving with reasonable care. As I said in </w:t>
      </w:r>
      <w:r>
        <w:rPr>
          <w:rFonts w:ascii="arial" w:eastAsia="arial" w:hAnsi="arial" w:cs="arial"/>
          <w:i/>
          <w:color w:val="000000"/>
          <w:sz w:val="20"/>
          <w:lang w:val="en-US" w:eastAsia="en-US" w:bidi="ar-SA"/>
        </w:rPr>
        <w:t>McLuskie v. Sakai</w:t>
      </w:r>
      <w:r>
        <w:rPr>
          <w:rFonts w:ascii="arial" w:eastAsia="arial" w:hAnsi="arial" w:cs="arial"/>
          <w:color w:val="000000"/>
          <w:sz w:val="20"/>
          <w:lang w:val="en-US" w:eastAsia="en-US" w:bidi="ar-SA"/>
        </w:rPr>
        <w:t xml:space="preserve"> in a passage quoted in the appeal from my judgment </w:t>
      </w:r>
      <w:hyperlink r:id="rId819" w:history="1">
        <w:r>
          <w:rPr>
            <w:rFonts w:ascii="arial" w:eastAsia="arial" w:hAnsi="arial" w:cs="arial"/>
            <w:i/>
            <w:color w:val="0077CC"/>
            <w:sz w:val="20"/>
            <w:u w:val="single"/>
            <w:shd w:val="clear" w:color="auto" w:fill="FFFFFF"/>
            <w:lang w:val="en-US" w:eastAsia="en-US" w:bidi="ar-SA"/>
          </w:rPr>
          <w:t>(1987), 12 B.C.L.R. (2d) 372</w:t>
        </w:r>
      </w:hyperlink>
      <w:r>
        <w:rPr>
          <w:rFonts w:ascii="arial" w:eastAsia="arial" w:hAnsi="arial" w:cs="arial"/>
          <w:color w:val="000000"/>
          <w:sz w:val="20"/>
          <w:lang w:val="en-US" w:eastAsia="en-US" w:bidi="ar-SA"/>
        </w:rPr>
        <w:t xml:space="preserve"> at 378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difficulty with these motor car cases and matters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that whatever we may be saying, what we are doing as judges is, in fact, applying our own knowledge of driving to the facts in the absence of any other evidence. That is what a judge does every time he says that the defendant should have avoided an obvious obstruction. I, on the balance of probabilities, am not satisfied that a competent driver coming upon that ice on that bridge on that morning with both hands on the wheel could have done other than Mr. Sakai did. Therefore, it follows that I do not think he was negligent.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put it another way, in motor car cases the judge is his or her own expert. That is not to say that there could not be expert evidence on the proper way, for instance, for the driver of a mammoth transport vehicle to drive. If, on such an issue, the plaintiff called an expert to say that such a vehicle should not be driven under certain circumstances at more than 40 miles per hour and the defendant called another expert who said the contrary, the learned trial judge could and usually would be obliged to choose one expert over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Expert evidence on the standard of care has been considered in a number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involving the operation of heavy vehicles. See for example </w:t>
      </w:r>
      <w:r>
        <w:rPr>
          <w:rFonts w:ascii="arial" w:eastAsia="arial" w:hAnsi="arial" w:cs="arial"/>
          <w:b/>
          <w:i/>
          <w:color w:val="000000"/>
          <w:sz w:val="20"/>
          <w:lang w:val="en-US" w:eastAsia="en-US" w:bidi="ar-SA"/>
        </w:rPr>
        <w:t>Millott Estate v. Reinhard</w:t>
      </w:r>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[2002] 2 W.W.R. 678</w:t>
        </w:r>
      </w:hyperlink>
      <w:r>
        <w:rPr>
          <w:rFonts w:ascii="arial" w:eastAsia="arial" w:hAnsi="arial" w:cs="arial"/>
          <w:color w:val="000000"/>
          <w:sz w:val="20"/>
          <w:lang w:val="en-US" w:eastAsia="en-US" w:bidi="ar-SA"/>
        </w:rPr>
        <w:t xml:space="preserve"> (Alta. Q.B.) and </w:t>
      </w:r>
      <w:r>
        <w:rPr>
          <w:rFonts w:ascii="arial" w:eastAsia="arial" w:hAnsi="arial" w:cs="arial"/>
          <w:b/>
          <w:i/>
          <w:color w:val="000000"/>
          <w:sz w:val="20"/>
          <w:lang w:val="en-US" w:eastAsia="en-US" w:bidi="ar-SA"/>
        </w:rPr>
        <w:t>Fuller v. Schaff</w:t>
      </w:r>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2009 YKSC 10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 am satisfied that Mr. Eckert should be qualified as an expert witness and permitted to give opinion evidence in the areas outlined above. I find that he has the necessary qualifications and that the evidence is necessary in the sense explained by the Supreme Court of Canada in </w:t>
      </w:r>
      <w:r>
        <w:rPr>
          <w:rFonts w:ascii="arial" w:eastAsia="arial" w:hAnsi="arial" w:cs="arial"/>
          <w:b/>
          <w:i/>
          <w:color w:val="000000"/>
          <w:sz w:val="20"/>
          <w:lang w:val="en-US" w:eastAsia="en-US" w:bidi="ar-SA"/>
        </w:rPr>
        <w:t xml:space="preserve"> Mohan</w:t>
      </w:r>
      <w:r>
        <w:rPr>
          <w:rFonts w:ascii="arial" w:eastAsia="arial" w:hAnsi="arial" w:cs="arial"/>
          <w:color w:val="000000"/>
          <w:sz w:val="20"/>
          <w:lang w:val="en-US" w:eastAsia="en-US" w:bidi="ar-SA"/>
        </w:rPr>
        <w:t>. What weight should be attached to his evidence is, of course, a matter that can only be determined at the end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 EHRCKE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3"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22"/>
          <w:headerReference w:type="default" r:id="rId823"/>
          <w:footerReference w:type="even" r:id="rId824"/>
          <w:footerReference w:type="default" r:id="rId825"/>
          <w:headerReference w:type="first" r:id="rId826"/>
          <w:footerReference w:type="first" r:id="rId82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28" w:history="1">
        <w:r>
          <w:rPr>
            <w:rFonts w:ascii="arial" w:eastAsia="arial" w:hAnsi="arial" w:cs="arial"/>
            <w:b/>
            <w:bCs/>
            <w:i/>
            <w:color w:val="0077CC"/>
            <w:kern w:val="32"/>
            <w:sz w:val="28"/>
            <w:szCs w:val="32"/>
            <w:u w:val="single"/>
            <w:shd w:val="clear" w:color="auto" w:fill="FFFFFF"/>
            <w:lang w:val="en-US" w:eastAsia="en-US" w:bidi="ar-SA"/>
          </w:rPr>
          <w:t>Atkinson (Guardian ad litem of) v. Gypsea Rose (The), [2014] B.C.J. No. 1131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J.E. Watchuk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28-30, June 10,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6,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S087644, S104438, S087642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1131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1017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Admiralty Action In Rem against the Vessel "Gypsea Rose" and In Personam Between Ashleigh Atkinson, an infant by her guardian ad litem, Kathe Atkinson and Kathe Atkinson, Plaintiffs, and The Owners and all others interested in the "Gypsea Rose", the "Gypsea Rose", Cory Skidmore, Maridee Patricia Skidmore, and Maridee Patricia Skidmore, Executor and Trustee under the Last Will and Testament of Lloyd Skidmore, Deceased, Defendants And between Admiralty Action In Rem against the Vessel "Gypsea Rose" and the pleasure craft A 1994 20-foot Searay and In Personam Between Dawn Boys and James Hugh Perry, each on their own behalf and as Guardians Ad Litem on behalf of the infants, Tatum Perry, Dawson Boys-Kerekes and Daxton Perry, Plaintiffs, and The Owners and all others interested in the "Gypsea Rose", the "Gypsea Rose", Maridee Patricia Skidmore and Maridee Patricia Skidmore, Executor and Trustee under the Last Will and Testament of Lloyd Skidmore, Cory Skidmore, The Owners and all others interested in the pleasure craft A 1994 20-foot Searay, the 1994 20-foot Searay, and Norman Atkinson, Defendants And between Norman Atkinson, Plaintiff, and The Owners and all others interested in the "Gypsea Rose", the "Gypsea Rose", Cory Skidmore, Maridee Patricia Skidmore and Maridee Patricia Skidmore, Executor and Trustee under the Last Will and Testament of Lloyd Skidmore, Deceased,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4"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2" w:name="Keywords_33"/>
      <w:bookmarkEnd w:id="242"/>
      <w:r>
        <w:rPr>
          <w:rFonts w:ascii="arial" w:eastAsia="arial" w:hAnsi="arial" w:cs="arial"/>
          <w:b/>
          <w:color w:val="000000"/>
          <w:sz w:val="20"/>
          <w:lang w:val="en-US" w:eastAsia="en-US" w:bidi="ar-SA"/>
        </w:rPr>
        <w:t xml:space="preserve">Maritime and admiralty Law — Navigation and marine damage — Liability — Shipowner — Civil liability — Tort — Navigation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Collision with stationary ship — Causation — Lookout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Determination of liability for boat collision — Cory was 80 per cent liable and Atkinson was 20 per cent liable — Gypsea Rose and Searay, two small pleasure boats, collided on lake — Cory, driver of Gypsea Rose, was drunk when he hit Searay, which had stopped — Atkinson, operator of Searay, was untangling tubing rope at back — Maridee, Cory's mother, owned Gypsea Rose — Maridee did not breach responsibility to ensure that Gypsea Rose was competently staffed — Maridee's breach of duty to keep Gypsea Rose seaworthy did not cause collision — Atkinson did not keep proper lookout.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Causation — Causal connection — Determination of liability for boat collision — Cory was 80 per cent liable and Atkinson was 20 per cent liable — Gypsea Rose and Searay, two small pleasure boats, collided on lake — Cory, driver of Gypsea Rose, was drunk when he hit Searay, which had stopped — Atkinson, operator of Searay, was untangling tubing rope at back — Maridee, Cory's mother, owned Gypsea Rose — Maridee did not breach responsibility to ensure that Gypsea Rose was competently staffed — Maridee's breach of duty to keep Gypsea Rose seaworthy did not cause collision — Atkinson did not keep proper lookout.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3" w:name="Case Summary_32"/>
            <w:bookmarkEnd w:id="24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liability for a boat collision. The Gypsea Rose and the Searay, two small pleasure boats, collided on a lake on a clear afternoon, injuring several of the Searay passengers. Cory, the driver of the Gypsea Rose, was drunk and driving at 15 miles per hour when he hit the Searay, which had stopped for lunch and swimming. Atkinson, the operator of the Searay, was untangling tubing rope at the back of the boat in preparation for starting the engine. He had not instructed any of the other adults on board to keep a lookout. Maridee, Cory's mother, owned the Gypsea Rose. Maridee rule's for Cory's use of the boat required him to ask permission and to not have been drinking. The boat's original propeller had been damaged and replaced with one that prevented the boat from planing at speeds of more than 10 miles per hour.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were brought against Maridee, Cory and Atkinson. Cory admitted liability.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4" w:name="Holdings of Court_32"/>
            <w:bookmarkEnd w:id="244"/>
            <w:r>
              <w:rPr>
                <w:rFonts w:ascii="arial" w:eastAsia="arial" w:hAnsi="arial" w:cs="arial"/>
                <w:color w:val="000000"/>
                <w:sz w:val="20"/>
                <w:lang w:val="en-US" w:eastAsia="en-US" w:bidi="ar-SA"/>
              </w:rPr>
              <w:t>HELD: Cory was 80 per cent liable and Atkinson was 20 per cent liable.</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Maridee did not breach her responsibility to ensure that the Gypsea Rose was competently staffed. She did not consent to Cory driving it. He had been drinking and she had a "no drinking" rule. She would have refused consent had she seen him. Maridee breached her duty to keep the Gypsea Rose seaworthy. She knew that the propeller made the boat unsafe. However, the breach did not cause the collision, given the lack of consent. Atkinson did not keep a proper lookout. The Gypsea Rose, as a large boat vertically up, was there to be seen. Had Atkinson seen it, he would have been able to instruct one of the other adults to sound the horn. Cory's actions were far more blameworthy than those of Atkinson. Cory drunkenly set out in an unseaworthy boat across a lake that had frequent pleasure craft, with reckless indifference and disregard for the safety of others. Atkinson had a momentary or minor lapse of care in conduct.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5" w:name="Legislation Cited_24"/>
      <w:bookmarkEnd w:id="24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5"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Canada Shipping Act, 2001, </w:t>
      </w:r>
      <w:hyperlink r:id="rId829" w:history="1">
        <w:r>
          <w:rPr>
            <w:rFonts w:ascii="arial" w:eastAsia="arial" w:hAnsi="arial" w:cs="arial"/>
            <w:i/>
            <w:color w:val="0077CC"/>
            <w:sz w:val="20"/>
            <w:u w:val="single"/>
            <w:shd w:val="clear" w:color="auto" w:fill="FFFFFF"/>
            <w:lang w:val="en-US" w:eastAsia="en-US" w:bidi="ar-SA"/>
          </w:rPr>
          <w:t>S.C. 2001, c. 26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Collision Avoidance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Collision Regulations, C.R.C., c. 1416, Schedule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International Regulations for Preventing Collisions at Sea, 1972, Rule 2(a), Rule 3(f), Rule 5, Rule 8, Rule 18, Rule 18(a) (i), Rule 27, Rule 27(g)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Marine Liability Act, </w:t>
      </w:r>
      <w:hyperlink r:id="rId830" w:history="1">
        <w:r>
          <w:rPr>
            <w:rFonts w:ascii="arial" w:eastAsia="arial" w:hAnsi="arial" w:cs="arial"/>
            <w:i/>
            <w:color w:val="0077CC"/>
            <w:sz w:val="20"/>
            <w:u w:val="single"/>
            <w:shd w:val="clear" w:color="auto" w:fill="FFFFFF"/>
            <w:lang w:val="en-US" w:eastAsia="en-US" w:bidi="ar-SA"/>
          </w:rPr>
          <w:t>S.C. 2001, c. 6, s. 17</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CHAPTER 333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6" w:name="Counsel_34"/>
      <w:bookmarkEnd w:id="24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6" style="position:absolute;z-index:251796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Atkinsons: J. Scott Stanley, Leyna Roenspies.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Plaintiffs Dawn Boys and Perry: Paul D. Mooney.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"Gypsea Rose" and Skidmore: Martin Johnson.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Cory Skidmore: Self-Represented.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 Norman Atkinson and Defendants "Searay" and Norman Atkinson: Andrew Stainer.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7" w:name="Judgment_34"/>
      <w:bookmarkEnd w:id="247"/>
      <w:r>
        <w:pict>
          <v:line id="_x0000_s1197" style="position:absolute;z-index:2518466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8" w:name="J.E. WATCHUK J."/>
            <w:bookmarkEnd w:id="248"/>
            <w:r>
              <w:rPr>
                <w:rFonts w:ascii="arial" w:eastAsia="arial" w:hAnsi="arial" w:cs="arial"/>
                <w:b/>
                <w:color w:val="000000"/>
                <w:sz w:val="30"/>
                <w:lang w:val="en-US" w:eastAsia="en-US" w:bidi="ar-SA"/>
              </w:rPr>
              <w:t>J.E. WATCHUK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Two small pleasure boats collided on Lake Okanagan on the afternoon of June 30, 2008. Both were driven by experienced drivers. The 26.5 foot Campion vessel, Gypsea Rose, which was driven by Cory Skidmore and owned by his mother Maridee Skidmore, hit the starboard side of the bow of the 20 foot Searay vessel ("the Searay") which was owned and operated by Norman Atkinson.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Atkinson's wife, Kathe, their three children, the three children of family friends and those children's grandmother, June Dawn Boys, were on the Atkinson vessel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Three maritime law actions arise from this collision. In Action No. S087644, Kathe Atkinson and her daughter Ashleigh by her </w:t>
      </w:r>
      <w:r>
        <w:rPr>
          <w:rFonts w:ascii="arial" w:eastAsia="arial" w:hAnsi="arial" w:cs="arial"/>
          <w:i/>
          <w:color w:val="000000"/>
          <w:sz w:val="20"/>
          <w:lang w:val="en-US" w:eastAsia="en-US" w:bidi="ar-SA"/>
        </w:rPr>
        <w:t>guardian ad litem</w:t>
      </w:r>
      <w:r>
        <w:rPr>
          <w:rFonts w:ascii="arial" w:eastAsia="arial" w:hAnsi="arial" w:cs="arial"/>
          <w:color w:val="000000"/>
          <w:sz w:val="20"/>
          <w:lang w:val="en-US" w:eastAsia="en-US" w:bidi="ar-SA"/>
        </w:rPr>
        <w:t xml:space="preserve"> are plaintiffs in the action </w:t>
      </w:r>
      <w:r>
        <w:rPr>
          <w:rFonts w:ascii="arial" w:eastAsia="arial" w:hAnsi="arial" w:cs="arial"/>
          <w:i/>
          <w:color w:val="000000"/>
          <w:sz w:val="20"/>
          <w:lang w:val="en-US" w:eastAsia="en-US" w:bidi="ar-SA"/>
        </w:rPr>
        <w:t>In Rem</w:t>
      </w:r>
      <w:r>
        <w:rPr>
          <w:rFonts w:ascii="arial" w:eastAsia="arial" w:hAnsi="arial" w:cs="arial"/>
          <w:color w:val="000000"/>
          <w:sz w:val="20"/>
          <w:lang w:val="en-US" w:eastAsia="en-US" w:bidi="ar-SA"/>
        </w:rPr>
        <w:t xml:space="preserve"> against the vessel Gypsea Rose and </w:t>
      </w:r>
      <w:r>
        <w:rPr>
          <w:rFonts w:ascii="arial" w:eastAsia="arial" w:hAnsi="arial" w:cs="arial"/>
          <w:i/>
          <w:color w:val="000000"/>
          <w:sz w:val="20"/>
          <w:lang w:val="en-US" w:eastAsia="en-US" w:bidi="ar-SA"/>
        </w:rPr>
        <w:t>In Personam</w:t>
      </w:r>
      <w:r>
        <w:rPr>
          <w:rFonts w:ascii="arial" w:eastAsia="arial" w:hAnsi="arial" w:cs="arial"/>
          <w:color w:val="000000"/>
          <w:sz w:val="20"/>
          <w:lang w:val="en-US" w:eastAsia="en-US" w:bidi="ar-SA"/>
        </w:rPr>
        <w:t xml:space="preserve"> against Cory Skidmore, Maridee Skidmore and Maridee Skidmore as executor of the estate of Lloyd Skidmore ("the Atkinson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Ms. Boys is a plaintiff in Action No. S104438 along with her son-in-law, James Perry as </w:t>
      </w:r>
      <w:r>
        <w:rPr>
          <w:rFonts w:ascii="arial" w:eastAsia="arial" w:hAnsi="arial" w:cs="arial"/>
          <w:i/>
          <w:color w:val="000000"/>
          <w:sz w:val="20"/>
          <w:lang w:val="en-US" w:eastAsia="en-US" w:bidi="ar-SA"/>
        </w:rPr>
        <w:t>guardian ad litem,</w:t>
      </w:r>
      <w:r>
        <w:rPr>
          <w:rFonts w:ascii="arial" w:eastAsia="arial" w:hAnsi="arial" w:cs="arial"/>
          <w:color w:val="000000"/>
          <w:sz w:val="20"/>
          <w:lang w:val="en-US" w:eastAsia="en-US" w:bidi="ar-SA"/>
        </w:rPr>
        <w:t xml:space="preserve"> on behalf of her three grandchildren who were in the Atkinson vessel. The defendants include the defendants in the Atkinson Action as well as the Searay and Mr. Atkinson ("the Boys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third action is commenced by Norman Atkinson for property loss against the owners and all others interested in the Gypsea Rose. This Action No. S087642, will be referred to as the "Norman Atkinson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Cory Skidmore, his mother, Maridee Skidmore, personally and as executor of the estate of Lloyd Skidmore, the owners and all others interested in the Gypsea Rose and the Gypsea Rose are defendants in all actions. Mr. Atkinson and his vessel the Searay are defendants in the Boys Action. Mr. Atkinson, in addition to being a defendant in the Boys Action, is the sole plaintiff in the Norman Atkinson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Cory Skidmore admitted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liability during the trial. The actions were defended on behalf of Ms. Skidmore, the Gypsea Rose, Mr. Atkinson and the Searay.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This trial was limited to the </w:t>
      </w:r>
      <w:r>
        <w:rPr>
          <w:rFonts w:ascii="arial" w:eastAsia="arial" w:hAnsi="arial" w:cs="arial"/>
          <w:i/>
          <w:color w:val="000000"/>
          <w:sz w:val="20"/>
          <w:lang w:val="en-US" w:eastAsia="en-US" w:bidi="ar-SA"/>
        </w:rPr>
        <w:t>In Personam</w:t>
      </w:r>
      <w:r>
        <w:rPr>
          <w:rFonts w:ascii="arial" w:eastAsia="arial" w:hAnsi="arial" w:cs="arial"/>
          <w:color w:val="000000"/>
          <w:sz w:val="20"/>
          <w:lang w:val="en-US" w:eastAsia="en-US" w:bidi="ar-SA"/>
        </w:rPr>
        <w:t xml:space="preserve"> actions and only liability was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Many of the facts are not in issue. In this section I will outline the evidence and then discuss it in more detail in the analysis portion of the judgement. I will also address the matter of credibility in the analysis section.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A. </w:t>
      </w:r>
      <w:r>
        <w:rPr>
          <w:rFonts w:ascii="arial" w:eastAsia="arial" w:hAnsi="arial" w:cs="arial"/>
          <w:b/>
          <w:color w:val="000000"/>
          <w:sz w:val="20"/>
          <w:u w:val="single"/>
          <w:lang w:val="en-US" w:eastAsia="en-US" w:bidi="ar-SA"/>
        </w:rPr>
        <w:t>The Parties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The Defendant Gypsea 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Gypsea Rose was purchased in January 2004 by Lloyd Skidmore who was the father of Cory Skidmore and the husband of Maridee Skidmore. Mr. Skidmore drowned in Lake Okanagan in August 2007 in a boating accident in which alcohol was a factor. At the time of the collision, Ms. Skidmore was the owner of the Gypsea Rose, either in her personal capacity or in her capacity as executor and trustee under the last will and testament of Lloyd Skidmore.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maximum speed for the Gypsea Rose at the time of the collision was 25 miles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were two particular problems with the Gypsea Rose. First, at certain speeds over 10 mph the propeller on the Gypsea Rose would not allow it to plane, which means that when operating the vessel, the bow would come up and the operator could not see what was in front of them. Second, the throttle would stick. These problems had not been fixed by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reason for the problem with the propeller is that when Cory Skidmore earlier damaged the propeller, he did not replace it with the correct propeller for the boat because the correct propeller was too expensive.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The Defendant Cory Skidmore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Cory Skidmore was 29 years old. At the time of the collision he was operating the Gypsea Rose on his way to the Peachland Marina. He was impaired and he was driving the boat at 15 mph, although he knew that it would not plane at that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Cory Skidmore had operated the Gypsea Rose at various times since its purchase in 2004. After the death of his father in August 2007, he continued to operate the Gypsea Rose along with his brother Nathan. Ms. Skidmore did not operate the Gypsea 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maintenance and fueling of the Gypsea Rose became the responsibility of Cory Skidmore and his brother after the death of his father. Ms. Skidmore took no part in maintaining the vessel.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Prior to the collision Cory Skidmore had not obtained any certificates and had not taken any courses pertaining to boating. He had not read nor heard of the </w:t>
      </w:r>
      <w:r>
        <w:rPr>
          <w:rFonts w:ascii="arial" w:eastAsia="arial" w:hAnsi="arial" w:cs="arial"/>
          <w:i/>
          <w:color w:val="000000"/>
          <w:sz w:val="20"/>
          <w:lang w:val="en-US" w:eastAsia="en-US" w:bidi="ar-SA"/>
        </w:rPr>
        <w:t>Collision Regulations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C.R.C., c. 1416</w:t>
      </w:r>
      <w:r>
        <w:rPr>
          <w:rFonts w:ascii="arial" w:eastAsia="arial" w:hAnsi="arial" w:cs="arial"/>
          <w:color w:val="000000"/>
          <w:sz w:val="20"/>
          <w:lang w:val="en-US" w:eastAsia="en-US" w:bidi="ar-SA"/>
        </w:rPr>
        <w:t>. However, he did have a lot of practical experience operating boats and it was his testimony that he had "been on the lake" all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Cory Skidmore was aware of the problems with the Gypsea Rose but continued to operate the vessel without repair of the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For approximately ten years, Cory Skidmore had been an alcoholic. He consumed significant amounts of alcohol on June 30 prior to the collision.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The Defendant Maridee Skidmore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Skidmore resides on seven acres of waterfront property south of Peachland. The Gypsea Rose was moored at a dock on her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After the death of her husband, Ms. Skidmore did not operate the Gypsea Rose. Her older son Nathan and her younger son Cory were allowed to operate the Gypsea Rose with her permission. She had three rules for their operation of the boat, one of which was that no-one was to drive or be on the boat if they had consumed any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Skidmore left all maintenance on the vessel to be done by her sons. She also left the task of fueling to her sons. Generally, the boat was refueled at the Peachland Marina.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Earlier on June 30, 2008, Cory Skidmore had obtained Ms. Skidmore's express permission to use the Gypsea Rose for a trip across the lake to the cliff divers. On the second trip that day he was taking it to the Peachland Marina to get fuel and to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was the evidence of Ms. Skidmore that she had often given permission for Cory Skidmore to take the boat to Peachland Marina to fill it up with fuel. She testified that if he had asked her to do this, she would have agreed with him taking the boat, but only if there was no alcohol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Skidmore was aware of the problems with the propeller and the throttle and was aware that these problems still existed on June 30, 2008. She was also aware that the problem with the propeller created a situation where the operator could not see over the bow at certain speeds and that this created the potential for a hazardous situation.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 The Defendant Searay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 Searay was a 20-foot pleasure craft vessel owned by Mr. Atkinson. It was a vessel commonly described as a bowrider because there were seats in the bow for passengers.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Searay was operated by a starboard side helm with a dashboard for instruments and a horn, a throttle to the right hand side and a steering wheel. It had navigation lights, lifejackets, a fire extinguisher and a first aid kit. No flares were kept onboard.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Searay did not have to be under power for the dashboard horn to be operated. In addition to the dashboard horn, a separate signaling horn was onboard the Searay either on the dashboard or beside the driver's 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When the engine was cold it took one to two minutes to start but when the engine was warm it took about 10 to 20 seconds to start the Searay.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5. The Defendant Norman Atkinson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the time of the collision, Mr. Atkinson who was 52 years old, held a Canadian Power and Sails Squadron Certificate and a Pleasure Craft Operator's card. The course for his certificate had taken two nights a week for three months. He learned a broad range of boating subjects including but not limited to basic navigation, tides and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After obtaining his Power Squadron Certificate, Mr. Atkinson did not attend any follow up courses. At the time of the collision, he had over fifteen years of experience operating boats.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At the time of the collision, Mr. Atkinson was not aware of the </w:t>
      </w:r>
      <w:r>
        <w:rPr>
          <w:rFonts w:ascii="arial" w:eastAsia="arial" w:hAnsi="arial" w:cs="arial"/>
          <w:i/>
          <w:color w:val="000000"/>
          <w:sz w:val="20"/>
          <w:lang w:val="en-US" w:eastAsia="en-US" w:bidi="ar-SA"/>
        </w:rPr>
        <w:t>Collision Regulations</w:t>
      </w:r>
      <w:r>
        <w:rPr>
          <w:rFonts w:ascii="arial" w:eastAsia="arial" w:hAnsi="arial" w:cs="arial"/>
          <w:color w:val="000000"/>
          <w:sz w:val="20"/>
          <w:lang w:val="en-US" w:eastAsia="en-US" w:bidi="ar-SA"/>
        </w:rPr>
        <w:t>. However, he knew he had to keep a proper lookout while operating the Searay.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Atkinson also knew that he had to continuously monitor the situation on the water around him and that he had to be on the lookout for and assess any risk of potential collision. As owner and operator of the Searay, Mr. Atkinson knew that if he could not keep a lookout, then somebody else would have to do it in his place.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B. </w:t>
      </w:r>
      <w:r>
        <w:rPr>
          <w:rFonts w:ascii="arial" w:eastAsia="arial" w:hAnsi="arial" w:cs="arial"/>
          <w:b/>
          <w:color w:val="000000"/>
          <w:sz w:val="20"/>
          <w:u w:val="single"/>
          <w:lang w:val="en-US" w:eastAsia="en-US" w:bidi="ar-SA"/>
        </w:rPr>
        <w:t>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There were nine people in the Atkinson vessel on June 30, 2008: Mr. and Mrs. Atkinson, their three children, Matthew (12), Christopher (10), Ashleigh (8), and Ms. Boys and her three grandchildren, Dawson (9), Daxton (4) and Tatum (3). Mr. and Mrs. Atkinson were long-time family friends of Ms. Boys' daughter and her son-in-law, James Perry.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Atkinson family had travelled to Westbank for the July 1st long weekend to visit with the Perry family, and to enjoy boating in Lake Okanagan. The families had been out on the lake in the Searay the day before, June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June 30, the Atkinson family was planning to leave the Okanagan and drive home to the Lower Mainland. However, since it was a beautiful day they decided to stay longer and go out in the boat one more time. Ms. Boys went with her grandchildren in order to give her daughter a day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They launched the Searay in Peachland at about 1:30 p.m. and spent some time on the water tubing with the children. It was a sunny and calm day with visibility described as "unlimited". There was minimal boat traffic on the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At about 3:00 pm, they stopped, turned off the boat engine and came to a rest in the lake in order to eat their lunch and allow time for some swimming. Thirty minutes later they were preparing to get under way for more tubing.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Boys testified that before the launch Mr. Atkinson did not speak to her about keeping a proper lookout. Mr. Atkinson confirmed that he did not talk to June Boys on either June 29, 2008 or June 30, 2008 about keeping a proper lookout. He had not requested his wife to assist in keeping a proper lookout while they were on the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Searay was stationary in the water far from both shores and south of Antler's Beach. It had been without power in the water with the engine off for approximately 20 to 30 minutes prior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At the time of the collision, all passengers were onboard the Searay except for Christopher Atkinson who was approximately 30 feet away floating in the Atkinsons' three-man tube waiting to start tubing.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Just prior to the collision, Mr. Atkinson was away from the helm. He was with his son Matthew at the back of the Searay on the swim grid. Mr. Atkinson was in the process of hooking up the tube to get it ready for towing, and dealing with the tow rope which was tangled in the leg of the propeller.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Kathe Atkinson was in the center part of the Searay, sitting on top of the driver's chair with her feet on the driver's seat. Mr. Atkinson testified that he was not aware that Kathe Atkinson had been sitting on top of the driver's chair just prior to the collision as he was pre-occupied on the swim grid.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Boys, her three grandchildren, and Ashleigh Atkinson were in the bow of the boat.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Everyone onboard the Searay was wearing lifejackets with the possible exception of Mr. Atkinson.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Prior to moving to the swim grid, Mr. Atkinson had noticed that there was only one boat in the vicinity of the Searay. This boat was not the Gypsea 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While on the swim grid, Mr. Atkinson had his head down and was pre-occupied with untangling the tow line. As such, he was not able to see anything occurring around the Searay. He was kneeling for a portion of the time as he was attempting to pull the tow rope off the leg of the engine and the propeller.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Kathe Atkinson was taking care of the children in the Searay. She was not watching the water for boat traffic or keeping a lookout. It was only after she finished dealing with the children that she looked up and saw the Gypsea Rose approaching off to the starboard or right side of the Searay. It was a large boat with a big burgundy hull straight up out of the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Kathe Atkinson yelled to alert her husband and the others, and then jumped up on the seat, screamed frantically and waved her arms at the approaching boat. She was aware that there was a horn button on the dashboard but she did not use it. She did not attempt to start the engine because her son was in the tube behind the Searay and could have been hit if they 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There is no evidence that anyone in the Searay saw the Gypsea Rose prior to the time that Kathe Atkinson raised the alarm by screaming.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Atkinson testified that he was on the swim grid for about a minute to 90 seconds prior to hearing his wife yell that there was a boat approaching. After hearing his wife yell he looked up and saw the Gypsea Rose approaching from the starboard side at an approximate 90 degree angle. He estimated the Gypsea Rose was about 300 feet away at that time. Mr. Atkinson could not see the operator of the Gypsea Rose as the bow was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first time that June Boys saw the Gypsea Rose was also after Mrs. Atkinson's screams. She also estimated its distance away at about 300 feet, or 100 yards. She grabbed the children and got down on the floor of the bow.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Atkinson estimated that it was about ten seconds from the time he first saw the Gypsea Rose to the time of the collision. Kathe Atkinson also estimated the time to be about ten seconds while Ms. Boys described this time as a "under a minute" and stated that the collision happened quickly after she first saw the Gypsea 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the time between noticing the Gypsea Rose and the collision, Mr. Atkinson did not move from the swim grid to the helm but rather focused on the passengers in the bow. He yelled at them to get out of the bow area. He described a "panic situation" onboard the Searay.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It was the evidence of Mr. Atkinson that from the moment Kathe Atkinson first screamed until the time of the collision, no attempt was made by anyone onboard the Searay to sound the Searay's dashboard horn, sound the other signaling device kept onboard the Searay, move to the helm or start the Searay. He did not ask Kathe Atkinson or anyone to take any of those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the morning of June 30, Cory Skidmore had taken his niece and her friend across the lake in the Gypsea Rose to watch the cliff divers. He had permission of his mother to take the boat on this trip. Ms. Skidmore came to the dock to speak with him before he left to watch the cliff divers.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Cory Skidmore returned to Ms. Skidmore's property at about 12:30 p.m. where his niece and her friend got off the boat. He tied the boat up, drank a quantity of alcohol and became intoxicated or in his words, drunk. He then departed in the boat with his girlfriend and his brother's brother-in-law for the Peachland Marina to refuel the boat.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Cory Skidmore was driving the Gypsea Rose at about 15 mph. He did not see the Searay because his boat could not plane at that speed and he could not see over the front. He heard the screams when it was too late to turn to avert the collision or to cut the engine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Gypsea Rose hit the bow of the Searay at a 90 degrees angle on the starboard side. It drove over the bow and windshield and stopped on the port or far side of the Searay. Significant damage was caused to the Searay. Injuries were sustained by Kathe and Ashleigh Atkinson, the three Perry children and Ms. Boys.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C. </w:t>
      </w:r>
      <w:r>
        <w:rPr>
          <w:rFonts w:ascii="arial" w:eastAsia="arial" w:hAnsi="arial" w:cs="arial"/>
          <w:b/>
          <w:color w:val="000000"/>
          <w:sz w:val="20"/>
          <w:u w:val="single"/>
          <w:lang w:val="en-US" w:eastAsia="en-US" w:bidi="ar-SA"/>
        </w:rPr>
        <w:t>The Expert Evidence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Ian Hopkinson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Counsel for the plaintiffs in the Boys Action sought to qualify and introduce the expert evidence and report of Captain Ian Hopkinson. Counsel for Maridee Skidmore provided notice that she sought to rely on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qualifications of Captain Hopkinson are as follows. From 1954 to 1988, he worked in various capacities aboard ships in Wales, England, and British Columbia. He had a Master Mariner Certificate which allowed him to navigate any ship anywhere in the world. He has been a marine surveyor since 1988 to the present, and he is a member of the National Association of Marine Surveyors Inc. As a marine surveyor he examines boats and ships of all types, often for insurance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As part of his Master Mariner training in navigation and seamanship, he was required to have knowledge of the </w:t>
      </w:r>
      <w:r>
        <w:rPr>
          <w:rFonts w:ascii="arial" w:eastAsia="arial" w:hAnsi="arial" w:cs="arial"/>
          <w:i/>
          <w:color w:val="000000"/>
          <w:sz w:val="20"/>
          <w:lang w:val="en-US" w:eastAsia="en-US" w:bidi="ar-SA"/>
        </w:rPr>
        <w:t>Collision Regulations,</w:t>
      </w:r>
      <w:r>
        <w:rPr>
          <w:rFonts w:ascii="arial" w:eastAsia="arial" w:hAnsi="arial" w:cs="arial"/>
          <w:color w:val="000000"/>
          <w:sz w:val="20"/>
          <w:lang w:val="en-US" w:eastAsia="en-US" w:bidi="ar-SA"/>
        </w:rPr>
        <w:t xml:space="preserve"> which he referred to as the "rules of the road". His experience in operating pleasure craft is personal, as he purchased and operated a small boat on the coast for about 30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Counsel for Mr. Atkinson objected to Captain Hopkinson's qualifications permitting him to testify as an expert in these proceedings and to the necessity of his expertise in these proceedings. All of the vessels he has owned personally were sail boats and he has never owned a ski boat or vessel of the kind involved in the collision. His experience aboard those vessels has all been in coastal waters, and not on any lake or inland water similar to that in issue here. Captain Hopkinson's experience is in the deep sea. It was submitted that he has no relevant boating experience or training from the Power Squadron.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After hearing argument on that issue, Captain Hopkinson was qualified to give expert opinion in the operation and navigation of marine vessels. The </w:t>
      </w:r>
      <w:r>
        <w:rPr>
          <w:rFonts w:ascii="arial" w:eastAsia="arial" w:hAnsi="arial" w:cs="arial"/>
          <w:i/>
          <w:color w:val="000000"/>
          <w:sz w:val="20"/>
          <w:lang w:val="en-US" w:eastAsia="en-US" w:bidi="ar-SA"/>
        </w:rPr>
        <w:t>Collision Regulations</w:t>
      </w:r>
      <w:r>
        <w:rPr>
          <w:rFonts w:ascii="arial" w:eastAsia="arial" w:hAnsi="arial" w:cs="arial"/>
          <w:color w:val="000000"/>
          <w:sz w:val="20"/>
          <w:lang w:val="en-US" w:eastAsia="en-US" w:bidi="ar-SA"/>
        </w:rPr>
        <w:t xml:space="preserve"> are the same on the seas, where Captain Hopkinson has extensive experience, as on Lake Okanagan, the site of this collision. His experience as a marine surveyor provides him with knowledge of pleasure craft. The opinion provided was relevant and of assistance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his written opinion dated March 30, 2013, Captain Hopkinson addressed the issue of whether Mr. Atkinson was keeping a proper lookout prior to the collision on June 30, 2008. He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Mr. Atkinson did not meet the standard required of a prudent vessel operator since he was not keeping a proper lookout as required by Rule 5 of the International Regulations for preventing Collisions at Sea. A proper lookout in my opinion requires 100% concentration by sight and sound of the environment around my vessel which should provide me with advance warning of any dangers. Mr. Atkinson did not become aware of the approach of Gypsea Rose until it was only about 300 feet away, despite the fact that visibility was unlimited that 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was absent from the helm and was therefore not in control of his vessel. He was instead occupied at the stern of the boat and engaged in the process of hooking up a tow line connected to a three man tube which was occupied by his son Christopher Atkinson and which was approximately 30 feet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written opinion also addresses the issue of whether the Atkinson vessel was a vessel "not under command". His opinion is in the affirmative, and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Searay owned by Mr. Atkinson was not under command at the time of the collision since there was no one at the helm and the engine was stopped. Since his vessel was less than 12 meters in length (Rule 27(g)) there was no requirement for him to exhibit the lights and shapes for not under command vessels described elsewhere in Rule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cross-examination Captain Hopkinson testified that "lookout" meant both an activity and using one eyes and ears by looking around the vicinity to see if other craft or debris or anything that may affect safety was present. In response to a question as to whether or not the person keeping lookout can do other things, he responded in the affirmative saying that it was possible if it does not affect the ability to keep a lookout.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Jerald Powers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Powers was called on behalf of Mr. Atkinson. He is a Life Member of Power Squadron, a Canadian organisation dedicated to safe boating and navigation. Mr. Powers testified that he has taken courses in boating, seamanship and navigation among other maritime subjects. He has also instructed other boaters on select topics.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Powers is a knowledgeable and experienced pleasure boater. He has been a boater for over 40 years. He has owned a number of powered and sailing vessels and has operated them on inland lakes and rivers, as well as on coastal waters. He has also operated work boats used during his days as a surveyor on B.C. Hydro projects along the Columbia River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Powers' provided the following written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Firstly, with respect to question number 1 and the conduct of Mr. Atkinson, as owner and operator of the Searay, I am of the opinion that he did meet the standard expected or required of a prudent operator in similar circumstances. Okanagan Lake is a haven for recreational boaters during the summer months with water skiing and tubing being common boating activities, all recognized as legitimate boating activities by the Office of Boating Safety/ Transport Canada. It is also not uncommon to see boaters drifting on the lake with their engines shut off either fishing or just enjoying the solitude of being on the water. Other boaters intent on reaching a destination normally give them a wide berth and pass by quite safely. (ref. page 2 of Safe Boating Guide)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30 June 2008, Mr. Atkinson, as operator of the Searay, was preparing to tow his son behind the boat on a 3 person tube. He had prudently shut his engine off and moved to the back of the boat to rig the tow line. Prior to doing so, he had looked around and noticed that there was only one other boat in vicinity and it was not the Gypsea Rose, a 26.5 ft. Campion. Rule 5 of the International Regulations for Preventing Collisions at Sea states that "Every vessel shall at all times maintain a proper look-out by sight and hearing as well as by all available means appropriate in the prevailing circumstances and conditions as to make a full appraisal of the situation and of the risk of collision". I believe that Mr. Atkinson was in compliance in this regard even though he had left the helm for a position at the stern of the Searay which is essentially a runabout style boat with an open cockpit and no dodger, bimini or other overhead cover to obstruct the operator's or passengers' view. The swim grid on this vessel is an integral part of the boat, positioned well above the waterline and is easily accessed from the cockpit. The towing ring is positioned in the center of the transom and just slightly lower than the vessel's gunwale so anyone standing on the swim grid and attaching a line to the towing ring would still have excellent visibility of his surroundings.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well, Mr. Atkinson's wife and other passengers, even though not instructed to do so, had a commanding view of the lake around them and were capable of sounding an alarm in the event of a dangerous situation developing. This, Mr. Atkinson's wife did when she noticed the Gypsea Rose about 300 feet distant and headed in their direction. Accordingly, with only about 10 seconds from his first sighting the Gypsea Rose and the collision, Mr. Atkinson and his passengers chose to wave their arms in order to get the attention of the operator of the Gypsea Rose. As with certain distress situations, waving is an accepted and effective means of attracting attention. Also, within that estimated 10 second time span, he prudently chose to focus on the safety of the passengers in the bow area as it was likely deemed most vulnerable in a contact situation. Not mentioned in the statement of facts outlined in the Bernard &amp; Partners letter dated 28 March 2008 is anything describing the track of the Gypsea Rose, whether it was a straight track, an arching track or whether or not it had suddenly changed direction.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foregoing not withstanding, according to Rule 3(f) of the International Regulations for Preventing Collisions at Sea, Mr. Atkinson's vessel was "not under command"; its engine was not running and it was burdened by a tow line attached to a 3 man tube with his son aboard, and according to Rule 18(a)(i), "A power driven vessel underway shall keep out of the way of a vessel not under command".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have also asked me to comment on Captain F.I. Hopkinson's opinion(s) offered with respect to the two questions. Captain Hopkinson felt that Mr. Atkinson did not meet the standard required of a prudent vessel operator by virtue of not being in compliance with Rule 5 of the International Regulations for Preventing Collisions at Sea. Had this incident occurred anywhere on the West Coast with its busy shipping lanes and heavy marine traffic, I would be more inclined to agree with him. Okanagan Lake on a warm, sunny afternoon with its myriad assortment of small boaters indulging in various activities such as water skiing, tubing, fishing or just drifting presents a substantially different scenario.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agree fully with Captain Hopkinson's assessment of Mr. Atkinson's vessel being a "vessel not under command" since there was no one at the helm, the engine was stopped and the vessel was burdened by the tow line attached to the 3 man tube, hence the applicability of Rule 18(a)(i) of the International Regulations for Preventing Collisions at Sea. Captain Hopkinson also agreed that since Mr. Atkinson's vessel was less than 12 metres in length, there was no requirement to comply with Rule 27(g) of the International Regulations for Preventing Collisions at Sea (ie, displaying certain lights and/or shapes).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Powers provided his opinion regarding what constitutes a proper lookout. He testified that it was possible to maintain a lookout from somewhere other than the helm of the vessel, and in this case, from the swim grid of the Atkinson vessel. He also testified that one may direct their attention away from the water for a period of time and still maintain a proper lookout.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As discussed above, it was the opinion of Captain Hopkinson that Mr. Atkinson was not keeping a proper lookout as required by Rule 5 at the time of the collision. Captain Hopkinson was a former Master Mariner with an extensive background in marine navigation and vessel operation. Mr. Powers on cross-examination admitted that a Master Mariner's credentials were superior to 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Powers provided the following evidence on cross-examination:</w:t>
      </w:r>
      <w:r>
        <w:rPr>
          <w:rFonts w:ascii="arial" w:eastAsia="arial" w:hAnsi="arial" w:cs="arial"/>
          <w:sz w:val="20"/>
          <w:lang w:val="en-US" w:eastAsia="en-US" w:bidi="ar-SA"/>
        </w:rPr>
        <w:cr/>
      </w: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the Rule 3(f) definition of "vessel not under command" nor Rule 18(a)(i) precluded a vessel operator from keeping a proper lookout;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vessel operator needs to keep a proper lookout while operating his or her vessel;</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vessel operator needs to keep a constantly monitor the situation on the water around him or her so that they are able to make a full appraisal of the situation and risk of collision;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 of keeping a proper lookout was being able to notice if there was a situation occurring and to have enough time to make that appraisal and then to react accordingly, in a positive manner and in ample time in order to avoid a collision pursuant to the requirements under Rule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Despite Mr. Powers' opinion in his written report that Mr. Atkinson had been keeping a proper lookout, as the Searay itself had no physical objects to obscure anyone's view, on cross-examination he admitted that the fact that a view was physically unobstructed did not mean that a proper lookout was being kept. He also agreed that in coming to his opinion he was not aware of Mr. Atkinson's testimony that:</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he was on the swim grid he was trying to detach the tow rope from the engine leg and propeller;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he was engaged in this task of detaching the tow rope, he not able to see anything that was developing around his vessel;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he was on the swim grid he had his head down in the water and the first indication that he had that there was a boat coming was when he heard Kathe Atkinson screaming.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Powers was then presented with this evidence from the witnesses testimony:</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visibility was described by all as "clear" and in some cases "unlimited";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Atkinson was on the swim grid for 60 to 90 seconds immediately prior to hearing his wife yell. That was the first time that day he saw the Gypsea Rose;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he first looked up he saw the Gypsea Rose about 300 feet away;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the time Mr. Atkinson looked up it was too late to do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Powers also agreed on cross-examination that:</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someone in the Searay should have been paying attention and the person in charge wasn't nor were the passengers;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collision was preventable;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foolish to have someone in the tube without the ability to start up the Searay and this created a "dangerous situation" with the Searay not being able to maneouver;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implicit in Rule 5 that a proper lookout meant the ability to see and take evasive action;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proper step in taking evasive action was the sounding of the vessel's horn or "sound signaling device".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Based on this evidence, Mr. Powers agreed with Captain Hopkinson that Mr. Atkinson was not keeping a proper lookout pursuant to the requirements of Rule 5. As such, it is his oral opinion and not his written opinion on this issue which is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addition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Cory Skidmore, which is admitted, were Mr. Atkinson and/or Ms. Skidmore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Was Mr. Atkinson negligent because he did not keep a proper lookout and as a result did not see the Gypsea Rose approaching the Searay?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Was Ms. Skidmore negligent for permitting Cory Skidmore to drive the Gypsea Rose when he was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Was Ms. Skidmore negligent for permitting the Gypsea Rose to be operated in an unseaworthy condition which she knew prevented the operator from keeping a proper lookout?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Was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either or both of Mr. Atkinson and Ms. Skidmore a cause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Atkinson and /or Ms. Skidmore contributed to the accident how should liability be apportioned?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Maritime Law, the manner in which a vessel is operated is governed by both the common law and statute law. Liability for damages caused by a vessel will depend on the failure of the owner or operator to meet the standards set by the common law, or upon the violation of statute law in regards to the equipping or operation of a vessel: </w:t>
      </w:r>
      <w:r>
        <w:rPr>
          <w:rFonts w:ascii="arial" w:eastAsia="arial" w:hAnsi="arial" w:cs="arial"/>
          <w:i/>
          <w:color w:val="000000"/>
          <w:sz w:val="20"/>
          <w:lang w:val="en-US" w:eastAsia="en-US" w:bidi="ar-SA"/>
        </w:rPr>
        <w:t>Halsbury's Laws of Canada</w:t>
      </w:r>
      <w:r>
        <w:rPr>
          <w:rFonts w:ascii="arial" w:eastAsia="arial" w:hAnsi="arial" w:cs="arial"/>
          <w:color w:val="000000"/>
          <w:sz w:val="20"/>
          <w:lang w:val="en-US" w:eastAsia="en-US" w:bidi="ar-SA"/>
        </w:rPr>
        <w:t xml:space="preserve">, 1st ed., Maritime; Municipal (Markham, ON: LexisNexis, 2012) at 302, </w:t>
      </w:r>
      <w:hyperlink r:id="rId831" w:history="1">
        <w:r>
          <w:rPr>
            <w:rFonts w:ascii="arial" w:eastAsia="arial" w:hAnsi="arial" w:cs="arial"/>
            <w:i/>
            <w:color w:val="0077CC"/>
            <w:sz w:val="20"/>
            <w:u w:val="single"/>
            <w:shd w:val="clear" w:color="auto" w:fill="FFFFFF"/>
            <w:lang w:val="en-US" w:eastAsia="en-US" w:bidi="ar-SA"/>
          </w:rPr>
          <w:t>HMT-97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With regard to the application of the common law, in </w:t>
      </w:r>
      <w:r>
        <w:rPr>
          <w:rFonts w:ascii="arial" w:eastAsia="arial" w:hAnsi="arial" w:cs="arial"/>
          <w:i/>
          <w:color w:val="000000"/>
          <w:sz w:val="20"/>
          <w:lang w:val="en-US" w:eastAsia="en-US" w:bidi="ar-SA"/>
        </w:rPr>
        <w:t>Dixon v. Leggat</w:t>
      </w:r>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64 O.R. (3d) 347</w:t>
        </w:r>
      </w:hyperlink>
      <w:r>
        <w:rPr>
          <w:rFonts w:ascii="arial" w:eastAsia="arial" w:hAnsi="arial" w:cs="arial"/>
          <w:color w:val="000000"/>
          <w:sz w:val="20"/>
          <w:lang w:val="en-US" w:eastAsia="en-US" w:bidi="ar-SA"/>
        </w:rPr>
        <w:t>(C.A.), Goudge J.A. stated at para.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However, it is also clear that liability can be imposed on an owner of a vessel on the basis of the ordinary principles of tort law. As MacIntyre J. said in </w:t>
      </w:r>
      <w:r>
        <w:rPr>
          <w:rFonts w:ascii="arial" w:eastAsia="arial" w:hAnsi="arial" w:cs="arial"/>
          <w:i/>
          <w:color w:val="000000"/>
          <w:sz w:val="20"/>
          <w:lang w:val="en-US" w:eastAsia="en-US" w:bidi="ar-SA"/>
        </w:rPr>
        <w:t>Ito-International Terminal Operators Ltd. v. Miida Electronics Inc</w:t>
      </w:r>
      <w:r>
        <w:rPr>
          <w:rFonts w:ascii="arial" w:eastAsia="arial" w:hAnsi="arial" w:cs="arial"/>
          <w:color w:val="000000"/>
          <w:sz w:val="20"/>
          <w:lang w:val="en-US" w:eastAsia="en-US" w:bidi="ar-SA"/>
        </w:rPr>
        <w:t xml:space="preserve">., </w:t>
      </w:r>
      <w:hyperlink r:id="rId833" w:history="1">
        <w:r>
          <w:rPr>
            <w:rFonts w:ascii="arial" w:eastAsia="arial" w:hAnsi="arial" w:cs="arial"/>
            <w:i/>
            <w:color w:val="0077CC"/>
            <w:sz w:val="20"/>
            <w:u w:val="single"/>
            <w:shd w:val="clear" w:color="auto" w:fill="FFFFFF"/>
            <w:lang w:val="en-US" w:eastAsia="en-US" w:bidi="ar-SA"/>
          </w:rPr>
          <w:t>1986 CanLII 91</w:t>
        </w:r>
      </w:hyperlink>
      <w:r>
        <w:rPr>
          <w:rFonts w:ascii="arial" w:eastAsia="arial" w:hAnsi="arial" w:cs="arial"/>
          <w:color w:val="000000"/>
          <w:sz w:val="20"/>
          <w:lang w:val="en-US" w:eastAsia="en-US" w:bidi="ar-SA"/>
        </w:rPr>
        <w:t xml:space="preserve"> (SCC), </w:t>
      </w:r>
      <w:hyperlink r:id="rId833" w:history="1">
        <w:r>
          <w:rPr>
            <w:rFonts w:ascii="arial" w:eastAsia="arial" w:hAnsi="arial" w:cs="arial"/>
            <w:i/>
            <w:color w:val="0077CC"/>
            <w:sz w:val="20"/>
            <w:u w:val="single"/>
            <w:shd w:val="clear" w:color="auto" w:fill="FFFFFF"/>
            <w:lang w:val="en-US" w:eastAsia="en-US" w:bidi="ar-SA"/>
          </w:rPr>
          <w:t>[1986] 1 S.C.R. 752</w:t>
        </w:r>
      </w:hyperlink>
      <w:r>
        <w:rPr>
          <w:rFonts w:ascii="arial" w:eastAsia="arial" w:hAnsi="arial" w:cs="arial"/>
          <w:color w:val="000000"/>
          <w:sz w:val="20"/>
          <w:lang w:val="en-US" w:eastAsia="en-US" w:bidi="ar-SA"/>
        </w:rPr>
        <w:t xml:space="preserve"> at para. 28: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my view, as set out above, that Canadian maritime law is a body of federal law encompassing the common law principles of tort, contract and bailment.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The "Dundee"</w:t>
      </w:r>
      <w:r>
        <w:rPr>
          <w:rFonts w:ascii="arial" w:eastAsia="arial" w:hAnsi="arial" w:cs="arial"/>
          <w:color w:val="000000"/>
          <w:sz w:val="20"/>
          <w:lang w:val="en-US" w:eastAsia="en-US" w:bidi="ar-SA"/>
        </w:rPr>
        <w:t xml:space="preserve"> (1823), 166 E.R. 39 at 43, Lord Stowell of the High Court of Admiralty set out the essential elements of actionable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want of that attention and vigilance which is due to the security of other vessels that are navigating on the same seas, and which, if so far neglected as to become, however unintentionally, the cause of damage of any extent to such other vessels, the maritime law considers as a dereliction of bounden duty, entitling the sufferer to reparation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test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under maritime law is determined by the actions of the ordinary seaman, rather than the ordinary man. As stated in </w:t>
      </w:r>
      <w:r>
        <w:rPr>
          <w:rFonts w:ascii="arial" w:eastAsia="arial" w:hAnsi="arial" w:cs="arial"/>
          <w:i/>
          <w:color w:val="000000"/>
          <w:sz w:val="20"/>
          <w:lang w:val="en-US" w:eastAsia="en-US" w:bidi="ar-SA"/>
        </w:rPr>
        <w:t>Thomas Powell and Cuba (The)</w:t>
      </w:r>
      <w:r>
        <w:rPr>
          <w:rFonts w:ascii="arial" w:eastAsia="arial" w:hAnsi="arial" w:cs="arial"/>
          <w:color w:val="000000"/>
          <w:sz w:val="20"/>
          <w:lang w:val="en-US" w:eastAsia="en-US" w:bidi="ar-SA"/>
        </w:rPr>
        <w:t xml:space="preserve"> (1866) 14 L.T. 603 at 603: "We are not to expect extraordinary skill or extraordinary diligence, but that degree of skill and that degree of diligence which is generally to be found in persons who discharge their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Boleslaw Chrobry (The)</w:t>
      </w:r>
      <w:r>
        <w:rPr>
          <w:rFonts w:ascii="arial" w:eastAsia="arial" w:hAnsi="arial" w:cs="arial"/>
          <w:color w:val="000000"/>
          <w:sz w:val="20"/>
          <w:lang w:val="en-US" w:eastAsia="en-US" w:bidi="ar-SA"/>
        </w:rPr>
        <w:t>, [1974] 2 Lloyd's L.R. 308 at 316, the test was restated as: "The standard of skill and care to be applied by the Court is that of the ordinary mariner and not the extraordinary one, and seamen under criticism should be judged by reference to the situation as it reasonably appeared to them at the time, and not by hindsight."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Liability for a marine collision is based on a finding of fault for an act that has caused or contributed to the damage. The defences of inevitable accident and "agony of the moment" apply in maritime as well as in the common law. The defence of inevitable accident is available if it can be shown that the proximate cause of the accident was some external event beyond the ship's control that could not be avoided by ordinary care, caution and maritime skill (</w:t>
      </w:r>
      <w:r>
        <w:rPr>
          <w:rFonts w:ascii="arial" w:eastAsia="arial" w:hAnsi="arial" w:cs="arial"/>
          <w:i/>
          <w:color w:val="000000"/>
          <w:sz w:val="20"/>
          <w:lang w:val="en-US" w:eastAsia="en-US" w:bidi="ar-SA"/>
        </w:rPr>
        <w:t>A/S Ornen v. Duteous (The)</w:t>
      </w:r>
      <w:r>
        <w:rPr>
          <w:rFonts w:ascii="arial" w:eastAsia="arial" w:hAnsi="arial" w:cs="arial"/>
          <w:color w:val="000000"/>
          <w:sz w:val="20"/>
          <w:lang w:val="en-US" w:eastAsia="en-US" w:bidi="ar-SA"/>
        </w:rPr>
        <w:t xml:space="preserve">, </w:t>
      </w:r>
      <w:hyperlink r:id="rId834" w:history="1">
        <w:r>
          <w:rPr>
            <w:rFonts w:ascii="arial" w:eastAsia="arial" w:hAnsi="arial" w:cs="arial"/>
            <w:i/>
            <w:color w:val="0077CC"/>
            <w:sz w:val="20"/>
            <w:u w:val="single"/>
            <w:shd w:val="clear" w:color="auto" w:fill="FFFFFF"/>
            <w:lang w:val="en-US" w:eastAsia="en-US" w:bidi="ar-SA"/>
          </w:rPr>
          <w:t>[1986] F.C.J. No. 282</w:t>
        </w:r>
      </w:hyperlink>
      <w:r>
        <w:rPr>
          <w:rFonts w:ascii="arial" w:eastAsia="arial" w:hAnsi="arial" w:cs="arial"/>
          <w:color w:val="000000"/>
          <w:sz w:val="20"/>
          <w:lang w:val="en-US" w:eastAsia="en-US" w:bidi="ar-SA"/>
        </w:rPr>
        <w:t xml:space="preserve"> (T.D.) at para. 21). With regard to the agony of the moment, errors made in emergencies may be excused.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common law rules regarding collisions have for the most part been superseded by statutory rules which have been enacted in similar form in many countries. In Canada, they first came into effect in 1914 in the form of the </w:t>
      </w:r>
      <w:r>
        <w:rPr>
          <w:rFonts w:ascii="arial" w:eastAsia="arial" w:hAnsi="arial" w:cs="arial"/>
          <w:i/>
          <w:color w:val="000000"/>
          <w:sz w:val="20"/>
          <w:lang w:val="en-US" w:eastAsia="en-US" w:bidi="ar-SA"/>
        </w:rPr>
        <w:t>Collision Avoidance Rules</w:t>
      </w:r>
      <w:r>
        <w:rPr>
          <w:rFonts w:ascii="arial" w:eastAsia="arial" w:hAnsi="arial" w:cs="arial"/>
          <w:color w:val="000000"/>
          <w:sz w:val="20"/>
          <w:lang w:val="en-US" w:eastAsia="en-US" w:bidi="ar-SA"/>
        </w:rPr>
        <w:t xml:space="preserve">. The present </w:t>
      </w:r>
      <w:r>
        <w:rPr>
          <w:rFonts w:ascii="arial" w:eastAsia="arial" w:hAnsi="arial" w:cs="arial"/>
          <w:i/>
          <w:color w:val="000000"/>
          <w:sz w:val="20"/>
          <w:lang w:val="en-US" w:eastAsia="en-US" w:bidi="ar-SA"/>
        </w:rPr>
        <w:t>Collision Regulations,</w:t>
      </w:r>
      <w:r>
        <w:rPr>
          <w:rFonts w:ascii="arial" w:eastAsia="arial" w:hAnsi="arial" w:cs="arial"/>
          <w:color w:val="000000"/>
          <w:sz w:val="20"/>
          <w:lang w:val="en-US" w:eastAsia="en-US" w:bidi="ar-SA"/>
        </w:rPr>
        <w:t xml:space="preserve"> which incorporate at Schedule 1 the </w:t>
      </w:r>
      <w:r>
        <w:rPr>
          <w:rFonts w:ascii="arial" w:eastAsia="arial" w:hAnsi="arial" w:cs="arial"/>
          <w:i/>
          <w:color w:val="000000"/>
          <w:sz w:val="20"/>
          <w:lang w:val="en-US" w:eastAsia="en-US" w:bidi="ar-SA"/>
        </w:rPr>
        <w:t>International Regulations for Preventing Collisions at Sea, 1972</w:t>
      </w:r>
      <w:r>
        <w:rPr>
          <w:rFonts w:ascii="arial" w:eastAsia="arial" w:hAnsi="arial" w:cs="arial"/>
          <w:color w:val="000000"/>
          <w:sz w:val="20"/>
          <w:lang w:val="en-US" w:eastAsia="en-US" w:bidi="ar-SA"/>
        </w:rPr>
        <w:t xml:space="preserve">, are enacted pursuant to the </w:t>
      </w:r>
      <w:r>
        <w:rPr>
          <w:rFonts w:ascii="arial" w:eastAsia="arial" w:hAnsi="arial" w:cs="arial"/>
          <w:i/>
          <w:color w:val="000000"/>
          <w:sz w:val="20"/>
          <w:lang w:val="en-US" w:eastAsia="en-US" w:bidi="ar-SA"/>
        </w:rPr>
        <w:t>Canada Shipping Act, 2001</w:t>
      </w:r>
      <w:r>
        <w:rPr>
          <w:rFonts w:ascii="arial" w:eastAsia="arial" w:hAnsi="arial" w:cs="arial"/>
          <w:color w:val="000000"/>
          <w:sz w:val="20"/>
          <w:lang w:val="en-US" w:eastAsia="en-US" w:bidi="ar-SA"/>
        </w:rPr>
        <w:t xml:space="preserve">, </w:t>
      </w:r>
      <w:hyperlink r:id="rId829" w:history="1">
        <w:r>
          <w:rPr>
            <w:rFonts w:ascii="arial" w:eastAsia="arial" w:hAnsi="arial" w:cs="arial"/>
            <w:i/>
            <w:color w:val="0077CC"/>
            <w:sz w:val="20"/>
            <w:u w:val="single"/>
            <w:shd w:val="clear" w:color="auto" w:fill="FFFFFF"/>
            <w:lang w:val="en-US" w:eastAsia="en-US" w:bidi="ar-SA"/>
          </w:rPr>
          <w:t>S.C. 2001, c. 26</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The Act</w:t>
      </w:r>
      <w:r>
        <w:rPr>
          <w:rFonts w:ascii="arial" w:eastAsia="arial" w:hAnsi="arial" w:cs="arial"/>
          <w:color w:val="000000"/>
          <w:sz w:val="20"/>
          <w:lang w:val="en-US" w:eastAsia="en-US" w:bidi="ar-SA"/>
        </w:rPr>
        <w:t xml:space="preserve"> is the principal legislation governing safety in marine transportation and recreational boating as well as protection of the marine environment.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applies to lakes and inland waterways as well as to the territorial sea. "Vessel" is the term used for general application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As the definition of vessel includes a boat, those nouns will be used interchangeably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One of the issues addressed in in the </w:t>
      </w:r>
      <w:r>
        <w:rPr>
          <w:rFonts w:ascii="arial" w:eastAsia="arial" w:hAnsi="arial" w:cs="arial"/>
          <w:i/>
          <w:color w:val="000000"/>
          <w:sz w:val="20"/>
          <w:lang w:val="en-US" w:eastAsia="en-US" w:bidi="ar-SA"/>
        </w:rPr>
        <w:t>Collision Regulations</w:t>
      </w:r>
      <w:r>
        <w:rPr>
          <w:rFonts w:ascii="arial" w:eastAsia="arial" w:hAnsi="arial" w:cs="arial"/>
          <w:color w:val="000000"/>
          <w:sz w:val="20"/>
          <w:lang w:val="en-US" w:eastAsia="en-US" w:bidi="ar-SA"/>
        </w:rPr>
        <w:t xml:space="preserve"> is the fact that historically many collisions occurred because of the lack of a proper lookout. At common law, as stated regarding British shipping laws in Simon Gault, ed., </w:t>
      </w:r>
      <w:r>
        <w:rPr>
          <w:rFonts w:ascii="arial" w:eastAsia="arial" w:hAnsi="arial" w:cs="arial"/>
          <w:i/>
          <w:color w:val="000000"/>
          <w:sz w:val="20"/>
          <w:lang w:val="en-US" w:eastAsia="en-US" w:bidi="ar-SA"/>
        </w:rPr>
        <w:t>Marsden on Collisions at Sea</w:t>
      </w:r>
      <w:r>
        <w:rPr>
          <w:rFonts w:ascii="arial" w:eastAsia="arial" w:hAnsi="arial" w:cs="arial"/>
          <w:color w:val="000000"/>
          <w:sz w:val="20"/>
          <w:lang w:val="en-US" w:eastAsia="en-US" w:bidi="ar-SA"/>
        </w:rPr>
        <w:t>, 12th ed (London, UK: Sweet &amp; Maxwell, 1998) at para. 6-48: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a ship is proved to have been negligent in not keeping a proper look-out she will be held answerable for all the reasonable consequences of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Rule 5 of the </w:t>
      </w:r>
      <w:r>
        <w:rPr>
          <w:rFonts w:ascii="arial" w:eastAsia="arial" w:hAnsi="arial" w:cs="arial"/>
          <w:i/>
          <w:color w:val="000000"/>
          <w:sz w:val="20"/>
          <w:lang w:val="en-US" w:eastAsia="en-US" w:bidi="ar-SA"/>
        </w:rPr>
        <w:t>Collision Regulations</w:t>
      </w:r>
      <w:r>
        <w:rPr>
          <w:rFonts w:ascii="arial" w:eastAsia="arial" w:hAnsi="arial" w:cs="arial"/>
          <w:color w:val="000000"/>
          <w:sz w:val="20"/>
          <w:lang w:val="en-US" w:eastAsia="en-US" w:bidi="ar-SA"/>
        </w:rPr>
        <w:t xml:space="preserve"> requires that all operators maintain a proper lookout. It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 vessel shall at all times maintain a proper look-out by sight and hearing as well as by all available means appropriate in the prevailing circumstances and conditions so as to make a full appraisal of the situation and of the risk of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A proper lookout has been interpreted to include: visual lookout; aural lookout; and the intelligent interpretation of data received from electronic navigational aids such as radar. The number of persons required to constitute a proper lookout will depend on factors such as the size of the vessel, visibility, and the density of traffic. In most cases one person may be sufficient. It is also important to ensure that the lookout is posted in a place on the vessel where there is an unobstructed view: Edgar Gold, Aldo Chircop and Hugh Kindred, </w:t>
      </w:r>
      <w:r>
        <w:rPr>
          <w:rFonts w:ascii="arial" w:eastAsia="arial" w:hAnsi="arial" w:cs="arial"/>
          <w:i/>
          <w:color w:val="000000"/>
          <w:sz w:val="20"/>
          <w:lang w:val="en-US" w:eastAsia="en-US" w:bidi="ar-SA"/>
        </w:rPr>
        <w:t>Maritime Law</w:t>
      </w:r>
      <w:r>
        <w:rPr>
          <w:rFonts w:ascii="arial" w:eastAsia="arial" w:hAnsi="arial" w:cs="arial"/>
          <w:color w:val="000000"/>
          <w:sz w:val="20"/>
          <w:lang w:val="en-US" w:eastAsia="en-US" w:bidi="ar-SA"/>
        </w:rPr>
        <w:t xml:space="preserve"> (Toronto: Irwin Law, 2003) at 501-502.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An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because of a violation of the </w:t>
      </w:r>
      <w:r>
        <w:rPr>
          <w:rFonts w:ascii="arial" w:eastAsia="arial" w:hAnsi="arial" w:cs="arial"/>
          <w:i/>
          <w:color w:val="000000"/>
          <w:sz w:val="20"/>
          <w:lang w:val="en-US" w:eastAsia="en-US" w:bidi="ar-SA"/>
        </w:rPr>
        <w:t>Collision Regulations</w:t>
      </w:r>
      <w:r>
        <w:rPr>
          <w:rFonts w:ascii="arial" w:eastAsia="arial" w:hAnsi="arial" w:cs="arial"/>
          <w:color w:val="000000"/>
          <w:sz w:val="20"/>
          <w:lang w:val="en-US" w:eastAsia="en-US" w:bidi="ar-SA"/>
        </w:rPr>
        <w:t xml:space="preserve"> must be considered in light of the principle that a mere breach of a statute, standard or rule is not equivalent to a finding of liability. Standards and rules help to inform the Court of the standard of care and what accords with those standards: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liability of an owner or master for a collision between an anchored, stationary vessel and a vessel travelling at an excessive speed without keeping a proper lookout was considered by the Nova Scotia Court of Appeal in </w:t>
      </w:r>
      <w:r>
        <w:rPr>
          <w:rFonts w:ascii="arial" w:eastAsia="arial" w:hAnsi="arial" w:cs="arial"/>
          <w:i/>
          <w:color w:val="000000"/>
          <w:sz w:val="20"/>
          <w:lang w:val="en-US" w:eastAsia="en-US" w:bidi="ar-SA"/>
        </w:rPr>
        <w:t>Conrad v. Snair</w:t>
      </w:r>
      <w:r>
        <w:rPr>
          <w:rFonts w:ascii="arial" w:eastAsia="arial" w:hAnsi="arial" w:cs="arial"/>
          <w:color w:val="000000"/>
          <w:sz w:val="20"/>
          <w:lang w:val="en-US" w:eastAsia="en-US" w:bidi="ar-SA"/>
        </w:rPr>
        <w:t xml:space="preserve"> </w:t>
      </w:r>
      <w:hyperlink r:id="rId835" w:history="1">
        <w:r>
          <w:rPr>
            <w:rFonts w:ascii="arial" w:eastAsia="arial" w:hAnsi="arial" w:cs="arial"/>
            <w:i/>
            <w:color w:val="0077CC"/>
            <w:sz w:val="20"/>
            <w:u w:val="single"/>
            <w:shd w:val="clear" w:color="auto" w:fill="FFFFFF"/>
            <w:lang w:val="en-US" w:eastAsia="en-US" w:bidi="ar-SA"/>
          </w:rPr>
          <w:t>(1995), 131 D.L.R. (4th) 129</w:t>
        </w:r>
      </w:hyperlink>
      <w:r>
        <w:rPr>
          <w:rFonts w:ascii="arial" w:eastAsia="arial" w:hAnsi="arial" w:cs="arial"/>
          <w:color w:val="000000"/>
          <w:sz w:val="20"/>
          <w:lang w:val="en-US" w:eastAsia="en-US" w:bidi="ar-SA"/>
        </w:rPr>
        <w:t xml:space="preserve">, </w:t>
      </w:r>
      <w:hyperlink r:id="rId835" w:history="1">
        <w:r>
          <w:rPr>
            <w:rFonts w:ascii="arial" w:eastAsia="arial" w:hAnsi="arial" w:cs="arial"/>
            <w:i/>
            <w:color w:val="0077CC"/>
            <w:sz w:val="20"/>
            <w:u w:val="single"/>
            <w:shd w:val="clear" w:color="auto" w:fill="FFFFFF"/>
            <w:lang w:val="en-US" w:eastAsia="en-US" w:bidi="ar-SA"/>
          </w:rPr>
          <w:t>[1995] N.S.J. No. 519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Conrad</w:t>
      </w:r>
      <w:r>
        <w:rPr>
          <w:rFonts w:ascii="arial" w:eastAsia="arial" w:hAnsi="arial" w:cs="arial"/>
          <w:color w:val="000000"/>
          <w:sz w:val="20"/>
          <w:lang w:val="en-US" w:eastAsia="en-US" w:bidi="ar-SA"/>
        </w:rPr>
        <w:t>]. After reviewing the case authorities, Mr. Justice Freeman stated that a boat owner's responsibilities could be divided into three principal categories, at para. 115:</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ship must be seaworthy in the sense of being fit for the intended voyage, in good repair and properly equipped, and safe for those on board.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ship must be provided with proper navigational aids including current charts, rules and information.</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ship must be properly and competently staffed.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This list of categories was adopted by the British Columbia Court of Appeal In </w:t>
      </w:r>
      <w:r>
        <w:rPr>
          <w:rFonts w:ascii="arial" w:eastAsia="arial" w:hAnsi="arial" w:cs="arial"/>
          <w:i/>
          <w:color w:val="000000"/>
          <w:sz w:val="20"/>
          <w:lang w:val="en-US" w:eastAsia="en-US" w:bidi="ar-SA"/>
        </w:rPr>
        <w:t>Vukorep v. Bartulin,</w:t>
      </w:r>
      <w:r>
        <w:rPr>
          <w:rFonts w:ascii="arial" w:eastAsia="arial" w:hAnsi="arial" w:cs="arial"/>
          <w:color w:val="000000"/>
          <w:sz w:val="20"/>
          <w:lang w:val="en-US" w:eastAsia="en-US" w:bidi="ar-SA"/>
        </w:rPr>
        <w:t xml:space="preserve"> </w:t>
      </w:r>
      <w:hyperlink r:id="rId836" w:history="1">
        <w:r>
          <w:rPr>
            <w:rFonts w:ascii="arial" w:eastAsia="arial" w:hAnsi="arial" w:cs="arial"/>
            <w:i/>
            <w:color w:val="0077CC"/>
            <w:sz w:val="20"/>
            <w:u w:val="single"/>
            <w:shd w:val="clear" w:color="auto" w:fill="FFFFFF"/>
            <w:lang w:val="en-US" w:eastAsia="en-US" w:bidi="ar-SA"/>
          </w:rPr>
          <w:t>2005 BCCA 142</w:t>
        </w:r>
      </w:hyperlink>
      <w:r>
        <w:rPr>
          <w:rFonts w:ascii="arial" w:eastAsia="arial" w:hAnsi="arial" w:cs="arial"/>
          <w:color w:val="000000"/>
          <w:sz w:val="20"/>
          <w:lang w:val="en-US" w:eastAsia="en-US" w:bidi="ar-SA"/>
        </w:rPr>
        <w:t xml:space="preserve"> at para. 19. In </w:t>
      </w:r>
      <w:r>
        <w:rPr>
          <w:rFonts w:ascii="arial" w:eastAsia="arial" w:hAnsi="arial" w:cs="arial"/>
          <w:i/>
          <w:color w:val="000000"/>
          <w:sz w:val="20"/>
          <w:lang w:val="en-US" w:eastAsia="en-US" w:bidi="ar-SA"/>
        </w:rPr>
        <w:t>Vukorep</w:t>
      </w:r>
      <w:r>
        <w:rPr>
          <w:rFonts w:ascii="arial" w:eastAsia="arial" w:hAnsi="arial" w:cs="arial"/>
          <w:color w:val="000000"/>
          <w:sz w:val="20"/>
          <w:lang w:val="en-US" w:eastAsia="en-US" w:bidi="ar-SA"/>
        </w:rPr>
        <w:t>, Rowles J.A. went on to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The case authorities establish that owners must show they were themselves in no way in fault that was causative of what occurred: </w:t>
      </w:r>
      <w:r>
        <w:rPr>
          <w:rFonts w:ascii="arial" w:eastAsia="arial" w:hAnsi="arial" w:cs="arial"/>
          <w:i/>
          <w:color w:val="000000"/>
          <w:sz w:val="20"/>
          <w:lang w:val="en-US" w:eastAsia="en-US" w:bidi="ar-SA"/>
        </w:rPr>
        <w:t>Stein v. Kathy K.</w:t>
      </w:r>
      <w:r>
        <w:rPr>
          <w:rFonts w:ascii="arial" w:eastAsia="arial" w:hAnsi="arial" w:cs="arial"/>
          <w:color w:val="000000"/>
          <w:sz w:val="20"/>
          <w:lang w:val="en-US" w:eastAsia="en-US" w:bidi="ar-SA"/>
        </w:rPr>
        <w:t xml:space="preserve">, </w:t>
      </w:r>
      <w:hyperlink r:id="rId837" w:history="1">
        <w:r>
          <w:rPr>
            <w:rFonts w:ascii="arial" w:eastAsia="arial" w:hAnsi="arial" w:cs="arial"/>
            <w:i/>
            <w:color w:val="0077CC"/>
            <w:sz w:val="20"/>
            <w:u w:val="single"/>
            <w:shd w:val="clear" w:color="auto" w:fill="FFFFFF"/>
            <w:lang w:val="en-US" w:eastAsia="en-US" w:bidi="ar-SA"/>
          </w:rPr>
          <w:t>[1976] 2 S.C.R. 802</w:t>
        </w:r>
      </w:hyperlink>
      <w:r>
        <w:rPr>
          <w:rFonts w:ascii="arial" w:eastAsia="arial" w:hAnsi="arial" w:cs="arial"/>
          <w:color w:val="000000"/>
          <w:sz w:val="20"/>
          <w:lang w:val="en-US" w:eastAsia="en-US" w:bidi="ar-SA"/>
        </w:rPr>
        <w:t xml:space="preserve">, </w:t>
      </w:r>
      <w:hyperlink r:id="rId837" w:history="1">
        <w:r>
          <w:rPr>
            <w:rFonts w:ascii="arial" w:eastAsia="arial" w:hAnsi="arial" w:cs="arial"/>
            <w:i/>
            <w:color w:val="0077CC"/>
            <w:sz w:val="20"/>
            <w:u w:val="single"/>
            <w:shd w:val="clear" w:color="auto" w:fill="FFFFFF"/>
            <w:lang w:val="en-US" w:eastAsia="en-US" w:bidi="ar-SA"/>
          </w:rPr>
          <w:t>62 D.L.R. (3d) 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Standard Oil Co. of New York v. Clan Line Steamers Ltd.</w:t>
      </w:r>
      <w:r>
        <w:rPr>
          <w:rFonts w:ascii="arial" w:eastAsia="arial" w:hAnsi="arial" w:cs="arial"/>
          <w:color w:val="000000"/>
          <w:sz w:val="20"/>
          <w:lang w:val="en-US" w:eastAsia="en-US" w:bidi="ar-SA"/>
        </w:rPr>
        <w:t xml:space="preserve">, [1924] A.C. 100, at 113. In </w:t>
      </w:r>
      <w:r>
        <w:rPr>
          <w:rFonts w:ascii="arial" w:eastAsia="arial" w:hAnsi="arial" w:cs="arial"/>
          <w:i/>
          <w:color w:val="000000"/>
          <w:sz w:val="20"/>
          <w:lang w:val="en-US" w:eastAsia="en-US" w:bidi="ar-SA"/>
        </w:rPr>
        <w:t>Meeker Log and Timber Ltd. v. Sea Imp VIII (The)</w:t>
      </w:r>
      <w:r>
        <w:rPr>
          <w:rFonts w:ascii="arial" w:eastAsia="arial" w:hAnsi="arial" w:cs="arial"/>
          <w:color w:val="000000"/>
          <w:sz w:val="20"/>
          <w:lang w:val="en-US" w:eastAsia="en-US" w:bidi="ar-SA"/>
        </w:rPr>
        <w:t xml:space="preserve"> </w:t>
      </w:r>
      <w:hyperlink r:id="rId838" w:history="1">
        <w:r>
          <w:rPr>
            <w:rFonts w:ascii="arial" w:eastAsia="arial" w:hAnsi="arial" w:cs="arial"/>
            <w:i/>
            <w:color w:val="0077CC"/>
            <w:sz w:val="20"/>
            <w:u w:val="single"/>
            <w:shd w:val="clear" w:color="auto" w:fill="FFFFFF"/>
            <w:lang w:val="en-US" w:eastAsia="en-US" w:bidi="ar-SA"/>
          </w:rPr>
          <w:t>(1994), 1 B.C.L.R. (3d) 320</w:t>
        </w:r>
      </w:hyperlink>
      <w:r>
        <w:rPr>
          <w:rFonts w:ascii="arial" w:eastAsia="arial" w:hAnsi="arial" w:cs="arial"/>
          <w:color w:val="000000"/>
          <w:sz w:val="20"/>
          <w:lang w:val="en-US" w:eastAsia="en-US" w:bidi="ar-SA"/>
        </w:rPr>
        <w:t xml:space="preserve">, </w:t>
      </w:r>
      <w:hyperlink r:id="rId838" w:history="1">
        <w:r>
          <w:rPr>
            <w:rFonts w:ascii="arial" w:eastAsia="arial" w:hAnsi="arial" w:cs="arial"/>
            <w:i/>
            <w:color w:val="0077CC"/>
            <w:sz w:val="20"/>
            <w:u w:val="single"/>
            <w:shd w:val="clear" w:color="auto" w:fill="FFFFFF"/>
            <w:lang w:val="en-US" w:eastAsia="en-US" w:bidi="ar-SA"/>
          </w:rPr>
          <w:t>[1994] B.C.J. No. 3006</w:t>
        </w:r>
      </w:hyperlink>
      <w:r>
        <w:rPr>
          <w:rFonts w:ascii="arial" w:eastAsia="arial" w:hAnsi="arial" w:cs="arial"/>
          <w:color w:val="000000"/>
          <w:sz w:val="20"/>
          <w:lang w:val="en-US" w:eastAsia="en-US" w:bidi="ar-SA"/>
        </w:rPr>
        <w:t xml:space="preserve">, (B.C.S.C.), aff'd </w:t>
      </w:r>
      <w:hyperlink r:id="rId839" w:history="1">
        <w:r>
          <w:rPr>
            <w:rFonts w:ascii="arial" w:eastAsia="arial" w:hAnsi="arial" w:cs="arial"/>
            <w:i/>
            <w:color w:val="0077CC"/>
            <w:sz w:val="20"/>
            <w:u w:val="single"/>
            <w:shd w:val="clear" w:color="auto" w:fill="FFFFFF"/>
            <w:lang w:val="en-US" w:eastAsia="en-US" w:bidi="ar-SA"/>
          </w:rPr>
          <w:t>(1996), 21 B.C.L.R. (3d) 101</w:t>
        </w:r>
      </w:hyperlink>
      <w:r>
        <w:rPr>
          <w:rFonts w:ascii="arial" w:eastAsia="arial" w:hAnsi="arial" w:cs="arial"/>
          <w:color w:val="000000"/>
          <w:sz w:val="20"/>
          <w:lang w:val="en-US" w:eastAsia="en-US" w:bidi="ar-SA"/>
        </w:rPr>
        <w:t xml:space="preserve">, </w:t>
      </w:r>
      <w:hyperlink r:id="rId839" w:history="1">
        <w:r>
          <w:rPr>
            <w:rFonts w:ascii="arial" w:eastAsia="arial" w:hAnsi="arial" w:cs="arial"/>
            <w:i/>
            <w:color w:val="0077CC"/>
            <w:sz w:val="20"/>
            <w:u w:val="single"/>
            <w:shd w:val="clear" w:color="auto" w:fill="FFFFFF"/>
            <w:lang w:val="en-US" w:eastAsia="en-US" w:bidi="ar-SA"/>
          </w:rPr>
          <w:t>[1996] B.C.J. No. 1411</w:t>
        </w:r>
      </w:hyperlink>
      <w:r>
        <w:rPr>
          <w:rFonts w:ascii="arial" w:eastAsia="arial" w:hAnsi="arial" w:cs="arial"/>
          <w:color w:val="000000"/>
          <w:sz w:val="20"/>
          <w:lang w:val="en-US" w:eastAsia="en-US" w:bidi="ar-SA"/>
        </w:rPr>
        <w:t xml:space="preserve"> (B.C.C.A.) [cited to B.C.L.R.], Lowry J., as he then was, said that an owner: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...must discharge what is a heavy burden of proving that the person or persons who represented its managing or directing mind were not at fault in any way that was at all causative of the loss: there must have been no failure to do what ought to have been done. The standard of care is not one of perfection; it is rather one of what would be done by a reasonable owner (at para. 18).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In summary, an owner will not be permitted to limit his liability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if:</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in question occurred with the owner's actual fault or privity in that it occurred as a result of the owner's failure to ensure that the ship was (i) seaworthy (ii) provided with proper navigational aids or (iii) properly and competently staffed; and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relevant fault caused or contributed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However, in order for the owner to be at fault, there must be consent, express or implied, for the person in control of the vessel at the time of the accident to have that vessel. Without the requirement of consent, an owner with no intention of allowing an unfit ship to operate may have that ship stolen and be held liable for any accidents that result. This principle is stated by the Supreme Court of Canada in </w:t>
      </w:r>
      <w:r>
        <w:rPr>
          <w:rFonts w:ascii="arial" w:eastAsia="arial" w:hAnsi="arial" w:cs="arial"/>
          <w:i/>
          <w:color w:val="000000"/>
          <w:sz w:val="20"/>
          <w:lang w:val="en-US" w:eastAsia="en-US" w:bidi="ar-SA"/>
        </w:rPr>
        <w:t>Goodwin Johnson Ltd. v. AT &amp; B No. 28 (The),</w:t>
      </w:r>
      <w:r>
        <w:rPr>
          <w:rFonts w:ascii="arial" w:eastAsia="arial" w:hAnsi="arial" w:cs="arial"/>
          <w:color w:val="000000"/>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[1954] S.C.R. 513</w:t>
        </w:r>
      </w:hyperlink>
      <w:r>
        <w:rPr>
          <w:rFonts w:ascii="arial" w:eastAsia="arial" w:hAnsi="arial" w:cs="arial"/>
          <w:color w:val="000000"/>
          <w:sz w:val="20"/>
          <w:lang w:val="en-US" w:eastAsia="en-US" w:bidi="ar-SA"/>
        </w:rPr>
        <w:t xml:space="preserve"> at 533: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His absolute authority on board ship derives from that conception. </w:t>
      </w:r>
      <w:r>
        <w:rPr>
          <w:rFonts w:ascii="arial" w:eastAsia="arial" w:hAnsi="arial" w:cs="arial"/>
          <w:color w:val="000000"/>
          <w:sz w:val="20"/>
          <w:u w:val="single"/>
          <w:lang w:val="en-US" w:eastAsia="en-US" w:bidi="ar-SA"/>
        </w:rPr>
        <w:t>So long as there is the voluntary entrustment of interests to the administrator or person in complete control of the vessel</w:t>
      </w:r>
      <w:r>
        <w:rPr>
          <w:rFonts w:ascii="arial" w:eastAsia="arial" w:hAnsi="arial" w:cs="arial"/>
          <w:color w:val="000000"/>
          <w:sz w:val="20"/>
          <w:lang w:val="en-US" w:eastAsia="en-US" w:bidi="ar-SA"/>
        </w:rPr>
        <w:t>, what that vessel does through its fault to damage another is chargeable against those interests, and only when there is a breach in authority from the owner can they claim exemption.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Also see </w:t>
      </w:r>
      <w:r>
        <w:rPr>
          <w:rFonts w:ascii="arial" w:eastAsia="arial" w:hAnsi="arial" w:cs="arial"/>
          <w:i/>
          <w:color w:val="000000"/>
          <w:sz w:val="20"/>
          <w:lang w:val="en-US" w:eastAsia="en-US" w:bidi="ar-SA"/>
        </w:rPr>
        <w:t>Cox v. Brown</w:t>
      </w:r>
      <w:r>
        <w:rPr>
          <w:rFonts w:ascii="arial" w:eastAsia="arial" w:hAnsi="arial" w:cs="arial"/>
          <w:color w:val="000000"/>
          <w:sz w:val="20"/>
          <w:lang w:val="en-US" w:eastAsia="en-US" w:bidi="ar-SA"/>
        </w:rPr>
        <w:t>, 4 C.P.C. (4th) 110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If more than one individual is found liable, apportionment of responsibility is governed by s. 17 of the </w:t>
      </w:r>
      <w:r>
        <w:rPr>
          <w:rFonts w:ascii="arial" w:eastAsia="arial" w:hAnsi="arial" w:cs="arial"/>
          <w:i/>
          <w:color w:val="000000"/>
          <w:sz w:val="20"/>
          <w:lang w:val="en-US" w:eastAsia="en-US" w:bidi="ar-SA"/>
        </w:rPr>
        <w:t>Marine Liability Act,</w:t>
      </w:r>
      <w:r>
        <w:rPr>
          <w:rFonts w:ascii="arial" w:eastAsia="arial" w:hAnsi="arial" w:cs="arial"/>
          <w:color w:val="000000"/>
          <w:sz w:val="20"/>
          <w:lang w:val="en-US" w:eastAsia="en-US" w:bidi="ar-SA"/>
        </w:rPr>
        <w:t xml:space="preserve"> </w:t>
      </w:r>
      <w:hyperlink r:id="rId841" w:history="1">
        <w:r>
          <w:rPr>
            <w:rFonts w:ascii="arial" w:eastAsia="arial" w:hAnsi="arial" w:cs="arial"/>
            <w:i/>
            <w:color w:val="0077CC"/>
            <w:sz w:val="20"/>
            <w:u w:val="single"/>
            <w:shd w:val="clear" w:color="auto" w:fill="FFFFFF"/>
            <w:lang w:val="en-US" w:eastAsia="en-US" w:bidi="ar-SA"/>
          </w:rPr>
          <w:t>S.C. 2001, c. 6</w:t>
        </w:r>
      </w:hyperlink>
      <w:r>
        <w:rPr>
          <w:rFonts w:ascii="arial" w:eastAsia="arial" w:hAnsi="arial" w:cs="arial"/>
          <w:color w:val="000000"/>
          <w:sz w:val="20"/>
          <w:lang w:val="en-US" w:eastAsia="en-US" w:bidi="ar-SA"/>
        </w:rPr>
        <w:t xml:space="preserve">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Apportionment based on degree of fault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(1) Where loss is caused by the fault or neglect of two or more persons or ships, their liability is proportionate to the degree to which they are respectively at fault or negligent and, if it is not possible to determine different degrees of fault or neglect, their liability is equal.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Joint and several liability</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(3), the persons or ships that are at fault or negligent are jointly and severally liable to the persons or ships suffering the loss but, as between themselves, they are liable to make contribution to each other or to indemnify each other in the degree to which they are respectively at fault or negligent.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Exception -- loss of ships and property</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by the fault or neglect of two or more ships, loss is caused to one or more of those ships, their cargo or other property on board, or loss of earnings results to one or more of those ships, their liability to make good such loss is not joint and several.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Persons responsible</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section, a reference to liability of a ship that is at fault or negligent includes liability of any person responsible for the navigation and management of the ship or any other person responsible for the fault or neglect of the 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THE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A. </w:t>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Three individuals are alleged to have been negligent and to have caused the collision on Lake Okanagan on June 30, 2008. Cory Skidmore's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admitted. It is clear on the evidence that he failed to keep a proper lookout and that his failure to do so was a cause of the collision. I will discuss the evidence and law relevant to the contested claims against Ms. Skidmore and Mr. Atkinson.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discussing the facts relevant to the Skidmore defendants, I am mindful that there are issues of credibility and reliability. As I make findings of fact I will set out the evidentiary basis for those findings.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B. </w:t>
      </w:r>
      <w:r>
        <w:rPr>
          <w:rFonts w:ascii="arial" w:eastAsia="arial" w:hAnsi="arial" w:cs="arial"/>
          <w:b/>
          <w:color w:val="000000"/>
          <w:sz w:val="20"/>
          <w:u w:val="single"/>
          <w:lang w:val="en-US" w:eastAsia="en-US" w:bidi="ar-SA"/>
        </w:rPr>
        <w:t>Maridee Skidmore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Ms. Skidmore was the owner of the Gypsea Rose, either in her personal capacity or as executrix and trustee of the estate of her late husband, Lloyd Skidmore. Mr. Skidmore had purchased the boat in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Skidmore died from drowning in Lake Okanagan in 2007. Alcohol was a factor in the drowning. Ms. Skidmore was still mourning his death, and was grieving on the date of the collision. As had been her custom, she spent much of the day in her bedroom.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After her husband's death, only her sons, Cory and Nathan, operated the Gypsea Rose. Her sons were left to do the maintenance and to refuel the boat. She permitted them to use the boat if they obeyed her rules about operating the boat. There were three rules: the boys had to ask her permission; they had to be responsible and careful; and at no time was alcohol or anyone who had drunk alcohol allowed on the boat. Ms. Skidmore knew that Cory was an alcoholic and could not be trusted to use good judgment on his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Ms. Skidmore testified that there was no specific discussion regarding speed because this boat did not go fast. Ms. Skidmore described it as a fishing or cruising boat. She testified that she spoke to the boys about not going fast with the bad propeller, and that was one part of the condition to be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Gypsea Rose was not well maintained or in good operating condition in two particular respects. Although Ms. Skidmore's testimony was inconsistent regarding her knowledge of the throttle and of the propeller and the planing problem, I find that the facts that the improper replacement propeller caused the boat not to plane at higher speeds, and that the throttle would stick were known to Ms. Skidmore and to Cory Skidmore.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rules which Ms. Skidmore had imposed on her sons' use of the boat addressed the poor condition of the boat as well as her knowledge of Cory's alcoholism. Cory knew of the rules. The only evidence that he breached these rules prior to the second trip on June 30 is that he was driving fast on the trip back from the cliff divers earlier on June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 three responsibilities of a boat owner are set out in </w:t>
      </w:r>
      <w:r>
        <w:rPr>
          <w:rFonts w:ascii="arial" w:eastAsia="arial" w:hAnsi="arial" w:cs="arial"/>
          <w:i/>
          <w:color w:val="000000"/>
          <w:sz w:val="20"/>
          <w:lang w:val="en-US" w:eastAsia="en-US" w:bidi="ar-SA"/>
        </w:rPr>
        <w:t>Conrad</w:t>
      </w:r>
      <w:r>
        <w:rPr>
          <w:rFonts w:ascii="arial" w:eastAsia="arial" w:hAnsi="arial" w:cs="arial"/>
          <w:color w:val="000000"/>
          <w:sz w:val="20"/>
          <w:lang w:val="en-US" w:eastAsia="en-US" w:bidi="ar-SA"/>
        </w:rPr>
        <w:t>. It is the first and third categories, namely whether the ship was seaworthy and whether it was competently staffed, that are relevant in determining the liability of Ms. Skidmore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First I will deal with the responsibility set out as the third category in the case: The ship must be properly and competently staffed. The application to these facts is that Ms. Skidmore must have been satisfied that Cory was competent to operate the boat at the time of the collision. This is turn raises the question as to whether Cory had Ms. Skidmore's consent to take the boat to the Peachland Marina.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On the morning of June 30, Ms. Skidmore gave permission to Cory to take his niece and her friend on the boat across the lake to watch the cliff divers and only to the cliff divers and back. I find that Ms. Skidmore observed Cory at the dock before he left on this trip across the lake about 11:00 a.m. She confirmed with him that he was sober.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When Cory returned from the cliff divers at about 12:30 p.m., he drank a quantity of alcohol. He then departed in the boat with his girlfriend and his brother's brother-in-law for the Peachland Marina to refuel the boat. It was on this journey that the collision with the Searay occurred. Ms. Skidmore testified that she would not have allowed him to take the boat if he had been drinking, even one beer.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There is no evidence that Ms. Skidmore gave her express consent for the second trip. It was not one continuous voyage but two separate trips. The issue which arises is whether Cory had his mother's consent to use the Gypsea Rose for the second trip to the Peachland Marina to refuel the boat.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evidence of Ms. Skidmore and Cory Skidmore is entirely unclear regarding the events between the two boat trips. Ms. Skidmore has testified to three versions, and at trial, had difficulty determining which of two versions of events were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do find that Cory tied up the boat when he returned from watching the cliff divers. He had returned quickly from the first trip so that he could begin drinking alcohol that day. He had a conversation with his mother, and her making him a sandwich was discussed. He told her to go and take a nap. His goal was to take the boat keys and "go party". Where and how he obtained the keys is not clear. I find that Ms. Skidmore did not see Cory after he started drinking and before the second trip; Cory did not want her to see him drinking or drunk.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Cory drank five to six beers and some vodka and smoked a joint. He admitted that he was drunk before he went out on the boat the second time that day. He fairly stated that he was an idiot for driving the boat when he was drunk.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Whether Ms. Skidmore gave her implied consent is to be determined by a test both objective and subjective. The test was stated in </w:t>
      </w:r>
      <w:r>
        <w:rPr>
          <w:rFonts w:ascii="arial" w:eastAsia="arial" w:hAnsi="arial" w:cs="arial"/>
          <w:i/>
          <w:color w:val="000000"/>
          <w:sz w:val="20"/>
          <w:lang w:val="en-US" w:eastAsia="en-US" w:bidi="ar-SA"/>
        </w:rPr>
        <w:t>Morrison (Committee of) v. Cormier Vegetation Control Ltd</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[1996] B.C.J No. 612</w:t>
        </w:r>
      </w:hyperlink>
      <w:r>
        <w:rPr>
          <w:rFonts w:ascii="arial" w:eastAsia="arial" w:hAnsi="arial" w:cs="arial"/>
          <w:color w:val="000000"/>
          <w:sz w:val="20"/>
          <w:lang w:val="en-US" w:eastAsia="en-US" w:bidi="ar-SA"/>
        </w:rPr>
        <w:t xml:space="preserve"> at para. 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[62] While the implied consent test is sometimes described by the Courts as an objective test, it necessarily imports a subjective element into that determination. Put another way, would this particular owner, in all of the circumstances, have consented to the driver acquiring possession of the vehicle as a matter of course? If the answer to that question is "yes", then the driver has proven that he or she drove the vehicle with the owner's implied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Although </w:t>
      </w:r>
      <w:r>
        <w:rPr>
          <w:rFonts w:ascii="arial" w:eastAsia="arial" w:hAnsi="arial" w:cs="arial"/>
          <w:i/>
          <w:color w:val="000000"/>
          <w:sz w:val="20"/>
          <w:lang w:val="en-US" w:eastAsia="en-US" w:bidi="ar-SA"/>
        </w:rPr>
        <w:t>Morrison</w:t>
      </w:r>
      <w:r>
        <w:rPr>
          <w:rFonts w:ascii="arial" w:eastAsia="arial" w:hAnsi="arial" w:cs="arial"/>
          <w:color w:val="000000"/>
          <w:sz w:val="20"/>
          <w:lang w:val="en-US" w:eastAsia="en-US" w:bidi="ar-SA"/>
        </w:rPr>
        <w:t xml:space="preserve"> was reversed on appeal, it was reversed on the basis of express not implied consent. The above statement of the test for implied consent was affirmed by the Court of Appeal in </w:t>
      </w:r>
      <w:r>
        <w:rPr>
          <w:rFonts w:ascii="arial" w:eastAsia="arial" w:hAnsi="arial" w:cs="arial"/>
          <w:i/>
          <w:color w:val="000000"/>
          <w:sz w:val="20"/>
          <w:lang w:val="en-US" w:eastAsia="en-US" w:bidi="ar-SA"/>
        </w:rPr>
        <w:t>Godsman v. Peck</w:t>
      </w:r>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[1997] B.C.J. No. 377</w:t>
        </w:r>
      </w:hyperlink>
      <w:r>
        <w:rPr>
          <w:rFonts w:ascii="arial" w:eastAsia="arial" w:hAnsi="arial" w:cs="arial"/>
          <w:color w:val="000000"/>
          <w:sz w:val="20"/>
          <w:lang w:val="en-US" w:eastAsia="en-US" w:bidi="ar-SA"/>
        </w:rPr>
        <w:t xml:space="preserve"> (C.A.) at paras. 31 and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find that the facts here do not support a finding of implied consent for Cory to drive the boat to the Peachland Marina for refueling. Although that is a trip for which he had often previously had consent, in these circumstances the crucial fact is that he had been drinking alcohol. Ms. Skidmore had a rule that no-one was to drive or be on the boat when they had been drinking. Permission would have been granted if there was no liquor: no permission would have been granted if there was liquor.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Counsel in the Boys Action made submissions that the evidence of Ms. Skidmore was internally inconsistent and inconsistent with her Examination for Discovery. That is true in many respects. However, with regard to the issue of implied consent for the trip to the marina, many of the inconsistencies are a result of an elongated cross-examination which clearly had the effect of confusing the witness. It is always a danger in such processes that the trier of fact could get a false impression of the evidence, which is why the full context and all the evidence must be considered: see </w:t>
      </w:r>
      <w:r>
        <w:rPr>
          <w:rFonts w:ascii="arial" w:eastAsia="arial" w:hAnsi="arial" w:cs="arial"/>
          <w:i/>
          <w:color w:val="000000"/>
          <w:sz w:val="20"/>
          <w:lang w:val="en-US" w:eastAsia="en-US" w:bidi="ar-SA"/>
        </w:rPr>
        <w:t>Smith v. B.C.T.V. Broadcasting Ltd.</w:t>
      </w:r>
      <w:r>
        <w:rPr>
          <w:rFonts w:ascii="arial" w:eastAsia="arial" w:hAnsi="arial" w:cs="arial"/>
          <w:color w:val="000000"/>
          <w:sz w:val="20"/>
          <w:lang w:val="en-US" w:eastAsia="en-US" w:bidi="ar-SA"/>
        </w:rPr>
        <w:t xml:space="preserve"> </w:t>
      </w:r>
      <w:hyperlink r:id="rId842" w:history="1">
        <w:r>
          <w:rPr>
            <w:rFonts w:ascii="arial" w:eastAsia="arial" w:hAnsi="arial" w:cs="arial"/>
            <w:i/>
            <w:color w:val="0077CC"/>
            <w:sz w:val="20"/>
            <w:u w:val="single"/>
            <w:shd w:val="clear" w:color="auto" w:fill="FFFFFF"/>
            <w:lang w:val="en-US" w:eastAsia="en-US" w:bidi="ar-SA"/>
          </w:rPr>
          <w:t>(1988), 32 B.C.L.R. (2d) 18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evidence of Ms. Skidmore must be considered in its entirety. Her evidence was clear and uncontroverted that there was a "no alcohol" rule and a rule to drive responsibly for the operation of the boat. The reason for the no-alcohol rule was compelling: her husband had drowned in a boating accident when he had been drinking. She did not want to lose her sons to the lake too.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Cory Skidmore testified that it was his practice not to ask his mother's permission to drive the boat if he had been drinking as he knew the answer would be no. He had asked his mother twice in June 2008 for permission when he had been drinking and both times she had refused. I find that he was intent on taking the boat to the Peachland Marina without his mother's knowledge. If she had seen him, she would have known he had been drinking and refused permission.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find that Cory Skidmore did not have the consent of Ms. Skidmore, express or implied, to drive the boat to the Peachland Marina to refuel on June 30, 2008. I therefore do not find that she was in breach of her responsibility to ensure that the boat was competently staffed.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 owner also has a responsibility under the first category of </w:t>
      </w:r>
      <w:r>
        <w:rPr>
          <w:rFonts w:ascii="arial" w:eastAsia="arial" w:hAnsi="arial" w:cs="arial"/>
          <w:i/>
          <w:color w:val="000000"/>
          <w:sz w:val="20"/>
          <w:lang w:val="en-US" w:eastAsia="en-US" w:bidi="ar-SA"/>
        </w:rPr>
        <w:t>Conrad</w:t>
      </w:r>
      <w:r>
        <w:rPr>
          <w:rFonts w:ascii="arial" w:eastAsia="arial" w:hAnsi="arial" w:cs="arial"/>
          <w:color w:val="000000"/>
          <w:sz w:val="20"/>
          <w:lang w:val="en-US" w:eastAsia="en-US" w:bidi="ar-SA"/>
        </w:rPr>
        <w:t xml:space="preserve"> that the ship must be seaworthy in the sense of being fit for the intended voyage, in good repair and properly equipped, and safe for those on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three components of this category must all be present. The ship must not only be fit for the voyage, but also in good repair and safe in order to be seaworthy. In two respects the Gypsea Rose was not in good repair and was not safe. First, the throttle stuck at times and had not been repaired. It could cause the boat to maintain its speed and be out of control. I note that the throttle did not malfunction that day and is not a cause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second and relevant defect is that the Gypsea Rose had a propeller that was wrong for the boat. This propeller prevented the boat from planing as it should at certain speeds over 10 mph. Ms. Skidmore knew of the effect of this propeller as did Cory. The failure to plane significantly and negatively affected the ability of the driver to keep a proper lookout. Indeed, Cory could not see what was in front of the boat as it was moving unless he put his head out the side window. The lack of vision of the driver of the boat was similar to that of the driver of an automobile who cannot see out the front windshield.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Gypsea Rose was not seaworthy: it was not in good repair and safe for those on board. The incorrect propeller which prevented the boat from planing made the Gypsea Rose unsafe for those on board. Although the propeller was known by the owner to be defective, it had not been replaced with a proper propeller for the boat. Ms. Skidmore is therefore in breach of her responsibility as an owner under the first category of </w:t>
      </w:r>
      <w:r>
        <w:rPr>
          <w:rFonts w:ascii="arial" w:eastAsia="arial" w:hAnsi="arial" w:cs="arial"/>
          <w:i/>
          <w:color w:val="000000"/>
          <w:sz w:val="20"/>
          <w:lang w:val="en-US" w:eastAsia="en-US" w:bidi="ar-SA"/>
        </w:rPr>
        <w:t>Conrad.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However, in cases of a ship being unseaworthy, as with all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must be shown that the breach of the standard of care caused the damage in question before liability can attach: See </w:t>
      </w:r>
      <w:r>
        <w:rPr>
          <w:rFonts w:ascii="arial" w:eastAsia="arial" w:hAnsi="arial" w:cs="arial"/>
          <w:i/>
          <w:color w:val="000000"/>
          <w:sz w:val="20"/>
          <w:lang w:val="en-US" w:eastAsia="en-US" w:bidi="ar-SA"/>
        </w:rPr>
        <w:t>Ferguson v. Artic Transportation Ltd.</w:t>
      </w:r>
      <w:r>
        <w:rPr>
          <w:rFonts w:ascii="arial" w:eastAsia="arial" w:hAnsi="arial" w:cs="arial"/>
          <w:color w:val="000000"/>
          <w:sz w:val="20"/>
          <w:lang w:val="en-US" w:eastAsia="en-US" w:bidi="ar-SA"/>
        </w:rPr>
        <w:t xml:space="preserve">, </w:t>
      </w:r>
      <w:hyperlink r:id="rId843" w:history="1">
        <w:r>
          <w:rPr>
            <w:rFonts w:ascii="arial" w:eastAsia="arial" w:hAnsi="arial" w:cs="arial"/>
            <w:i/>
            <w:color w:val="0077CC"/>
            <w:sz w:val="20"/>
            <w:u w:val="single"/>
            <w:shd w:val="clear" w:color="auto" w:fill="FFFFFF"/>
            <w:lang w:val="en-US" w:eastAsia="en-US" w:bidi="ar-SA"/>
          </w:rPr>
          <w:t>[1998] F.C.J. 634</w:t>
        </w:r>
      </w:hyperlink>
      <w:r>
        <w:rPr>
          <w:rFonts w:ascii="arial" w:eastAsia="arial" w:hAnsi="arial" w:cs="arial"/>
          <w:color w:val="000000"/>
          <w:sz w:val="20"/>
          <w:lang w:val="en-US" w:eastAsia="en-US" w:bidi="ar-SA"/>
        </w:rPr>
        <w:t xml:space="preserve"> (T.D.) at para. 10. As with the owner's responsibility to properly staff the ship, the owner cannot be liable for the unseaworthiness of the ship if they did not give consent for the ship to be operated in that condition. There was no "intended voyage" in the words of </w:t>
      </w:r>
      <w:r>
        <w:rPr>
          <w:rFonts w:ascii="arial" w:eastAsia="arial" w:hAnsi="arial" w:cs="arial"/>
          <w:i/>
          <w:color w:val="000000"/>
          <w:sz w:val="20"/>
          <w:lang w:val="en-US" w:eastAsia="en-US" w:bidi="ar-SA"/>
        </w:rPr>
        <w:t>Conrad</w:t>
      </w:r>
      <w:r>
        <w:rPr>
          <w:rFonts w:ascii="arial" w:eastAsia="arial" w:hAnsi="arial" w:cs="arial"/>
          <w:color w:val="000000"/>
          <w:sz w:val="20"/>
          <w:lang w:val="en-US" w:eastAsia="en-US" w:bidi="ar-SA"/>
        </w:rPr>
        <w:t>. Otherwise, a prudent owner, knowing their ship to be unfit for operation and taking steps to have it repaired at dock, would be liable if that ship was stolen and involved in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As discussed above, in this case Ms. Skidmore did not give Cory her consent to use the boat on his second trip to the Peachland Marina. I therefore find that the breach of her duty to keep the ship seaworthy did not cause the collision, and she is therefore not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recognize that Ms. Skidmore had previously consented to the use of the Gypsea Rose knowing it to be unseaworthy. Those trips however did not result in an accident. In this case Ms. Skidmore did not give Cory her consent to use the boat on his second trip to the Peachland Marina. The collision occurred at a time when Cory neither had consent nor would he have been granted it if asked, due to his drinking. Ms. Skidmore did not voluntarily give control of the boat to Cory and is not liable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 find that the breach of her duty to keep the ship seaworthy did not cause the collision, and the actions against Ms. Skidmore must be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C. </w:t>
      </w:r>
      <w:r>
        <w:rPr>
          <w:rFonts w:ascii="arial" w:eastAsia="arial" w:hAnsi="arial" w:cs="arial"/>
          <w:b/>
          <w:color w:val="000000"/>
          <w:sz w:val="20"/>
          <w:u w:val="single"/>
          <w:lang w:val="en-US" w:eastAsia="en-US" w:bidi="ar-SA"/>
        </w:rPr>
        <w:t>Mr. Norman Atkinson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Atkinson was at all material times in command of the Searay. He was the operator of the vessel. He has a Power Squadron Certificate and 15 years' experience boating.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When he was on Lake Okanagan with his family and guests on the day of the collision, he made many good decisions. Stopping on the lake for lunch and swimming enhanced the enjoyment of the day. He was watching the lake and noticed only one other boat in the vicinity.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engine was appropriately turned off during the stop. This was a prudent decision given the presence of swimmers around the boat and a tuber attached to the boat by a rope. Mr. Atkinson was aware that starting the engine safely is a time consuming process, which he was about to undertake to resume the days' tubing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Before getting under way, it was necessary to untangle the tubing rope from the leg of the propeller. The best place to do that task was the swim grid at the back of the boat. Mr. Atkinson went to the swim grid for that purpose. There was nothing wrong with his decision to leave the helm.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However, before doing so, or before leaving the dock for the boating trip, he did not instruct either of the other adults in the boat, Ms. Boys or Kathe Atkinson, to keep a lookout. The evidence is clear that neither was keeping the required lookout. Both were understandably involved with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While on the swim grid for a minute to 90 seconds, his attention was focussed on the rope, not on the lake. Mr. Atkinson had his head down. While on the swim grid he could not see the surrounding lake. He was kneeling until his wife screamed.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A proper lookout includes an aural lookout. Mr. Atkinson testified that he could not have heard the Gypsea Rose as he had his head down on the swim grid near the water. However, Kathe Atkinson also testified that the Gypsea Rose was eerily quiet as the engine noise was travelling out the back of that boat. The quiet made a visual lookout more important. It also made it easier for the Gypsea Rose to hear the occupants of the Searay.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Atkinson did not see the Gypsea Rose until after he heard his wife scream. The Gypsea Rose was a large burgundy boat vertically high up out of the water. It was there to be seen. The evidence of the expert witnesses was that Mr. Atkinson was not keeping a proper lookout in these circumstances.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After Kathe Atkinson screamed when she saw the Gypsea Rose approach, she stood on the driver's seat and waved her arms in an attempt to make herself as big as possible so that the other boat would see them. Cory heard the screams. It was too late for him to change course.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Mr. Atkinson submits that the Searay meets the </w:t>
      </w:r>
      <w:r>
        <w:rPr>
          <w:rFonts w:ascii="arial" w:eastAsia="arial" w:hAnsi="arial" w:cs="arial"/>
          <w:i/>
          <w:color w:val="000000"/>
          <w:sz w:val="20"/>
          <w:lang w:val="en-US" w:eastAsia="en-US" w:bidi="ar-SA"/>
        </w:rPr>
        <w:t>Collision Regulations</w:t>
      </w:r>
      <w:r>
        <w:rPr>
          <w:rFonts w:ascii="arial" w:eastAsia="arial" w:hAnsi="arial" w:cs="arial"/>
          <w:color w:val="000000"/>
          <w:sz w:val="20"/>
          <w:lang w:val="en-US" w:eastAsia="en-US" w:bidi="ar-SA"/>
        </w:rPr>
        <w:t xml:space="preserve"> definition of a "vessel not under command" at the time of the collision. The </w:t>
      </w:r>
      <w:r>
        <w:rPr>
          <w:rFonts w:ascii="arial" w:eastAsia="arial" w:hAnsi="arial" w:cs="arial"/>
          <w:i/>
          <w:color w:val="000000"/>
          <w:sz w:val="20"/>
          <w:lang w:val="en-US" w:eastAsia="en-US" w:bidi="ar-SA"/>
        </w:rPr>
        <w:t>Collision Regulations</w:t>
      </w:r>
      <w:r>
        <w:rPr>
          <w:rFonts w:ascii="arial" w:eastAsia="arial" w:hAnsi="arial" w:cs="arial"/>
          <w:color w:val="000000"/>
          <w:sz w:val="20"/>
          <w:lang w:val="en-US" w:eastAsia="en-US" w:bidi="ar-SA"/>
        </w:rPr>
        <w:t xml:space="preserve"> state:</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the Rules, except where the context otherwise requires: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term "vessel not under command" means a vessel which through some exceptional circumstance is unable to manoeuvre as required by these Rules and is therefore unable to keep out of the way of another vessel.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application of this definition is found in Rule 18 which provides that a power-driven vessel shall keep out of the way of a vessel not under command.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Powers testified that the facts that the vessel was turned off, there was a child floating in a tube attached to the vessel, and the rope for that tube was entangled in the leg of the vessel constituted exceptional circumstances under this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It was, however, also the evidence of Mr. Powers that, and on a plain reading of Rule 5 regarding Look-out, a proper lookout is required to be maintained in all instances, even for those vessels deemed "not under command". Additionally, as stated in Rule 2(a) of Schedule 1 of the </w:t>
      </w:r>
      <w:r>
        <w:rPr>
          <w:rFonts w:ascii="arial" w:eastAsia="arial" w:hAnsi="arial" w:cs="arial"/>
          <w:i/>
          <w:color w:val="000000"/>
          <w:sz w:val="20"/>
          <w:lang w:val="en-US" w:eastAsia="en-US" w:bidi="ar-SA"/>
        </w:rPr>
        <w:t>Collision Regulations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Nothing in these Rules shall exonerate any vessel, or the owner, master or crew thereof, from the consequences of any neglect to comply with these Rules or of the neglect of any precaution which may be required by the ordinary practice of seamen, or by the special circumstances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The Donald Helene (The) v. Gloucester No. 26 (The)</w:t>
      </w:r>
      <w:r>
        <w:rPr>
          <w:rFonts w:ascii="arial" w:eastAsia="arial" w:hAnsi="arial" w:cs="arial"/>
          <w:color w:val="000000"/>
          <w:sz w:val="20"/>
          <w:lang w:val="en-US" w:eastAsia="en-US" w:bidi="ar-SA"/>
        </w:rPr>
        <w:t xml:space="preserve">, </w:t>
      </w:r>
      <w:hyperlink r:id="rId844" w:history="1">
        <w:r>
          <w:rPr>
            <w:rFonts w:ascii="arial" w:eastAsia="arial" w:hAnsi="arial" w:cs="arial"/>
            <w:i/>
            <w:color w:val="0077CC"/>
            <w:sz w:val="20"/>
            <w:u w:val="single"/>
            <w:shd w:val="clear" w:color="auto" w:fill="FFFFFF"/>
            <w:lang w:val="en-US" w:eastAsia="en-US" w:bidi="ar-SA"/>
          </w:rPr>
          <w:t>[1965] 1 Ex. C.R. 586</w:t>
        </w:r>
      </w:hyperlink>
      <w:r>
        <w:rPr>
          <w:rFonts w:ascii="arial" w:eastAsia="arial" w:hAnsi="arial" w:cs="arial"/>
          <w:color w:val="000000"/>
          <w:sz w:val="20"/>
          <w:lang w:val="en-US" w:eastAsia="en-US" w:bidi="ar-SA"/>
        </w:rPr>
        <w:t xml:space="preserve"> (Exchequer Court of Canada -- New Brunswick Admiralty District), concerned a case where the Donald Helene was drifting with its engine stopped when it was rammed by the Gloucester No. 26. The Court found that there was a lack of proper lookout on the part of both vessels and, despite the fact that the Donald Helene was not under power at the time of the collision, attributed fault at 50% for each vessel.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While I agree that the Searay was a vessel not under command, that finding does not relieve Mr. Atkinson of the duty and rule requiring him to keep a proper lookout.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Rule 5 requires consideration of the "prevailing circumstances and conditions". On a lake there are no lanes of travel. Danger can approach from any direction for unforeseen reasons. The "risk of collision" is always present. The safety Mr. Atkinson felt in the middle of Lake Okanagan was an illusion.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 Atkinson submits that the accident was inevitable. He says that there was not enough time to do anything to prevent it even had he been keeping a proper lookout. I agree with his submissions that it would have taken too long to start the Searay and move out of the way of the Gypsea Rose. However, that is not all that could have been done to prevent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Cory heard Mrs. Atkinson's screams. His uncontroverted and logical evidence was that he could hear a horn over the sound of the engine. He said that "horns are made to be loud". If he had heard a horn he would taken off the throttle all the way because a horn means that "something is wrong". I believe Cory's evidence in this regard as it is consistent with his hearing the screams and consistent with his growing up on the lake and being attuned to sounds of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Further, although there is no evidence as to the audibility of the two horns on the Searay, the </w:t>
      </w:r>
      <w:r>
        <w:rPr>
          <w:rFonts w:ascii="arial" w:eastAsia="arial" w:hAnsi="arial" w:cs="arial"/>
          <w:i/>
          <w:color w:val="000000"/>
          <w:sz w:val="20"/>
          <w:lang w:val="en-US" w:eastAsia="en-US" w:bidi="ar-SA"/>
        </w:rPr>
        <w:t>Collision Regulations</w:t>
      </w:r>
      <w:r>
        <w:rPr>
          <w:rFonts w:ascii="arial" w:eastAsia="arial" w:hAnsi="arial" w:cs="arial"/>
          <w:color w:val="000000"/>
          <w:sz w:val="20"/>
          <w:lang w:val="en-US" w:eastAsia="en-US" w:bidi="ar-SA"/>
        </w:rPr>
        <w:t xml:space="preserve"> required that a boat of the size of the Searay must be fitted with a horn that was audible at a distance of 0.5 miles, or 2640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At 15 mph, the Gypsea Rose would have travelled 220 feet in the 10 seconds from the time Kathe Atkinson screamed until the collision. If a proper lookout had been maintained the occupants of the Searay would have observed the Gypsea Rose sooner. With Mr. Atkinson's evidence that he was on the swim grid for 60 to 90 seconds, 50 to 80 seconds more could have been available. The immediate use of the horn would have given the approaching boat sufficient time to take evasive action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am satisfied on the evidence, including the evidence of times and distances, that the collision could have been avoided if the Searay had seen the Gypsea Rose earlier. Although Cory Skidmore was impaired at the time, he was experienced in driving the Gypsea Rose on Lake Okanagan. I accept his evidence that if had heard the horn one minute before the collision then he would not have hit the Searay. With 30 seconds warning he might have been able to take evasive measures. He did not hear a horn or any signalling device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If Mr. Atkinson had been keeping a proper lookout, there would have been time for him to assess the situation and instruct Kathe Atkinson, who was sitting with her feet on the driver's seat and close to the horn, to signal or to sound the horn. Cory would have heard earlier screams or the horns and the collision would have been averted. The failure to keep a lookout resulted in insufficient time to take those appropriate measures to warn the oncoming vessel and thereby to avoid the collision. The absence of proper lookout was a cause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It is submitted by Mr. Atkinson that in the agony of the moment, he cannot be faulted for the decision which he made which was to stay where he was and instruct those in the bow to get on the floor rather than him trying to start the boat. It is reasonable with the short time available to take the actions he did. However, this submission misses the point. The reason that there was such a short time available to take any actions is the failure to keep a proper lookout.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I find that Mr. Atkinson failed to keep a lookout in breach of Rule 5 of the </w:t>
      </w:r>
      <w:r>
        <w:rPr>
          <w:rFonts w:ascii="arial" w:eastAsia="arial" w:hAnsi="arial" w:cs="arial"/>
          <w:i/>
          <w:color w:val="000000"/>
          <w:sz w:val="20"/>
          <w:lang w:val="en-US" w:eastAsia="en-US" w:bidi="ar-SA"/>
        </w:rPr>
        <w:t>Collision Regulations</w:t>
      </w:r>
      <w:r>
        <w:rPr>
          <w:rFonts w:ascii="arial" w:eastAsia="arial" w:hAnsi="arial" w:cs="arial"/>
          <w:color w:val="000000"/>
          <w:sz w:val="20"/>
          <w:lang w:val="en-US" w:eastAsia="en-US" w:bidi="ar-SA"/>
        </w:rPr>
        <w:t>, and that this breach was negligent and a cause of the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D. </w:t>
      </w:r>
      <w:r>
        <w:rPr>
          <w:rFonts w:ascii="arial" w:eastAsia="arial" w:hAnsi="arial" w:cs="arial"/>
          <w:b/>
          <w:color w:val="000000"/>
          <w:sz w:val="20"/>
          <w:u w:val="single"/>
          <w:lang w:val="en-US" w:eastAsia="en-US" w:bidi="ar-SA"/>
        </w:rPr>
        <w:t>Apportionment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There was very little in the way of submissions regarding the apportionment of liability. Counsel in the Boys Action stated that s. 17 of the </w:t>
      </w:r>
      <w:r>
        <w:rPr>
          <w:rFonts w:ascii="arial" w:eastAsia="arial" w:hAnsi="arial" w:cs="arial"/>
          <w:i/>
          <w:color w:val="000000"/>
          <w:sz w:val="20"/>
          <w:lang w:val="en-US" w:eastAsia="en-US" w:bidi="ar-SA"/>
        </w:rPr>
        <w:t>Marine Liability Act</w:t>
      </w:r>
      <w:r>
        <w:rPr>
          <w:rFonts w:ascii="arial" w:eastAsia="arial" w:hAnsi="arial" w:cs="arial"/>
          <w:color w:val="000000"/>
          <w:sz w:val="20"/>
          <w:lang w:val="en-US" w:eastAsia="en-US" w:bidi="ar-SA"/>
        </w:rPr>
        <w:t xml:space="preserve"> operates in the same manner as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However, as there had been no submissions by the defendants with regard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Ms. Boys or her grandchildren, the ultimate apportionment of liability does not affect them. They thus took no position on the appropriate 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Counsel acting on behalf of Norman Atkinson also made no submissions regarding the specific apportionment of liability in this matter except to say that Ms. Skidmore bears considerable responsibility. The implication, in my view, is that Ms. Skidmore should be apportioned a greater amount of liability than Norman Atkinson, should he be found to liable at all. However, as I have not found Ms. Skidmore liable this submission is not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FFS HK Ltd. v. P.T. 25 (The)</w:t>
      </w:r>
      <w:r>
        <w:rPr>
          <w:rFonts w:ascii="arial" w:eastAsia="arial" w:hAnsi="arial" w:cs="arial"/>
          <w:color w:val="000000"/>
          <w:sz w:val="20"/>
          <w:lang w:val="en-US" w:eastAsia="en-US" w:bidi="ar-SA"/>
        </w:rPr>
        <w:t xml:space="preserve">, </w:t>
      </w:r>
      <w:hyperlink r:id="rId845" w:history="1">
        <w:r>
          <w:rPr>
            <w:rFonts w:ascii="arial" w:eastAsia="arial" w:hAnsi="arial" w:cs="arial"/>
            <w:i/>
            <w:color w:val="0077CC"/>
            <w:sz w:val="20"/>
            <w:u w:val="single"/>
            <w:shd w:val="clear" w:color="auto" w:fill="FFFFFF"/>
            <w:lang w:val="en-US" w:eastAsia="en-US" w:bidi="ar-SA"/>
          </w:rPr>
          <w:t>2010 BCSC 1675</w:t>
        </w:r>
      </w:hyperlink>
      <w:r>
        <w:rPr>
          <w:rFonts w:ascii="arial" w:eastAsia="arial" w:hAnsi="arial" w:cs="arial"/>
          <w:color w:val="000000"/>
          <w:sz w:val="20"/>
          <w:lang w:val="en-US" w:eastAsia="en-US" w:bidi="ar-SA"/>
        </w:rPr>
        <w:t xml:space="preserve"> at paras. 166-184, Madam Justice Wedge discussed the operation of s. 17 of the </w:t>
      </w:r>
      <w:r>
        <w:rPr>
          <w:rFonts w:ascii="arial" w:eastAsia="arial" w:hAnsi="arial" w:cs="arial"/>
          <w:i/>
          <w:color w:val="000000"/>
          <w:sz w:val="20"/>
          <w:lang w:val="en-US" w:eastAsia="en-US" w:bidi="ar-SA"/>
        </w:rPr>
        <w:t>Marine Liability Act</w:t>
      </w:r>
      <w:r>
        <w:rPr>
          <w:rFonts w:ascii="arial" w:eastAsia="arial" w:hAnsi="arial" w:cs="arial"/>
          <w:color w:val="000000"/>
          <w:sz w:val="20"/>
          <w:lang w:val="en-US" w:eastAsia="en-US" w:bidi="ar-SA"/>
        </w:rPr>
        <w:t xml:space="preserve">. She found that the section operated in the same way as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Hynna v. Peck</w:t>
      </w:r>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2009 BCSC 1057</w:t>
        </w:r>
      </w:hyperlink>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99 B.C.L.R. (4th) 357</w:t>
        </w:r>
      </w:hyperlink>
      <w:r>
        <w:rPr>
          <w:rFonts w:ascii="arial" w:eastAsia="arial" w:hAnsi="arial" w:cs="arial"/>
          <w:color w:val="000000"/>
          <w:sz w:val="20"/>
          <w:lang w:val="en-US" w:eastAsia="en-US" w:bidi="ar-SA"/>
        </w:rPr>
        <w:t>, Ballance J., at paras. 88-93, concisely summarized the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[88] In assessing apportionment, the Court examines the extent of blameworthiness, that is, the degree to which each party is at fault, and not the degree to which each party's fault has caused the loss. Stated another way, the Court does not assess degrees of causation, it assesses degrees of fault: </w:t>
      </w:r>
      <w:r>
        <w:rPr>
          <w:rFonts w:ascii="arial" w:eastAsia="arial" w:hAnsi="arial" w:cs="arial"/>
          <w:i/>
          <w:color w:val="000000"/>
          <w:sz w:val="20"/>
          <w:lang w:val="en-US" w:eastAsia="en-US" w:bidi="ar-SA"/>
        </w:rPr>
        <w:t>Cempel v. Harrison Hot Springs Hotel Ltd.</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(1997), 43 B.C.L.R. (3d) 219</w:t>
        </w:r>
      </w:hyperlink>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100 B.C.A.C. 212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Aberdeen v. Langley (Township)</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2007 BCSC 993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Aberdeen</w:t>
      </w:r>
      <w:r>
        <w:rPr>
          <w:rFonts w:ascii="arial" w:eastAsia="arial" w:hAnsi="arial" w:cs="arial"/>
          <w:color w:val="000000"/>
          <w:sz w:val="20"/>
          <w:lang w:val="en-US" w:eastAsia="en-US" w:bidi="ar-SA"/>
        </w:rPr>
        <w:t xml:space="preserve">]; reversed in part,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[89] In </w:t>
      </w:r>
      <w:r>
        <w:rPr>
          <w:rFonts w:ascii="arial" w:eastAsia="arial" w:hAnsi="arial" w:cs="arial"/>
          <w:i/>
          <w:color w:val="000000"/>
          <w:sz w:val="20"/>
          <w:lang w:val="en-US" w:eastAsia="en-US" w:bidi="ar-SA"/>
        </w:rPr>
        <w:t>Alberta Wheat Pool v. Northwest Pile Driving Ltd.</w:t>
      </w:r>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2000 BCCA 505</w:t>
        </w:r>
      </w:hyperlink>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80 B.C.L.R. (3d) 153</w:t>
        </w:r>
      </w:hyperlink>
      <w:r>
        <w:rPr>
          <w:rFonts w:ascii="arial" w:eastAsia="arial" w:hAnsi="arial" w:cs="arial"/>
          <w:color w:val="000000"/>
          <w:sz w:val="20"/>
          <w:lang w:val="en-US" w:eastAsia="en-US" w:bidi="ar-SA"/>
        </w:rPr>
        <w:t>, Finch, J.A. (now the Chief Justice), for the majority of the Court of Appeal, explained this important principle at paras. 45-47: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test to be applied here is that expressed by Lambert, J.A. in </w:t>
      </w:r>
      <w:r>
        <w:rPr>
          <w:rFonts w:ascii="arial" w:eastAsia="arial" w:hAnsi="arial" w:cs="arial"/>
          <w:i/>
          <w:color w:val="000000"/>
          <w:sz w:val="20"/>
          <w:lang w:val="en-US" w:eastAsia="en-US" w:bidi="ar-SA"/>
        </w:rPr>
        <w:t>Cempel, supra</w:t>
      </w:r>
      <w:r>
        <w:rPr>
          <w:rFonts w:ascii="arial" w:eastAsia="arial" w:hAnsi="arial" w:cs="arial"/>
          <w:color w:val="000000"/>
          <w:sz w:val="20"/>
          <w:lang w:val="en-US" w:eastAsia="en-US" w:bidi="ar-SA"/>
        </w:rPr>
        <w:t>, and the Court's task is to assess the respective blameworthiness of the parties, rather than the extent to which the loss may be said to have been caused by the conduct of each.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Fault or blameworthiness evaluates the parties' conduct in the circumstances, and the extent or degree to which it may be said to depart from the standard of reasonable care. Fault may vary from extremely careless conduct, by which the party shows a reckless indifference or disregard for the safety of person or property, whether his own or others, down to a momentary or minor apse of care in conduct which, nevertheless, carries with it the risk of foreseeable harm.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[90] In </w:t>
      </w:r>
      <w:r>
        <w:rPr>
          <w:rFonts w:ascii="arial" w:eastAsia="arial" w:hAnsi="arial" w:cs="arial"/>
          <w:i/>
          <w:color w:val="000000"/>
          <w:sz w:val="20"/>
          <w:lang w:val="en-US" w:eastAsia="en-US" w:bidi="ar-SA"/>
        </w:rPr>
        <w:t>Aberdeen</w:t>
      </w:r>
      <w:r>
        <w:rPr>
          <w:rFonts w:ascii="arial" w:eastAsia="arial" w:hAnsi="arial" w:cs="arial"/>
          <w:color w:val="000000"/>
          <w:sz w:val="20"/>
          <w:lang w:val="en-US" w:eastAsia="en-US" w:bidi="ar-SA"/>
        </w:rPr>
        <w:t xml:space="preserve">, Groves J. provided insight into the difficulty that the Court faces in quantifying the concept of blameworthiness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At para. 62 he endorsed the factors in assessing relative degrees of fault set out by the Alberta Court of Appeal in </w:t>
      </w:r>
      <w:r>
        <w:rPr>
          <w:rFonts w:ascii="arial" w:eastAsia="arial" w:hAnsi="arial" w:cs="arial"/>
          <w:i/>
          <w:color w:val="000000"/>
          <w:sz w:val="20"/>
          <w:lang w:val="en-US" w:eastAsia="en-US" w:bidi="ar-SA"/>
        </w:rPr>
        <w:t>Heller v. Martens</w:t>
      </w:r>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[2002] A.J. No. 638</w:t>
        </w:r>
      </w:hyperlink>
      <w:r>
        <w:rPr>
          <w:rFonts w:ascii="arial" w:eastAsia="arial" w:hAnsi="arial" w:cs="arial"/>
          <w:color w:val="000000"/>
          <w:sz w:val="20"/>
          <w:lang w:val="en-US" w:eastAsia="en-US" w:bidi="ar-SA"/>
        </w:rPr>
        <w:t>, as follows:</w:t>
      </w:r>
    </w:p>
    <w:p>
      <w:pPr>
        <w:numPr>
          <w:numId w:val="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duty owed by the tortfeasor to the injured person ...</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number of acts of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committed by a person at fault ...</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timing of the various negligent acts. For example, the party who first commits a negligent act will usually be more at fault than the party whose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comes as a result of the initial fault ...</w:t>
      </w:r>
    </w:p>
    <w:p>
      <w:pPr>
        <w:numPr>
          <w:numId w:val="3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conduct held to amount to fault. For example, indifference to the results of the conduct may be more blameworthy ... Similarly, a deliberate departure from safety rules may be more blameworthy than an imperfect reaction to a crisis ...</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conduct breaches statutory requirements. For example, in a motor vehicle collision, the driver of the vehicle with the right of way may be less blameworthy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[Authorities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[91] To the foregoing factors, Groves J. added the following at para. 67:</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gravity of the risk created;</w:t>
      </w:r>
    </w:p>
    <w:p>
      <w:pPr>
        <w:numPr>
          <w:numId w:val="3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opportunity to avoid or prevent the accident or the damage;</w:t>
      </w:r>
    </w:p>
    <w:p>
      <w:pPr>
        <w:numPr>
          <w:numId w:val="3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conduct in question was deliberate, or unusual or unexpected; and</w:t>
      </w:r>
    </w:p>
    <w:p>
      <w:pPr>
        <w:numPr>
          <w:numId w:val="3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knowledge one person had or should have had of the conduct of another person at fault.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[92] After surveying the authorities, Groves J. summarized at para. 67 the approach to be taken in assessing the relative degree of blameworthiness of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Thus, the key inquiry in assessing comparative blameworthiness is the relative degree by which each of the parties departed from the standard of care to be expected in all of the circumstances. This inquiry is informed by numerous factors, including the nature of the departure from that standard of care, its magnitude, and the gravity of the risk thereby created.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[93] On appeal, the decision in </w:t>
      </w:r>
      <w:r>
        <w:rPr>
          <w:rFonts w:ascii="arial" w:eastAsia="arial" w:hAnsi="arial" w:cs="arial"/>
          <w:i/>
          <w:color w:val="000000"/>
          <w:sz w:val="20"/>
          <w:lang w:val="en-US" w:eastAsia="en-US" w:bidi="ar-SA"/>
        </w:rPr>
        <w:t>Aberdeen</w:t>
      </w:r>
      <w:r>
        <w:rPr>
          <w:rFonts w:ascii="arial" w:eastAsia="arial" w:hAnsi="arial" w:cs="arial"/>
          <w:color w:val="000000"/>
          <w:sz w:val="20"/>
          <w:lang w:val="en-US" w:eastAsia="en-US" w:bidi="ar-SA"/>
        </w:rPr>
        <w:t xml:space="preserve"> in relation to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remitted for retrial. However, the Court of Appeal did not criticize Groves J.'s careful summation of the governing legal principles on 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Cory Skidmore admitted liability. I have found Mr. Atkinson to also be liable for the collision, but Ms. Skidmore to not be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these circumstances, the actions of Cory Skidmore are far more blameworthy. He drunkenly set out in an unseaworthy vessel across a lake which has frequent pleasure craft with reckless indifference and disregard for the safety of other persons who might be using the lake. While I have found Mr. Atkinson to be negligent, his was a momentary or minor lapse of care in conduct which, nevertheless, carried with it the risk of foreseeable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In the Boys Action I apportion liability 80% to Cory Skidmore and 20% to Mr. Atkinson. The claim against Ms. Skidmore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Cory Skidmore is found liable in the Atkinson Action, and the claim against Ms. Skidmore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In the Norman Atkinson Action, the claim against Ms. Skidmore is dismissed. Cory Skidmore is 80% liable with Mr. Atkinson found to bear 20%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With regard to costs, if counsel are not able to reach an agreement, arrangements should be made to appear before me at a further hearing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J.E. WATCHUK J.</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Corrected Judgment: The text of the judgment was corrected on the title page on June 6, 2014.</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8"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46"/>
          <w:headerReference w:type="default" r:id="rId847"/>
          <w:footerReference w:type="even" r:id="rId848"/>
          <w:footerReference w:type="default" r:id="rId849"/>
          <w:headerReference w:type="first" r:id="rId850"/>
          <w:footerReference w:type="first" r:id="rId85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52" w:history="1">
        <w:r>
          <w:rPr>
            <w:rFonts w:ascii="arial" w:eastAsia="arial" w:hAnsi="arial" w:cs="arial"/>
            <w:b/>
            <w:bCs/>
            <w:i/>
            <w:color w:val="0077CC"/>
            <w:kern w:val="32"/>
            <w:sz w:val="28"/>
            <w:szCs w:val="32"/>
            <w:u w:val="single"/>
            <w:shd w:val="clear" w:color="auto" w:fill="FFFFFF"/>
            <w:lang w:val="en-US" w:eastAsia="en-US" w:bidi="ar-SA"/>
          </w:rPr>
          <w:t>Bayfield v. British Columbia, [2016] B.C.J. No. 2232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K.N. Affleck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2-5, 8-10 and 12, 2015; September 1 and 2,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27,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M49573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Nanaimo</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2232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1965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Christine Bayfield, Plaintiff, and Her Majesty the Queen in right of the Province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9"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9" w:name="Keywords_34"/>
      <w:bookmarkEnd w:id="249"/>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Motor vehicles — Liability of driver — Speed — Action by motorist for damages for injuries sustained in motor vehicle accident allowed in part — While travelling southbound on highway, plaintiff hydroplaned, lost control of vehicle, went into median, rolled over and came to rest in northbound lanes — Plaintiff was travelling too fast for conditions — Risk of rollover was enhanced by nature of median, which was too steep and poorly drained — Defendant failed to take reasonable care in design and/or construction of highway — Liability apportioned two-thirds to defendant and one-third to plaintiff.</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Highway and roads — Weather conditions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Road conditions — Adjusting driving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Roads and highways — Highway construction — Action by motorist for damages for injuries sustained in motor vehicle accident allowed in part — While travelling southbound on highway, plaintiff hydroplaned, lost control of vehicle, went into median, rolled over and came to rest in northbound lanes — Plaintiff was travelling too fast for conditions — Risk of rollover was enhanced by nature of median, which was too steep and poorly drained — Defendant failed to take reasonable care in design and/or construction of highway — Liability apportioned two-thirds to defendant and one-third to plaintiff.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0" w:name="Case Summary_33"/>
            <w:bookmarkEnd w:id="25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 motorist for damages for injuries sustained in a motor vehicle accident. The plaintiff was driving southbound on a four-lane divided highway. On the day of the accident, there was off and on heavy rain and the highway was wet. The plaintiff had changed lanes to avoid and overtake a logging truck when she suddenly lost control of the vehicle. Her vehicle had crossed over the grassy median, rolled over and came to rest in the northbound lanes. The posted speed limit was 110 kph. At the time of the accident, the plaintiff was travelling at about 100 kph. Her vehicle had worn tires with little tread. The only issue for trial was liability. If liability was found, the quantum of damages had been agreed. The plaintiff argued that the defendant was liable for the accident because the grassy median between the northbound and southbound lanes was improperly designed or constructed. The plaintiff further argued that the highway at the location of the accident constituted a nuisance because its design and construction interfered with her right to freely, safely and conveniently use and enjoy the highway as a public right-of-way. Hydroplaning on the highway was a concern and there had been numerous accidents on the section of the roadway where the plaintiff's accident occurred. The defendant argued that the plaintiff's own actions were the sole cause of the accident. It submitted that the plaintiff was travelling too fast for the conditions and she failed to ensure that her vehicle was roadworthy. The defendant acknowledged that it had a duty to design and construct a roadway that was reasonably safe for the reasonable road user and argued that the highway conformed with that duty.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1" w:name="Holdings of Court_33"/>
            <w:bookmarkEnd w:id="251"/>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travelling too fast for the highway conditions at the time. Although the posted speed limit was 110 kph a driver taking reasonable care for her own safety would not assume that the posted speed limit was a safe speed at which to travel. Heavy rain and a very wet road surface ought to have led a reasonably careful driver to moderate her speed. A combination of a wet highway and excessive speed led to hydroplaning and to a sudden loss of traction. While hydroplaning could occur at lesser speeds, had the plaintiff's vehicle lost traction while travelling more slowly and crossed into the median the possibility of recovery and the return to the paved highway may have been enhanced and the risk of a rollover might have been reduced. That risk was increased, however, by the nature of the median. The rollover, which was the cause of the injuries of the plaintiff and her son, was caused by the too steep slope of the median and the poorly drained swale, as well as the plaintiff's excessive speed. The defendant failed to take reasonable care in the design and/or construction of the highway in the location of the accident. The median, because of its steep sides and faulty drainage, which were not consistent with the proper design and construction practices when the highway was built, created an unacceptably high risk that if a vehicle left the pavement having experienced hydroplaning, it would enter into an area with a substantial risk of a rollover. Both the failure of the defendant to take reasonable care in the design and/or construction of the median and the plaintiff's failure to take reasonable care for her own safety caused the plaintiff's injuries. Liability was apportioned two-thirds to the defendant and one-third to the plaintiff. While the plaintiff was entitled to advance a private claim for a public nuisance, her claim was better treated as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2" w:name="Legislation Cited_25"/>
      <w:bookmarkEnd w:id="25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0"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298" w:history="1">
        <w:r>
          <w:rPr>
            <w:rFonts w:ascii="arial" w:eastAsia="arial" w:hAnsi="arial" w:cs="arial"/>
            <w:i/>
            <w:color w:val="0077CC"/>
            <w:sz w:val="20"/>
            <w:u w:val="single"/>
            <w:shd w:val="clear" w:color="auto" w:fill="FFFFFF"/>
            <w:lang w:val="en-US" w:eastAsia="en-US" w:bidi="ar-SA"/>
          </w:rPr>
          <w:t>R.S.B.C. 1996, c. 318, s. 144</w:t>
        </w:r>
      </w:hyperlink>
      <w:r>
        <w:rPr>
          <w:rFonts w:ascii="arial" w:eastAsia="arial" w:hAnsi="arial" w:cs="arial"/>
          <w:color w:val="000000"/>
          <w:sz w:val="20"/>
          <w:lang w:val="en-US" w:eastAsia="en-US" w:bidi="ar-SA"/>
        </w:rPr>
        <w:t>(1)(c)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241" w:history="1">
        <w:r>
          <w:rPr>
            <w:rFonts w:ascii="arial" w:eastAsia="arial" w:hAnsi="arial" w:cs="arial"/>
            <w:i/>
            <w:color w:val="0077CC"/>
            <w:sz w:val="20"/>
            <w:u w:val="single"/>
            <w:shd w:val="clear" w:color="auto" w:fill="FFFFFF"/>
            <w:lang w:val="en-US" w:eastAsia="en-US" w:bidi="ar-SA"/>
          </w:rPr>
          <w:t>R.S.B.C. 1996, c. 333, s. 1</w:t>
        </w:r>
      </w:hyperlink>
      <w:r>
        <w:rPr>
          <w:rFonts w:ascii="arial" w:eastAsia="arial" w:hAnsi="arial" w:cs="arial"/>
          <w:color w:val="000000"/>
          <w:sz w:val="20"/>
          <w:lang w:val="en-US" w:eastAsia="en-US" w:bidi="ar-SA"/>
        </w:rPr>
        <w:t>(1), s. 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3" w:name="Counsel_35"/>
      <w:bookmarkEnd w:id="25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1"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 Boe.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R.J. Meyer, J. Van Camp.</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4" w:name="Judgment_35"/>
      <w:bookmarkEnd w:id="254"/>
      <w:r>
        <w:pict>
          <v:line id="_x0000_s1202" style="position:absolute;z-index:2518476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5" w:name="K.N. AFFLECK J."/>
            <w:bookmarkEnd w:id="255"/>
            <w:r>
              <w:rPr>
                <w:rFonts w:ascii="arial" w:eastAsia="arial" w:hAnsi="arial" w:cs="arial"/>
                <w:b/>
                <w:color w:val="000000"/>
                <w:sz w:val="30"/>
                <w:lang w:val="en-US" w:eastAsia="en-US" w:bidi="ar-SA"/>
              </w:rPr>
              <w:t>K.N. AFFLECK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trial has been conducted to determine liability only for a single car accident on Highway 19 on Vancouver Island on March 27, 2005. If liability is found the quantum of damages has been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trial began on June 2, 2015, and the evidence concluded on June 10, 2015 with closing submissions beginning June 12, 2015. Before the submissions could be concluded the trial was adjourned. The purpose for the adjournment is described in reasons for judgment which gave directions to the parties. Those reasons are attached as an appendix to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then advised the court that she did not intend to apply to reopen the trial to lead further evidence to address the question of the alleged faulty maintenance of the highway. Instead the plaintiff chose to revise her argument. The plaintiff accepts there was no evidence offered about maintenance performed or not performed on the highway at any time prior to the accident. The plaintiff submits that the evidence is that the highway, or at least the grassy median between the two northbound and southbound lanes of the location of the accident, was improperly designed and/or constructed.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have approached the question of liability without reference to the question of maintenance. The liability of the defendant, if any, rests on whether the defendant took reasonable care to design and construct the segment of the highway where the accident took place so that users of the highway could travel on it in reasonable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also pleads the highway at the location of the accident constituted a nuisance because its design and construction interfered with "the plaintiff's right to freely, safely and conveniently use and enjoy [the highway] as a public right-of-way."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will describe the accident and then describe the design and construction of the highway particularly at the location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 and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March 27, 2005, in the early afternoon, the plaintiff was driving southbound on Highway 19, often known as the Inland Island Highway, in a 2002 Pontiac Montana Van. Her son was in the passenger seat beside her. He was asleep at the time of the accident and although he testified at the trial he was not in a position to describe how the accident happened. The plaintiff had driven highway 19 previously and was familiar with its characteristics. It is a four lane divided highway with a median at the location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was off and on heavy rain on the day of the accident and the highway surface was wet. In some places it was very wet including the location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Immediately before the accident the plaintiff's vehicle was travelling in the right-hand lane for southbound traffic. A large logging truck was ahead of the plaintiff's vehicle and was spraying water back towards her. To avoid the logging truck she changed lanes and began to overtake it. It appears that she had probably overtaken the logging truck when she suddenly lost control of her vehicle. She called out to her son to "hang on" as her car left the paved portion of the highway travelling to its left. The plaintiff has no further memory of the events that followed on the highway. Her next memory is of awaking in the hospital. Her vehicle had crossed over the grassy median, rolled over and come to rest in the northbound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posted speed limit at the location of the accident was 110 km/h. In a written statement given in September 2007, the plaintiff acknowledged that her vehicle was travelling at approximately 100 km/h when it "began to slide to my left" and was turning counter clockwise.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cross-examination the plaintiff agreed that she was probably travelling close to the speed limit when she lost control and agreed that she should have been travelling more slowly. There is no other evidence of the speed of travel of the plaintiff's vehicle as it left the paved portion of the highway. No reconstruction by the police or otherwise sheds light on the speed of travel of the Montana Van except it left deep gouges in the median and rolled over suggesting a relatively high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Attached to the written statement of the plaintiff is a diagram indicating that she lost control while travelling in the right-hand lane for southbound travel. If that is correct, and I am not able to conclude whether it is correct or not, she would have overtaken the logging truck and then changed lanes to her right before losing control. Whether the vehicle moved towards the median from the left or right lane does not explain how the plaintiff was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have heard some evidence that the plaintiff's vehicle had worn tires with little tread which, if correct, might explain, at least in part, the phenomenon of hydroplaning, which I will describe later in these reasons and which caused her vehicle to lose traction. A police witness who looked at the tires considered them to be acceptable but took no measurement of the tread.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Considerable physical evidence was left at the accident scene which demonstrates the path of travel of the vehicle but only after it had left the paved portion of the highway. The plaintiff's vehicle left the paved highway while rotating counter clockwise. It travelled down the slope of the median adjacent to the southbound lanes with the right side of the vehicle 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median, which is about 30 metres wide, has two purposes. One is to facilitate the eventual widening of the highway and the other is to act as a form of safety zone in the event a vehicle leaves the paved portion of the highway moving to its left. The median is intended to allow that driver to recover control and return to the paved portion of the highway without the risk of encountering oncoming traffic. The median is depressed and has slopes down either side into a ditch or swale.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median at the time of the plaintiff's accident was wet and the soil in the median soft. Deep furrows from the tires of the plaintiff's vehicle were left in the vegetation and soil of the median demonstrating the path of travel of her vehicle. The right rear tire of the vehicle as it moved sideways across the median was torn off. On reaching the bottom of the slope of the median the vehicle encountered soft muddy soil and several inches of standing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When the vehicle reached the opposite upward bank of the median the vehicle created gouges or divots, and it was "tripped" into a rollover when it was part way up the opposing slope of the medium from where it had initially left the pavement. The vehicle rolled onto the northbound lanes of the highway and came to rest upright some distance from where it had initially entered the median. It suffered heavy damage to its front, its sides and to its roof. The plaintiff was found in the vehicle and was badly injured. Her son had been ejected from the vehicle before it came to rest and was also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alleges that a combination of factors made the highway unique in British Columbia at the time of its construction. It travelled through an area of Vancouver Island which is prone to heavy rainfall; the posted speed limit of 110 km/h was unusually high for British Columbia and the median suffered from "drainage difficulties". The plaintiff alleges that the defendant failed to "ensure that the pavement profiles" and the profile of the median and "drainage features" were constructed as indicated in the design drawings. It is alleged that the defendant, knew or ought to have known, that any deviation from design specifications would increase the frequency and severity of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further alleges that the defendant failed to implement a system of reporting by ICBC, the RCMP, ambulance, fire, highway maintenance contractors, tow truck operators, to enable the risks to be monitored for motorists on the highway arising from heavy rainfall, the high posted speed limit and the median drainage difficulties. Further, it is alleged that the defendant failed to place warning signs of the risks when it was known that they were causing increased frequency and severity of single vehicle accidents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the other hand the defendant pleads that the plaintiff's own actions were the sole cause of the accident, in particular the plaintiff was travelling too fast for the prevailing weather and road conditions and she failed "to ensure the van was roadworthy and able to withstand prevailing weather and road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 Province acknowledges it had a duty to design and construct "a roadway that is reasonably safe for the reasonable road user or those who use ordinary care" and pleads that highway 19 conformed with that duty at the relevant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Condition of the Highway at the Time of the Accident and its Influence on the Plaintiff Losing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Highway 19 was built in 1991 and 1992. The Ministry of Highways was responsible for its design and supervised its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location of the accident is near what is known as a spiral or transition curve. When a high-speed highway enters a curve it is designed with a "super elevation" to counteract the centrifugal forces which will be applied to a vehicle travelling on the curve. When a highway has successive curves in opposite directions, as highway 19 had at and near the location of the accident, there will be super elevations that slope either right or left and in between there must be a transitional area which is not super elevated but instead is horizontal across the width of the highway pavement.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a highway subject to heavy rain the transitional area, because it is horizontal, may have poor drainage. This is particularly present when the longitudinal grade of the highway is shallow as it was in the location where the plaintiff's vehicle left the pavement. In the transitional area where the plaintiff's vehicle was travelling rainwater could remain on the road surface and thereby create the risk of hydroplaning. In lay terms hydroplaning means a vehicle's tires lose contact with the pavement itself and ride up on a layer of water causing the vehicle to lose traction and therefore for the driver to lose control of the vehicle. It is the plaintiff's contention that hydroplaning is the reason her vehicle came off the highway and onto the median.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explanation for hydroplaning is complex. Its cause is not simply water accumulation on the road surface. It is influenced by such matters as the extent of tire tread, the air pressure, and a vehicle's speed. The risk may be diminished by using specialized pavement which was not part of the design specifications in 1991-1992.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plaintiff's evidence was that when she acquired the vehicle it was new and she had kept the same tires on it until the time of the accident. Not long before the accident the vehicle had a warranty service at about 80,000 km. The dealership suggested the factory tires be replaced. The plaintiff went to a tire dealer to purchase new tires but was told that the tires were in good condition with good tread.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 witness at the trial Kenneth Dagg, at the time of the trial had retired from the RCMP, but in the course of his duties had attended the accident scene on March 27, 2005, shortly after the accident occurred. He made rough measurements of the scene and took photographs. Mr. Dagg was aware of the phenomenon of hydroplaning and aware that some "key factors" causing hydroplaning, were tire air pressure and the extent of tread. He did not know the air pressure of the tires in the plaintiff's vehicle, but in a later police report it was determined to be 35 pounds which Mr. Dagg testified was the pressure in his police car tires. While with the RCMP Mr. Dagg had often driven the section of the highway where the accident happened. In rainy weather he had experienced hydroplaning, but had not gone off the pavement. He attributed this more to "good luck than good management" and commented that "the ditches would be filled with vehicles if everyone who hydroplaning left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a traffic analyst investigation report prepared by Mr. Dagg, after visiting the accident site, he wrote that the "available evidence was not suitable for reconstruction". Under the heading "Scene Examination"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scene Highway 19 carries traffic in a generally north/south direction. It is a four lane asphalt, surfaced roadway with two lanes of travel for each direction: The southbound lanes are separated by a broken white line. A fog line marks the edge of the outside lane and a solid yellow line marks the edge of the inside lane. Paved shoulders border each lane. The northbound lanes have the same general configuration. A wide, deep, grassy ditch acts as a median between the north and southbound lanes. Southbound traffic approaches the scene on a straight, level stretch of roadway. The scene is at the beginning of a counterclockwise curve for that traffic.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collision occurred during daylight hours. At the time the weather was calm but heavy rain was falling. Other than the heavy rain the road's surface was in good condition.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the scene was approached from the north the first evidence of the crash was found in the median, a short distance from the inside shoulder. This evidence was a stretch of gouged earth and grass that angled down to the bottom of the median. Approximately 5 metres further south a very faint, curved and striated, tire mark was found on the inside shoulder: This mark led over the edge of the asphalt shoulder and into the median where it continued as gouged out earth to the bottom of the median. These narrow gouges led to a large area of gouged out earth at the bottom of the median. From that large gouge a trail of gouges led up to the inside edge of the northbound lanes. An impact area that included vehicle parts and broken glass was found at the edge of the shoulder. This area was approximately 47 metres from the start of the first tire mark found in the median. Vehicle debris and dirt thrown up from the ditch continued on from that point to the final position of the vehicle. It was found sitting on its wheels facing in an easterly direction, in the outside northbound lane. Its rear end was in the inside lane and its front end was over the outside shoulder. The vehicle was approximately 75 metres from the start of the first evidence. The male passenger from the Vehicle had been found approximately 15 to 20 metres further south on the edge of the outside, northbound ditch. His position had not been marked.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Vehicle Examination: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vehicle involved in this crash was a 2002 Pontiac Montana van. It was completely destroyed in the crash. The most severe damage was at its upper right front corner. The damage covered the area from the upper right front bumper and fender back to the roof at the "A" pillar. The "A" pillar and roof were crushed down and back into the passenger compartment and drivers seating area, to approximately the top edge of the steering wheel. The right side "A" pillar was also crushed down and back but to a much lesser extent.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front bumper and hood had been torn off. All but the rear window glass had been broken out. The right rear tire was torn off. All of the tires, including the right rear, remained inflated.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an email of January 9, 2007 from Martin Madelung, manager of Rehabilitation and Maintenance Ministry of Transportation South Coast Region, to Dirk Nyland, the chief engineer for the Ministry of Transportation, Mr. Madelung wrote about "the water issue on the inland Highway Island Highway". He mentioned various possible solutions including a "micro resurfacing application" and a "hot in-place application". He went on to write that "[s]ince the 'hydroplaning' concern has a long history on this highway, I was wondering if your office has a file and/or study on this with possible recommendations to resolve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an email of January 8, 2007 from Jeff Knight an employee of the Ministry of Transportation, which email was apparently forwarded to Mr. Madelung, Mr. Knight describes a "story that ran in the Campbell River Mirror recently" which said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Treacherous stretch of highway - Grant Warkentin - Campbell River Mirror, Page 0001, 05-Jan-2007 In 20 years of towing experience, Dan Beaumont says he's never seen a highway as dangerous as the Inland Island Highway.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'There's been a lot of hydroplaning, a lot of hydroplaning collisions,' said the towing manager of Georgia Straight Towing in Courtenay.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Storms and heavy rain in the past few weeks have created difficult driving conditions on Highway 19 from north of Parksville to Campbell River. Beaumont said he was driving home from Parksville on New Years' Day - one of the stormiest days in the past few weeks - and saw two accident scenes. Despite driving well below the speed limit, he had to work hard to keep control of his personal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January 17, 2006, the District Highway Manager for highway 19 received an email advising that "HAS [the Ministry's highway accident tracking system] listed 173 accidents on highway 19 near Campbell River between January 2002 and June 2005. The email responded to an email from the District Manager the previous day saying in part that "we have had a lot of concern expressed recently about hydroplaning on the iih [the Inland Island Highway]". In a "highway accident system histogram report" regarding segment 2354 of highway 19, which is the segment where the plaintiff had her accident, in a southbound direction there had been numerous accidents in wet weather between March 27, 1995 and March 27, 2005. The plaintiff's accident near Qualicum is listed as one of those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As a matter of policy, the British Columbia Ministry of Transportation does not generally retrofit highways when standards of design and construction change. The plaintiff does not allege highway 19 ought to have been upgraded nor that the failure to do so was actionable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does allege there ought to have signage warning motorists of the risk of hydroplaning in wet weather.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Some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If a vehicle is able to "recover" once it has left the pavement and travelled onto the median it is apparent the driver of the vehicle must have at least some measure of control over the path of the vehicle when it leaves the paved highway. The plaintiff had no control over her vehicle once it lost traction on the pavement. Once her vehicle left the pavement and entered into the median, while turning counter clockwise and sliding to its right with enough force to tear a tire off its rim, there was no chance of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When the vehicle encountered the upward slope of the median on the opposite side from where it had left the pavement it was possible it would have come to a stop if its speed had been sufficiently reduced by friction as it travelled across the median. If its speed had not been sufficiently reduced it was very likely it would "trip" and begin to roll. I am not able to determine the speed at which a rollover would have been avoided but I conclude a vehicle traveling at 100 km/h when it left the pavement would encounter a high risk of a rollover.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find the plaintiff was driving too fast for the highway conditions at the time. Although the speed limit was 110 km/h a driver taking reasonable care for her own safety would not assume that the posted speed limit was a safe speed at which to travel. Heavy rain, and thus a very wet road surface, ought to have led a reasonably careful driver to moderate her speed. The plaintiff candidly acknowledged in the statement that she gave in 2007 that she should have been driving more slowly. The plaintiff submits that when she made that statement she was influenced by remorse over the injuries suffered by her son in the accident, but in my view her statement of regret about her speed was appropriate irrespective of her remorse.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Lloyd v. Fox</w:t>
      </w:r>
      <w:r>
        <w:rPr>
          <w:rFonts w:ascii="arial" w:eastAsia="arial" w:hAnsi="arial" w:cs="arial"/>
          <w:color w:val="000000"/>
          <w:sz w:val="20"/>
          <w:lang w:val="en-US" w:eastAsia="en-US" w:bidi="ar-SA"/>
        </w:rPr>
        <w:t xml:space="preserve"> </w:t>
      </w:r>
      <w:hyperlink r:id="rId853" w:history="1">
        <w:r>
          <w:rPr>
            <w:rFonts w:ascii="arial" w:eastAsia="arial" w:hAnsi="arial" w:cs="arial"/>
            <w:i/>
            <w:color w:val="0077CC"/>
            <w:sz w:val="20"/>
            <w:u w:val="single"/>
            <w:shd w:val="clear" w:color="auto" w:fill="FFFFFF"/>
            <w:lang w:val="en-US" w:eastAsia="en-US" w:bidi="ar-SA"/>
          </w:rPr>
          <w:t>(1991), 57 B.C.L.R. (2d) 332</w:t>
        </w:r>
      </w:hyperlink>
      <w:r>
        <w:rPr>
          <w:rFonts w:ascii="arial" w:eastAsia="arial" w:hAnsi="arial" w:cs="arial"/>
          <w:color w:val="000000"/>
          <w:sz w:val="20"/>
          <w:lang w:val="en-US" w:eastAsia="en-US" w:bidi="ar-SA"/>
        </w:rPr>
        <w:t xml:space="preserve">, the Court of Appeal discussed s. 149(1)(c)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(now s. 144(1)(c)). That subsection reads:</w:t>
      </w:r>
      <w:r>
        <w:rPr>
          <w:rFonts w:ascii="arial" w:eastAsia="arial" w:hAnsi="arial" w:cs="arial"/>
          <w:sz w:val="20"/>
          <w:lang w:val="en-US" w:eastAsia="en-US" w:bidi="ar-SA"/>
        </w:rPr>
        <w:cr/>
      </w:r>
    </w:p>
    <w:p>
      <w:pPr>
        <w:numPr>
          <w:numId w:val="1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must not drive a motor vehicle on a</w:t>
      </w:r>
    </w:p>
    <w:p>
      <w:pPr>
        <w:numPr>
          <w:numId w:val="2"/>
        </w:numPr>
        <w:spacing w:before="120" w:line="240" w:lineRule="atLeast"/>
        <w:rPr>
          <w:rFonts w:ascii="arial" w:eastAsia="arial" w:hAnsi="arial" w:cs="arial"/>
          <w:sz w:val="20"/>
          <w:lang w:val="en-US" w:eastAsia="en-US" w:bidi="ar-SA"/>
        </w:rPr>
      </w:pP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Justice Hinds with whom Cummings J.A. concurred wrote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If the driver of a vehicle had reason to be familiar with the potential road, traffic, visibility or weather conditions which in fact arose, he had a duty to exercise caution by driving at a speed that was not excessive relative to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 combination of a wet highway and excessive speed led to hydroplaning and to a sudden loss of control through loss of traction. Hydroplaning can occur at lesser speeds then 110 km/h. The evidence is that it might have occurred at even 85 km/h. I conclude that if the plaintiff's vehicle had lost traction while travelling more slowly and had crossed into the median the possibility of recovery and return to the paved highway may have been enhanced and the risk of rollover might have been reduced. That risk was increased, however by the nature of the median.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Was Highway 19 Constructed to an Adequate Design in 1991 and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Between them the parties have provided seven letters containing the opinions of three professional engineers. The letters each address various questions concerning the characteristics of Highway 19, which may explain how the rollover occurred. I will describe and comment on each of the letters.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Two of the letters were provided by John Lisman P. Eng. The first is dated January 29, 2010, Mr. Lisman advises that he was asked "to review the physical character of [Highway 19] at the site of the accident to ascertain and describe the contribution which the design, geometry, construction and maintenance of [Highway 19] may have made to causing the accident". I will refer to this letter as "Lisman Report No. 1". The second letter of Mr. Lisman is dated March 21, 2014. Mr. Lisman advises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have asked me to prepare an opinion on the character of the pavement surface in the immediate vicinity of the accident site, based on the photographs and site survey produced by Messrs. MacElhanney in May, 2009. Also you have asked me to provide an opinion on the pavement surface drainage based on the Report by Mr. G.A. Evans, prepared in May 30th,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will refer to this letter as "Lisman Report No.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Lisman Report No. 1 the author describes Highway 19 in some detail "in the accident vicinity" and comments on "the drainage of the pavement surfaces". Mr. Lisman refers to the "slope of the paved ditch-side [i.e. the median side] shoulder". The main purpose of the Lisman Report No. 1 is to opine on the causes of hydroplaning and the means that were available to overcome that risk when Highway 19 was designed and built. Lisman Report No. 1 refers in particular to his understanding of the characteristics of the segment of the highway where the accident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value of Mr. Lisman's evidence is limited because it is apparent he misunderstood the location of the accident on Highway 19. In cross-examination he agreed that he would defer to the evidence of Mr. Adam in that regard. This is an important concession by Mr. Lisman because he and Mr. Adam had a different understanding of the location of the accident. I am satisfied that the central questions I must answer is whether the median, at the location of the accident, had slopes the defendant knew were too steep for a vehicle to travel in safety, and did the median have inadequate drainage.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defendant relies on four letters containing the opinions of Donald Rempel, a professional engineer. Mr. Rempel did not testify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Rempel went to the location of the accident and using various physical evidence and police photographs was able to determine the path of the plaintiff's vehicle across the median "with reasonable precision". He concluded the plaintiff's vehicle was sliding sideways and rotating counter clockwise with the right side leading as it descended the median slope. Using the photographs Mr. Rempel located the place where the "trip" was initiated part way up the opposite slope of the median from where the vehicle had initially left the pavement.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Mr. Rempel's opinion the tires of the vehicle acted as a "pivot point" to cause the "tripping" in the soft soil in the median. The tires penetrated into the earth which resulted in high lateral forces applied against the side walls of the tires. Mr. Rempel ran simulations to test "if normal (i.e. non-furrowing) tire forces" would have caused the trip and rollover. He concluded that "this event was a soil tripped furrowing rollover".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Rempel measured the median slope where the plaintiff's vehicle crossed and found it "was 3.2:1 to 3.0:1 where the vehicle descended the median and 3.3:1 to 3.4:1 where it ascended the far median slope". In his opinion, the "dynamic outcomes for a vehicle following the path of the Bayfield Montana on the as-built median and a 4:1 median are very similar if furrowing does not occur". He wrote that the "deep furrows in the median slope indicate to me that this rollover was not marginal" and a more gentle median slope "can only be linked to a significant difference in outcome (relative to the as-built median), for a marginal rollover".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Rempel's second letter of opinion is dated April 30, 2014. It is largely devoted to the configuration of the paved portion of Highway 19 at the location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a letter of opinion of May 2, 2014, Mr. Rempel writes of his review of a report written by a professional engineer named Evans. Mr. Evans could not testify due to advancing age and his opinions did not go into evidence. Nevertheless, over the objections of the defendant, I permitted the measurements and photographs in this report to go into evidence, even though they are hearsay. In my view the measurements and photographs are necessary and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Rempel in his review of Mr. Evans' report again refers to hydroplaning and a theory of Mr. Evans that the plaintiff's vehicle was forced into the counter clockwise motion when its right front tire regained traction with the paved road surface after the vehicle recovered slightly from the median. Mr. Rempel is critical of this theory because he asserts it is impossible, "as a matter of basic vehicle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need not address this question. I do not have Mr. Evans' opinions before me as part of the evidence. No other expert provided an explanation for the counter clockwise motion of the plaintiff's vehicle. There was no physical evidence left on the pavement to show the path of the plaintiff's vehicle as it moved into the median, nor that it came partially back onto the pavement. The counter clockwise motion of the plaintiff's vehicle may have been caused by the efforts of the plaintiff to regain control, but there is no means on the evidence before me to reconstruct the cause for that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Rempel's last report is dated April 20, 2014. In it he comments on the report of Ian Adam P. Eng.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This trial became to a large extent a battle of the experts. It is difficult to reach a conclusion about which of the experts has the more accurate view of how the accident happened and whether the highway was properly designed and constructed. Nevertheless, Mr. Adam's opinions have carried particular weight in permitting me to reach conclusions about why the plaintiff's vehicle rolled over causing her injuries. This is in part because of his experience and training and also because on the whole of the evidence they have provided the most plausible explanation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Adam was an Assistant City Engineer for the City of Vancouver from 1991 to 2008, and in that capacity directed the Streets Division of the City Engineering Department now known as the Transportation Division. From 1976 to 1991 he managed various City of Vancouver engineering branches.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Adam went to the location of the accident in February 2015. The roadway was dry, but the base of the swale and the median were "very spongy, full of standing water, and occupied by swamp grass and reeds". He reviewed a survey of the slope of the median done by McElhanney Consulting Services in 2009 and 2011 and earlier by Evans Professional Engineering Service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Adam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Detailed surveys of the roadway and swale were performed, one by Evans Professional Engineering Services in 2008, and by McElhanney Consulting Services in 2009 and 2011, as listed in Appendix C. Mr. Evans' report included a detailed lane-by-lane survey of grades, finding one area where grades did not match the design. He also indicated that fresh scars from tire tracks were observed in the median in 2008, suggesting the occurrence of a recent MVA. The median swale was found by both surveys not to comply with specifications. It is deeper and steeper than the design, and does not drain water as intended.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Later in his report Mr. Adam commented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F1. When a vehicle moving at highway speed leaves the pavement, it does so with a great deal of energy, and is substantially out of control. The consequences of this event could be as simple as the vehicle rolling to a halt, or they could include a major accident with serious injuries and property damage. The difference between these outcomes depends largely upon what the vehicle encounters en route, and even subtle differences in the design parameters in that in that area can have a profound effect on the outcome.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F2. Modern safety design calls for provision of a clear zone adjacent to the roadway to give the driver an opportunity to recover safely. This clear zone should have a flat surface, as closely as practical, and there should be an absence of objects that could constitute the source of the secondary collision. Where a clear zone cannot be provided, a carefully-designed guard rail is placed in its stead. Where objects (such as signposts) must intrude on the clear zone, they typically have breakaway bases. Numerous transportation agencies around the world have reviewed this aspect, and have adopted standards to protect vehicles ad their occupants.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F3. A major part of these standards relates to avoiding slopes or surfaces that could cause a vehicle to roll over. Slopes are measured as the ratio of run to rise; that is a 4:1 slope would mean that for each 4 metres of width, the surface rises or drops by 1 metre. A smaller number like 3:1 indicates a steeper slope; a larger number like 6:1 indicates a gentler slope.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Further Mr. Adam commented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highway specifications call for 4:1 slope or better, the various surveys found slopes of around 3:1. The McElhanney surveys show the slope to be variable and in the range of 3:1. Mr. Evans' survey found some portions of the slope to be as steep as 2.2:1 to 2.7:1. Mr. Rempel's measurements found the slope to be in the range of 3:1 to 3.2:1. As noted above, this change of slope is significantly less safe, being associated with a 4.4-fold increase in severe accidents. To express this from the other perspective, the potential for serious injury and property damage would have been reduced by more than 80% if the design standard had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Adam agrees with Mr. Rempel that the presence of water and supersaturated soil in the swale would increase the likelihood and the extent of furrowing by the wheels and nose of the plaintiff's vehicle, which in his opinion was "more than adequate to cause the tripping event". He agreed with Mr. Rempel that the "deep furrows in the median indicate ... that this rollover was not marginal". By using that expression I understand Mr. Adam to mean that a rollover in all the circumstances of this accident, including the nature of the swale, was highly likely to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Even without the furrowing left by the plaintiff's vehicle Mr. Adam comments that a 3:1 slope is "prone to rollover events". He expresses his opinion on the cause of the plaintiff's injuries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when the van reached the bottom of the swale there was a very violent reaction. Its downward velocity was rapidly transformed into an upward reaction; in effect, the van collided with the far slope of the swale. This caused the van's nose to dig into the slope, in turn causing the van to pitch backward rapidly, and increasing the counter-clockwise yaw. It would appear that the van's stern then struck the near slope as well. There would have been a rapid deceleration through this passage. This series of events occurred in a fraction of a second and would probably have been sufficient, without the furrows, to initiate at lease an overturning event and possibly a complete rollover. Even if it did not, the collision would have been very violent and would have caused severe injuries to the occupants, as well as damage to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Adam goes on to write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swale had been graded with 4:1 slopes, then its base elevation would have been higher and it should have had positive drainage as designed, instead of standing water. Thus the soil would have been firmer, and the grass mat better established. This would not have guaranteed there would be no furrowing, but it should certainly have reduced the depth and extent of the furrows. The worst of the furrowing occurred right at the base of the swale where the slope changes from a downgrade to an upgrade. With 4:1 slopes, this grade change would have been correspondingly less, and so the propensity to furrow would have been reduced. In addition the van would have had less downward momentum.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Lastly Mr. Adam's conclusions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H1. The Inland Island Highway was designed to modern standards in 1991. The operating speed in 1991 matched the initial design speed of 110 km/h (subsequently reposted as 120 km/h). However the section of southbound roadway at station 201+00 suffers from a combination of factors that affect drainage. It is on a transition curve, which should always be identified as a drainage concern. And the cross-slope of the traveled lanes does not meet specifications, resulting in poor surface drainage.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H2. The Bayfields' Montana van lost control at this point, and after considering all other options, the most probable cause is hydroplaning.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H3. The van then entered the median swale, where it furrowed into the topsoil, rolled over, and landed on the northbound lanes. The swale in this location does not conform to the specifications: the slopes are too steep, the swale is too deep, and it does not drain properly, producing swampy conditions with soil that is very soft and plastic.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H4. It is my opinion that the van would not have rolled over if the median had been built to the specifications, including a swale slope of 4:1 or better, and proper drainage. As a result, the potential for serious injury and property damage would have been reduced by more than 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Darwin Tyacke is a senior geometric standards technologist with the British Columbia Ministry of Transportation and Infrastructure. Mr. Tyacke is familiar with the design standard for Highway 19 at the time it was constructed. A prominent feature of the median, as shown in the police photographs taken shortly after the accident, is a considerable amount of standing water in the swale. Mr. Tyacke's evidence was that the median, as he saw it depicted in the photographs, apart from the subsequent damage from the passage of the plaintiff's vehicle over it, was "generally" as it was constructed. He testified that he would not have expected to see the standing water as shown in the photographs, because the water should have drained away into a catch basin. I do not have evidence that the slope of the median or its drainage capacity were altered in any way by the defendant, or a contractor acting on its behalf, after it was constructed.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My Conclusions on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find that the plaintiff's vehicle left the pavement because it hydroplaned and the plaintiff lost control. It then travelled into the median at somewhat less than the maximum posted speed limit. Once it had entered the median there was no means for it to "recover" and regain the pavement. At even 100 km/h the plaintiff's vehicle would have travelled somewhat more than 27 metres each second. The median was about 30 metres wide. There was no opportunity for the plaintiff to regain control of her vehicle once it had begun to hydroplane. The vehicle struck the opposing slope of the median with great force and began to roll. I find that the risk of this happening was enhanced by swampy conditions in the swale and the standing water which would ought not to have been present if the median had been adequately designed and constructed. I also find that the force with which the vehicle "nosed" into the opposing slope was enhanced because the slope of the median was too steep.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find that the plaintiff's vehicle may have hydroplaned even if it had been travelling more slowly, but the risk of hydroplaning was increased with higher speed. It was not the hydroplaning that caused the injuries; it was the rollover. The rollover was caused by the too steep slope of the median and the poorly drained swale and the excessive speed of the plaintiff's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 have no basis in the evidence to find the absence of warning signs of the risk of hydroplaning was an element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March 2005. The plaintiff was familiar with highway 19 at the location of the accident and I find she knew that she was over-driving for the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Meghji v. British Columbia (Ministry of Transportation and Highways)</w:t>
      </w:r>
      <w:r>
        <w:rPr>
          <w:rFonts w:ascii="arial" w:eastAsia="arial" w:hAnsi="arial" w:cs="arial"/>
          <w:color w:val="000000"/>
          <w:sz w:val="20"/>
          <w:lang w:val="en-US" w:eastAsia="en-US" w:bidi="ar-SA"/>
        </w:rPr>
        <w:t xml:space="preserve">, </w:t>
      </w:r>
      <w:hyperlink r:id="rId854" w:history="1">
        <w:r>
          <w:rPr>
            <w:rFonts w:ascii="arial" w:eastAsia="arial" w:hAnsi="arial" w:cs="arial"/>
            <w:i/>
            <w:color w:val="0077CC"/>
            <w:sz w:val="20"/>
            <w:u w:val="single"/>
            <w:shd w:val="clear" w:color="auto" w:fill="FFFFFF"/>
            <w:lang w:val="en-US" w:eastAsia="en-US" w:bidi="ar-SA"/>
          </w:rPr>
          <w:t>2014 BCCA 105</w:t>
        </w:r>
      </w:hyperlink>
      <w:r>
        <w:rPr>
          <w:rFonts w:ascii="arial" w:eastAsia="arial" w:hAnsi="arial" w:cs="arial"/>
          <w:color w:val="000000"/>
          <w:sz w:val="20"/>
          <w:lang w:val="en-US" w:eastAsia="en-US" w:bidi="ar-SA"/>
        </w:rPr>
        <w:t xml:space="preserve">, the court referred to the reasons of Lowry J.A. in </w:t>
      </w:r>
      <w:r>
        <w:rPr>
          <w:rFonts w:ascii="arial" w:eastAsia="arial" w:hAnsi="arial" w:cs="arial"/>
          <w:i/>
          <w:color w:val="000000"/>
          <w:sz w:val="20"/>
          <w:lang w:val="en-US" w:eastAsia="en-US" w:bidi="ar-SA"/>
        </w:rPr>
        <w:t>Murao v. Richmond School District No. 38,</w:t>
      </w:r>
      <w:r>
        <w:rPr>
          <w:rFonts w:ascii="arial" w:eastAsia="arial" w:hAnsi="arial" w:cs="arial"/>
          <w:color w:val="000000"/>
          <w:sz w:val="20"/>
          <w:lang w:val="en-US" w:eastAsia="en-US" w:bidi="ar-SA"/>
        </w:rPr>
        <w:t xml:space="preserve"> </w:t>
      </w:r>
      <w:hyperlink r:id="rId855" w:history="1">
        <w:r>
          <w:rPr>
            <w:rFonts w:ascii="arial" w:eastAsia="arial" w:hAnsi="arial" w:cs="arial"/>
            <w:i/>
            <w:color w:val="0077CC"/>
            <w:sz w:val="20"/>
            <w:u w:val="single"/>
            <w:shd w:val="clear" w:color="auto" w:fill="FFFFFF"/>
            <w:lang w:val="en-US" w:eastAsia="en-US" w:bidi="ar-SA"/>
          </w:rPr>
          <w:t>2005 BCCA 43</w:t>
        </w:r>
      </w:hyperlink>
      <w:r>
        <w:rPr>
          <w:rFonts w:ascii="arial" w:eastAsia="arial" w:hAnsi="arial" w:cs="arial"/>
          <w:color w:val="000000"/>
          <w:sz w:val="20"/>
          <w:lang w:val="en-US" w:eastAsia="en-US" w:bidi="ar-SA"/>
        </w:rPr>
        <w:t>, which it was said "succinctly defined" the standard of care which I consider applies to the matter before me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The standard of care is the measure by which the discharge of the duty owed by one person to another is determined in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Where the conduct in question conformed to a recognized or general practice in any given circumstance, the standard of care required is normally met. In cases where the nature of the conduct in question is beyond the common understanding of judge and jury, as in medical malpractice cases, expert evidence is routinely introduced to prove an established practice and hence the requisite standard of care: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127 D.L.R. (4th) 577</w:t>
        </w:r>
      </w:hyperlink>
      <w:r>
        <w:rPr>
          <w:rFonts w:ascii="arial" w:eastAsia="arial" w:hAnsi="arial" w:cs="arial"/>
          <w:color w:val="000000"/>
          <w:sz w:val="20"/>
          <w:lang w:val="en-US" w:eastAsia="en-US" w:bidi="ar-SA"/>
        </w:rPr>
        <w:t xml:space="preserve">. By contrast, in motor vehicle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evidence of an accepted practice often need not be adduced to establish the standard of care either because the practice to be followed in any given instance has been prescribed by legislation or because what is required is so broadly understood as a matter of common sense by everyone regularly travelling on city streets and provincial highways: </w:t>
      </w:r>
      <w:r>
        <w:rPr>
          <w:rFonts w:ascii="arial" w:eastAsia="arial" w:hAnsi="arial" w:cs="arial"/>
          <w:i/>
          <w:color w:val="000000"/>
          <w:sz w:val="20"/>
          <w:lang w:val="en-US" w:eastAsia="en-US" w:bidi="ar-SA"/>
        </w:rPr>
        <w:t>Tucker (Guardian Ad Litem of) v. Asleson</w:t>
      </w:r>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(1993), 102 D.L.R. (4th) 518</w:t>
        </w:r>
      </w:hyperlink>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78 B.C.L.R. (2d) 173</w:t>
        </w:r>
      </w:hyperlink>
      <w:r>
        <w:rPr>
          <w:rFonts w:ascii="arial" w:eastAsia="arial" w:hAnsi="arial" w:cs="arial"/>
          <w:color w:val="000000"/>
          <w:sz w:val="20"/>
          <w:lang w:val="en-US" w:eastAsia="en-US" w:bidi="ar-SA"/>
        </w:rPr>
        <w:t xml:space="preserve"> (B.C.C.A.) at 553.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find the defendant failed to take reasonable care in the design and/or construction of highway 19 at the location of the accident. The median, because of its steep sides and faulty drainage, which were not consistent with proper design and construction practices when Highway 19 was built, created an unacceptably high risk that if a vehicle left the pavement having experienced hydroplaning, a risk known to the defendant, instead of entering an area of relative safety it entered into an area of danger with a substantial risk of a rollover accident with consequent serious injuries. The risk of a rollover accident could have been avoided, or at least reduced if the slopes of the median were shallower, as good engineering practice dictated, and if there had been adequate drainage in the swale for the large quantities of rainwater that were known to the defendant to be prevalent in the location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Both the failure of the defendant to take reasonable care in the design and construction of the median and the plaintiff's failure to take reasonable care for her own safety caused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divide liability two-thirds against the defendant and one-third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Nuisance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Major J. for the Court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The doctrine of public nuisance appears as a poorly understood area of the law. "A public nuisance has been defined as any activity which unreasonably interferes with the public's interest in questions of health, safety, morality, comfort or convenience": see </w:t>
      </w:r>
      <w:r>
        <w:rPr>
          <w:rFonts w:ascii="arial" w:eastAsia="arial" w:hAnsi="arial" w:cs="arial"/>
          <w:i/>
          <w:color w:val="000000"/>
          <w:sz w:val="20"/>
          <w:lang w:val="en-US" w:eastAsia="en-US" w:bidi="ar-SA"/>
        </w:rPr>
        <w:t>Klar, supra</w:t>
      </w:r>
      <w:r>
        <w:rPr>
          <w:rFonts w:ascii="arial" w:eastAsia="arial" w:hAnsi="arial" w:cs="arial"/>
          <w:color w:val="000000"/>
          <w:sz w:val="20"/>
          <w:lang w:val="en-US" w:eastAsia="en-US" w:bidi="ar-SA"/>
        </w:rPr>
        <w:t xml:space="preserve">, at p. 525. Essentially, "[t]he conduct complained of must amount to ... an attack upon the rights of the public generally to live their lives unaffected by inconvenience, discomfort and other forms of interference": See G.H.L. Fridman, </w:t>
      </w:r>
      <w:r>
        <w:rPr>
          <w:rFonts w:ascii="arial" w:eastAsia="arial" w:hAnsi="arial" w:cs="arial"/>
          <w:i/>
          <w:color w:val="000000"/>
          <w:sz w:val="20"/>
          <w:lang w:val="en-US" w:eastAsia="en-US" w:bidi="ar-SA"/>
        </w:rPr>
        <w:t>The Law of Torts in Canada</w:t>
      </w:r>
      <w:r>
        <w:rPr>
          <w:rFonts w:ascii="arial" w:eastAsia="arial" w:hAnsi="arial" w:cs="arial"/>
          <w:color w:val="000000"/>
          <w:sz w:val="20"/>
          <w:lang w:val="en-US" w:eastAsia="en-US" w:bidi="ar-SA"/>
        </w:rPr>
        <w:t xml:space="preserve">, Vol. I (1989), at p. 168. An individual may bring a private action in public nuisance by pleading and proving special damage. See, e.g., </w:t>
      </w:r>
      <w:r>
        <w:rPr>
          <w:rFonts w:ascii="arial" w:eastAsia="arial" w:hAnsi="arial" w:cs="arial"/>
          <w:i/>
          <w:color w:val="000000"/>
          <w:sz w:val="20"/>
          <w:lang w:val="en-US" w:eastAsia="en-US" w:bidi="ar-SA"/>
        </w:rPr>
        <w:t>Chessie v. J.D. Irving Ltd.</w:t>
      </w:r>
      <w:r>
        <w:rPr>
          <w:rFonts w:ascii="arial" w:eastAsia="arial" w:hAnsi="arial" w:cs="arial"/>
          <w:color w:val="000000"/>
          <w:sz w:val="20"/>
          <w:lang w:val="en-US" w:eastAsia="en-US" w:bidi="ar-SA"/>
        </w:rPr>
        <w:t xml:space="preserve"> </w:t>
      </w:r>
      <w:hyperlink r:id="rId856" w:history="1">
        <w:r>
          <w:rPr>
            <w:rFonts w:ascii="arial" w:eastAsia="arial" w:hAnsi="arial" w:cs="arial"/>
            <w:i/>
            <w:color w:val="0077CC"/>
            <w:sz w:val="20"/>
            <w:u w:val="single"/>
            <w:shd w:val="clear" w:color="auto" w:fill="FFFFFF"/>
            <w:lang w:val="en-US" w:eastAsia="en-US" w:bidi="ar-SA"/>
          </w:rPr>
          <w:t>(1982), 22 C.C.L.T. 89</w:t>
        </w:r>
      </w:hyperlink>
      <w:r>
        <w:rPr>
          <w:rFonts w:ascii="arial" w:eastAsia="arial" w:hAnsi="arial" w:cs="arial"/>
          <w:color w:val="000000"/>
          <w:sz w:val="20"/>
          <w:lang w:val="en-US" w:eastAsia="en-US" w:bidi="ar-SA"/>
        </w:rPr>
        <w:t xml:space="preserve"> (N.B. C.A.) . Such actions commonly involve allegations of unreasonable interference with a public right of way, such as a street or highway. See </w:t>
      </w:r>
      <w:r>
        <w:rPr>
          <w:rFonts w:ascii="arial" w:eastAsia="arial" w:hAnsi="arial" w:cs="arial"/>
          <w:i/>
          <w:color w:val="000000"/>
          <w:sz w:val="20"/>
          <w:lang w:val="en-US" w:eastAsia="en-US" w:bidi="ar-SA"/>
        </w:rPr>
        <w:t>ibid.</w:t>
      </w:r>
      <w:r>
        <w:rPr>
          <w:rFonts w:ascii="arial" w:eastAsia="arial" w:hAnsi="arial" w:cs="arial"/>
          <w:color w:val="000000"/>
          <w:sz w:val="20"/>
          <w:lang w:val="en-US" w:eastAsia="en-US" w:bidi="ar-SA"/>
        </w:rPr>
        <w:t>, at p. 94.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Whether or not a particular activity constitutes a public nuisance is a question of fact. Many factors may be considered, including the inconvenience caused by the activity, the difficulty involved in lessening or avoiding the risk, the utility of the activity, the general practice of others, and the character of the neighbourhood.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Court of Appeal in Susan Heyes Inc. (Hazel &amp; Co) v. South Coast B.C. Transportation Authority, </w:t>
      </w:r>
      <w:hyperlink r:id="rId857" w:history="1">
        <w:r>
          <w:rPr>
            <w:rFonts w:ascii="arial" w:eastAsia="arial" w:hAnsi="arial" w:cs="arial"/>
            <w:i/>
            <w:color w:val="0077CC"/>
            <w:sz w:val="20"/>
            <w:u w:val="single"/>
            <w:shd w:val="clear" w:color="auto" w:fill="FFFFFF"/>
            <w:lang w:val="en-US" w:eastAsia="en-US" w:bidi="ar-SA"/>
          </w:rPr>
          <w:t>2011 BCCA 77</w:t>
        </w:r>
      </w:hyperlink>
      <w:r>
        <w:rPr>
          <w:rFonts w:ascii="arial" w:eastAsia="arial" w:hAnsi="arial" w:cs="arial"/>
          <w:color w:val="000000"/>
          <w:sz w:val="20"/>
          <w:lang w:val="en-US" w:eastAsia="en-US" w:bidi="ar-SA"/>
        </w:rPr>
        <w:t xml:space="preserve">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 a finding of nuisance is based on an assessment of four factors: the character of the neighbourhood; the nature, severity and duration of the interference; the social utility of the impugned conduct; and the sensitivity of the plaintiff's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court must also be satisfied that the interests involved affect a public interest. Lord Denning stated in </w:t>
      </w:r>
      <w:r>
        <w:rPr>
          <w:rFonts w:ascii="arial" w:eastAsia="arial" w:hAnsi="arial" w:cs="arial"/>
          <w:i/>
          <w:color w:val="000000"/>
          <w:sz w:val="20"/>
          <w:lang w:val="en-US" w:eastAsia="en-US" w:bidi="ar-SA"/>
        </w:rPr>
        <w:t>A.G. v. P.Y.A. Quarries Ltd.</w:t>
      </w:r>
      <w:r>
        <w:rPr>
          <w:rFonts w:ascii="arial" w:eastAsia="arial" w:hAnsi="arial" w:cs="arial"/>
          <w:color w:val="000000"/>
          <w:sz w:val="20"/>
          <w:lang w:val="en-US" w:eastAsia="en-US" w:bidi="ar-SA"/>
        </w:rPr>
        <w:t>, [1957] 1 All E.R. 894 (C.A.) at 908 that "a public nuisance is a nuisance which is so widespread in its range or so indiscriminate in its effect that it would not be reasonable to expect one person to take proceedings on his own responsibility to put a stop to it." Given that the interests at issue in the present matter are safe passage along a provincial highway, they are clearly public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An individual is entitled to advance a private claim for public nuisance if he or she alleges damage distinct to themself.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Given the injuries suffered by the plaintiff she is entitled to advance a private claim for a public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Nevertheless, in my view the plaintiff's case is better treated as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The Law of Torts in Canada</w:t>
      </w:r>
      <w:r>
        <w:rPr>
          <w:rFonts w:ascii="arial" w:eastAsia="arial" w:hAnsi="arial" w:cs="arial"/>
          <w:color w:val="000000"/>
          <w:sz w:val="20"/>
          <w:lang w:val="en-US" w:eastAsia="en-US" w:bidi="ar-SA"/>
        </w:rPr>
        <w:t xml:space="preserve"> (Toronto, Carswell, 2010). Professor Gerald H.L. Fridman states at page 216 that the issue of nuisance on highways is intimately linked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nuisance to the highway is concerned...it would appear that there must be an element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absence of any deliberate intent to cause harm, before the conduct of the defendant will amount to a public nuisance which is capable of supporting a private action if special damage is established. Hence, where such public nuisances are relied upon as a cause of action, it may well be valid to argue that the true cause of action of the plaintiff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rather than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John Fleming's,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8th ed. Sydney: The Law Book Company Limited, 1992 at page 409 the following words are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nuisance has come to cover not only non-physical damage, harmful to one's use and enjoyment of land, such as air pollution or noise, but also physical damage, like vibrations, discharge of water causing structural damage next door, even bodily injury. The rise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an independent basis of liability inevitably posed the problem of its relation to the older tort, but its resolution has largely gone by default. Gradually, though, it modified nuisance law in two respect: it infused, as we shall see, notions of fault which were originally foreign to nuisance. More important from the present standpoint, it has been imperceptibly displacing nuisance as the appropriate basis of liability for physical harm, especially in cases of isolated (as distinct from continuing) occurrences: today these situations are mostly either treated exclusively in terms of the general duty of care or talk of nuisance is at most added as mere surplusage.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 see no utility in the present case in analyzing it as both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and one in nuisance. The outcome will be identical. It is sufficient to establish liability if the claim rests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Subsection 1(1)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(1) If by the fault of 2 or more persons damage or loss is caused to one or more of them, the liability to make good the damage or loss is in proportion to the degree to which each person was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That subsection may be invoked whether the claim is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Section 3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provides that liability for costs shall be in the same proportion as the parties' respective liability to make good the damage or loss of the plaintiff, unless the court otherwise directs. The parties may make written submissions of no more than five pages on the manner in which that discretion is to be exercised. I make no order as to the date in which the first submission will be provided. The plaintiff will deliver the first written submission and the defendant will have two weeks thereafter to respond. The plaintiff may deliver a two page reply no more than one week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K.N. AFFLECK J.</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The November 3, 2015 decision, attached as the Appendix, is available at </w:t>
      </w:r>
      <w:hyperlink r:id="rId858" w:history="1">
        <w:r>
          <w:rPr>
            <w:rFonts w:ascii="arial" w:eastAsia="arial" w:hAnsi="arial" w:cs="arial"/>
            <w:i/>
            <w:color w:val="0077CC"/>
            <w:sz w:val="18"/>
            <w:u w:val="single"/>
            <w:shd w:val="clear" w:color="auto" w:fill="FFFFFF"/>
            <w:lang w:val="en-US" w:eastAsia="en-US" w:bidi="ar-SA"/>
          </w:rPr>
          <w:t>[2015] B.C.J. No. 2384</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3"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59"/>
          <w:headerReference w:type="default" r:id="rId860"/>
          <w:footerReference w:type="even" r:id="rId861"/>
          <w:footerReference w:type="default" r:id="rId862"/>
          <w:headerReference w:type="first" r:id="rId863"/>
          <w:footerReference w:type="first" r:id="rId86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65" w:history="1">
        <w:r>
          <w:rPr>
            <w:rFonts w:ascii="arial" w:eastAsia="arial" w:hAnsi="arial" w:cs="arial"/>
            <w:b/>
            <w:bCs/>
            <w:i/>
            <w:color w:val="0077CC"/>
            <w:kern w:val="32"/>
            <w:sz w:val="28"/>
            <w:szCs w:val="32"/>
            <w:u w:val="single"/>
            <w:shd w:val="clear" w:color="auto" w:fill="FFFFFF"/>
            <w:lang w:val="en-US" w:eastAsia="en-US" w:bidi="ar-SA"/>
          </w:rPr>
          <w:t>Beck Estate v. Johnston, Meier Insurance Agencies Ltd., [2010] B.C.J. No. 972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 Griffin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15-16,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21,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S086187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972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66" w:history="1">
        <w:r>
          <w:rPr>
            <w:rFonts w:ascii="arial" w:eastAsia="arial" w:hAnsi="arial" w:cs="arial"/>
            <w:i/>
            <w:color w:val="0077CC"/>
            <w:sz w:val="20"/>
            <w:u w:val="single"/>
            <w:shd w:val="clear" w:color="auto" w:fill="FFFFFF"/>
            <w:lang w:val="en-US" w:eastAsia="en-US" w:bidi="ar-SA"/>
          </w:rPr>
          <w:t>2010 BCSC 719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66" w:history="1">
        <w:r>
          <w:rPr>
            <w:rFonts w:ascii="arial" w:eastAsia="arial" w:hAnsi="arial" w:cs="arial"/>
            <w:i/>
            <w:color w:val="0077CC"/>
            <w:sz w:val="20"/>
            <w:u w:val="single"/>
            <w:shd w:val="clear" w:color="auto" w:fill="FFFFFF"/>
            <w:lang w:val="en-US" w:eastAsia="en-US" w:bidi="ar-SA"/>
          </w:rPr>
          <w:t>85 C.C.L.I. (4th) 228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66" w:history="1">
        <w:r>
          <w:rPr>
            <w:rFonts w:ascii="arial" w:eastAsia="arial" w:hAnsi="arial" w:cs="arial"/>
            <w:i/>
            <w:color w:val="0077CC"/>
            <w:sz w:val="20"/>
            <w:u w:val="single"/>
            <w:shd w:val="clear" w:color="auto" w:fill="FFFFFF"/>
            <w:lang w:val="en-US" w:eastAsia="en-US" w:bidi="ar-SA"/>
          </w:rPr>
          <w:t>2010 CarswellBC 1305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66" w:history="1">
        <w:r>
          <w:rPr>
            <w:rFonts w:ascii="arial" w:eastAsia="arial" w:hAnsi="arial" w:cs="arial"/>
            <w:i/>
            <w:color w:val="0077CC"/>
            <w:sz w:val="20"/>
            <w:u w:val="single"/>
            <w:shd w:val="clear" w:color="auto" w:fill="FFFFFF"/>
            <w:lang w:val="en-US" w:eastAsia="en-US" w:bidi="ar-SA"/>
          </w:rPr>
          <w:t>[2010] I.L.R. I-4994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66" w:history="1">
        <w:r>
          <w:rPr>
            <w:rFonts w:ascii="arial" w:eastAsia="arial" w:hAnsi="arial" w:cs="arial"/>
            <w:i/>
            <w:color w:val="0077CC"/>
            <w:sz w:val="20"/>
            <w:u w:val="single"/>
            <w:shd w:val="clear" w:color="auto" w:fill="FFFFFF"/>
            <w:lang w:val="en-US" w:eastAsia="en-US" w:bidi="ar-SA"/>
          </w:rPr>
          <w:t>75 C.C.L.T. (3d) 120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66" w:history="1">
        <w:r>
          <w:rPr>
            <w:rFonts w:ascii="arial" w:eastAsia="arial" w:hAnsi="arial" w:cs="arial"/>
            <w:i/>
            <w:color w:val="0077CC"/>
            <w:sz w:val="20"/>
            <w:u w:val="single"/>
            <w:shd w:val="clear" w:color="auto" w:fill="FFFFFF"/>
            <w:lang w:val="en-US" w:eastAsia="en-US" w:bidi="ar-SA"/>
          </w:rPr>
          <w:t>189 A.C.W.S. (3d) 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Estate of Karen Beck, by her Executor Richard Beck, Plaintiff, and Johnston, Meier Insurance Agencies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4"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6" w:name="Keywords_35"/>
      <w:bookmarkEnd w:id="256"/>
      <w:r>
        <w:rPr>
          <w:rFonts w:ascii="arial" w:eastAsia="arial" w:hAnsi="arial" w:cs="arial"/>
          <w:b/>
          <w:color w:val="000000"/>
          <w:sz w:val="20"/>
          <w:lang w:val="en-US" w:eastAsia="en-US" w:bidi="ar-SA"/>
        </w:rPr>
        <w:t xml:space="preserve">Insurance law — Brokers — Liability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obtaining adequate coverage — Claim by plaintiff estate of Karen Beck seeking summary judgment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on the part of the defendant insurance broker allowed — The plaintiff was awarded $160,765 plus interest — The defendant was aware she had separated from her husband and moved out of their home, and it failed to make to make proper inquiries to ascertain her home insurance needs — It was reasonably foreseeable that if the defendant failed to properly address her concerns about coverage there was a real risk she might suffer an uninsured loss as a result of inadequate coverage.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Causation — Evidence and proof — Claim by plaintiff estate of Karen Beck seeking summary judgment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on the part of the defendant insurance broker allowed — The plaintiff was awarded $160,765 plus interest — The defendant was aware she had separated from her husband and moved out of their home, and it failed to make to make proper inquiries to ascertain her home insurance needs — It was reasonably foreseeable that if the defendant failed to properly address her concerns about coverage there was a real risk she might suffer an uninsured loss as a result of inadequate coverage.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7" w:name="Case Summary_34"/>
            <w:bookmarkEnd w:id="25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Claim by plaintiff estate of Karen Beck seeking summary judgment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insurance broker, Johnston, Meier Insurance Agencies Ltd., represented by the insured value of her home less the settlement proceeds. On Nov. 15, 2007, Karen's estranged husband murdered her, set fire to their former matrimonial home and killed himself. Although the home was insured, both the Beck's were still named as insureds, and the insurance policy contained an exclusion of coverage for intentional acts of an insured. Thus, the estate was denied coverage. A claim by the estate against the insurer, Canadian Northern Shield (CNS), was eventually settled for approximately 50 per cent of the value of the home in exchange for a release. The plaintiff now argued the defendant broker ought to have identified to Karen that she might have a change in her insurance needs because she was the owner of a home that she was no longer living in due to her separation from her husband. The plaintiff argued that if the gap in coverage had been explained to her and alternative coverage pointed out, Karen would likely have changed her insurance coverage. The defendant argued several grounds, including that it did not breach any duty of care.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8" w:name="Holdings of Court_34"/>
            <w:bookmarkEnd w:id="258"/>
            <w:r>
              <w:rPr>
                <w:rFonts w:ascii="arial" w:eastAsia="arial" w:hAnsi="arial" w:cs="arial"/>
                <w:color w:val="000000"/>
                <w:sz w:val="20"/>
                <w:lang w:val="en-US" w:eastAsia="en-US" w:bidi="ar-SA"/>
              </w:rPr>
              <w:t>HELD: Plaintiff awarded $160,765 plus interest.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claim was suitable for summary determination. It was not disputed that the defendant owed Karen a duty of care. There were at least three occasions when she was in contact with the defendant about insurance, but its broker employees did not question her or provide advice about her home insurance needs. The defendant's files indicated that before the May 2007 telephone call, the defendant had received information that should have led its employees to believe Karen and her husband had separated and that Karen had moved out of the home. Based on the evidence, Karen was never advised of the intentional act exclusion in the policy or in any predecessor policy. Alternatively, it was never identified that the intentional act of one insured might exclude coverage for the other. The defendant's brokers failed to make proper inquiries to ascertain Karen's home insurance needs and thus the defendant failed to meet its professional duty of care to her. There was evidence that better coverage would have been available to her, namely, a rented-dwelling policy without an exclusion for the tenant's intentional actions. There was no evidence Karen was deliberately choosing less insurance for cost reasons. The evidence did not show she would not have purchased it because it cost $200-400 more. The evidence did not show Karen knew of Mr. Beck's intention to intentionally damage the property. Had she been advised of the intentional act exclusion in her existing policy and the availability of a rented-dwelling policy, it was likely she would have directed her mind to the risks and chosen to protect against them. There was evidence she desired to protect her financial actions from actions by Mr. Beck. The plaintiff had established causation on a balance of probabilities. The harm or damage was not remote. It was reasonably foreseeable that if the defendant failed to properly address Karen's concerns about insurance coverage there was a real risk she might suffer an uninsured loss as a result of inadequate coverage. Given the agreed replacement cost of structures on the property of $345,765, and that the estate had recovered $185,000, it was entitled to the difference, namely $160,765. As for the release obtained in the parties' prior settlement, the present claim was not a claim against the insurer based on the policy, but an action in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an insurance broker. It was not captured in the general language of the release. The defendant provided no evidence that in its capacity as an independent broker, owing a duty of care to the customer, it was acting as an agent for CNS. In its capacity as an insurance broker, giving advice to a person seeking insurance, the defendant was acting independently, and not as a CNS agent. The release did not apply to this claim.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9" w:name="Counsel_36"/>
      <w:bookmarkEnd w:id="25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5"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Scott Stanley.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Scott Brearley.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0" w:name="Judgment_36"/>
      <w:bookmarkEnd w:id="260"/>
      <w:r>
        <w:pict>
          <v:line id="_x0000_s1206" style="position:absolute;z-index:2517985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1" w:name="S.A. GRIFFIN J."/>
            <w:bookmarkEnd w:id="261"/>
            <w:r>
              <w:rPr>
                <w:rFonts w:ascii="arial" w:eastAsia="arial" w:hAnsi="arial" w:cs="arial"/>
                <w:b/>
                <w:color w:val="000000"/>
                <w:sz w:val="30"/>
                <w:lang w:val="en-US" w:eastAsia="en-US" w:bidi="ar-SA"/>
              </w:rPr>
              <w:t>S.A. GRIFFIN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claim arises out of a family tragedy. On November 15, 2007, Richard Beck murdered his estranged wife Karen Beck. He then set fire to the house she owned, which had been their family home and where he had been residing since she moved out in 2005. Following these violent and destructive actions, Mr. Beck killed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home was insured, with both Mrs. Beck and Mr. Beck named as insureds. The insurance policy contained an exclusion of coverage for intentional acts of an insured. Because Mr. Beck was an insured, the intentional act exclusion meant that the plaintiff, the estate of Karen Beck, was denied insurance coverage by the insurer, Canadian Northern Shield ("CNS"). A claim against CNS by the plaintiff was eventually settled for approximately 50% of the value of the home, in return for which the plaintiff executed a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through her son and executor, Richard Beck, brings this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Mrs. Beck's insurance broker, the defendant, Johnston, Meier Insurance Agencies Ltd., seeking damages for the loss in insurance coverage represented by the insured value of the home less the settlement proceeds.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Suitability For Summary Trial and Evidentiary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Both parties agreed that this action was suitable for summary trial by Rule 18A and so the trial has proceeded based on affidavit evidence. Several of the witnesses were cross-examined on their affidavits before the hearing of this summary trial application. Having reviewed the evidence, I agree that it is suitable for determination on a summary trial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That is not to say, however, that there are not some evidentiary issues. The key evidentiary issue concerns evidence of statements made by the deceased, Mrs. Beck. Statements that Mrs. Beck made to her mother are in evidence through the sworn affidavit evidence of her mother. Also in evidence are affidavits sworn by Mrs. Beck herself, in the family law proceeding between her and her husband, obviously before the tragic events of her death and the fire. The defendant takes the position that evidence of past statements made by Mrs. Beck is hearsay and can only be admitted as proof of Mrs. Beck's state of mind at the time, but not as proof of the truth of the contents of the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says that for the most part it only relies on past statements made by Mrs. Beck as evidence of her state of mind. There are a few statements made that the plaintiff relies on for truth of their contents, but the plaintiff says that this is only with respect to non-controversial facts and that the hearsay evidence meets the twin tests of necessity and reliability and so should be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As this evidentiary issue cannot be resolved by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at trial, it does not make the summary trial procedure inappropriate.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Terminology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evidence in this case touched on three different types of insurance policies. The distinction between the various policies was explained by the defendant's expert, Mr. Graham Haigh, as follows:</w:t>
      </w:r>
      <w:r>
        <w:rPr>
          <w:rFonts w:ascii="arial" w:eastAsia="arial" w:hAnsi="arial" w:cs="arial"/>
          <w:sz w:val="20"/>
          <w:lang w:val="en-US" w:eastAsia="en-US" w:bidi="ar-SA"/>
        </w:rPr>
        <w:cr/>
      </w: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homeowner's policy is used for owner occupied primary dwellings. Coverage is available for the building, detached private structures, contents, and liability;</w:t>
      </w: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rented dwelling policy is used for properties rented to another by the owner of a private residence. This was also referred to in the evidence as a landlord policy. Coverage is available to the owner for the building, detached private structures, the landlord's property, and premises liability.</w:t>
      </w: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tenant's policy is offered to renters of private residences. Coverage is available for the contents and liability of someone renting a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type of insurance policy held by Mrs. Beck over the property in question was a homeowner's policy. The home was owned by Mrs. Beck. She moved out of the home in 2005, and Mr. Beck continued to live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mentioned, both Mr. and Mrs. Beck were named insureds under the homeowner's policy. The homeowner's policy contained an exclusion at clause 21(17) for intentional acts by named insureds, providing that it did not cover loss or damage: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resulting from any intentional or criminal act, or failure to act, by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anyone covered by this policy, or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anyone following the directions of anyone covered by this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theory of the plaintiff's claim is that the defendant should have identified to Mrs. Beck that she might have a change in her insurance needs because she was the owner of a home that she was no longer living in due to her separation from her husband. The defendant should then have explained to Mrs. Beck that the intentional act exclusion in her homeowner's policy would exclude coverage for her if it was due to an intentional act by Mr. Beck.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says that if the gap in coverage had been explained to Mrs. Beck, and alternative coverage pointed out, she likely would have changed her insurance coverage. Mrs. Beck would have obtained a rented dwelling policy without any exclusion for the actions of tenants, and she would have therefore been protected if Mr. Beck did intentional damage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says that it did not breach any duty of care. Further, the defendant asserts that even if it had canvassed Mrs. Beck's insurance needs when it learned she had moved out of the home, Mrs. Beck would not have obtained insurance that would have covered her husband's intentional actions and so the plaintiff's case fails to prove causation. The defendant also asserts that the loss caused by the husband's intentional actions was not reasonably foreseeable, and so the plaintiff's case fails for this reason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addition, the defendant says that the plaintiff released all claims against it when the plaintiff signed a release upon settling its claims against the insurer of Mrs. Beck's homeowner's policy, CNS. The defendant says that the release of claims was against CNS and "its agents" and since the defendant is an insurance agent with respect to the CNS policy, the release is a complete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will approach the issues in this case on the basis of whether the plaintiff has proven the following issues: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insurance broker breached a duty of care owed to Mrs. Beck;</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breach of a duty of care caused the plaintiff harm;</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harm was reasonably foreseeable;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were damages suffered as a consequence.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Lastly, I will deal with the question of whether the defendant has proven:</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release is a defence to the claims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Breach of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It is not disputed that the defendant owed Mrs. Beck a duty of care. There is also no dispute that the defendant is responsible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if any, of its employed insurance brokers who dealt with Mrs. Beck.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parties disagree as to whether the facts indicate that there was a breach of the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nature of an insurance broker's duty of care is to provide advice to a customer about available insurance coverage to meet the customer's needs, including advice about gaps in coverage, and how to protect against those gaps. This duty of care was described by the Ontario Court of Appeal in </w:t>
      </w:r>
      <w:r>
        <w:rPr>
          <w:rFonts w:ascii="arial" w:eastAsia="arial" w:hAnsi="arial" w:cs="arial"/>
          <w:i/>
          <w:color w:val="000000"/>
          <w:sz w:val="20"/>
          <w:lang w:val="en-US" w:eastAsia="en-US" w:bidi="ar-SA"/>
        </w:rPr>
        <w:t>Fine's Flowers Ltd. v. General Accident Assurance Co.</w:t>
      </w:r>
      <w:r>
        <w:rPr>
          <w:rFonts w:ascii="arial" w:eastAsia="arial" w:hAnsi="arial" w:cs="arial"/>
          <w:color w:val="000000"/>
          <w:sz w:val="20"/>
          <w:lang w:val="en-US" w:eastAsia="en-US" w:bidi="ar-SA"/>
        </w:rPr>
        <w:t xml:space="preserve"> </w:t>
      </w:r>
      <w:hyperlink r:id="rId867" w:history="1">
        <w:r>
          <w:rPr>
            <w:rFonts w:ascii="arial" w:eastAsia="arial" w:hAnsi="arial" w:cs="arial"/>
            <w:i/>
            <w:color w:val="0077CC"/>
            <w:sz w:val="20"/>
            <w:u w:val="single"/>
            <w:shd w:val="clear" w:color="auto" w:fill="FFFFFF"/>
            <w:lang w:val="en-US" w:eastAsia="en-US" w:bidi="ar-SA"/>
          </w:rPr>
          <w:t>(1977), 17 O.R. (2d) 529</w:t>
        </w:r>
      </w:hyperlink>
      <w:r>
        <w:rPr>
          <w:rFonts w:ascii="arial" w:eastAsia="arial" w:hAnsi="arial" w:cs="arial"/>
          <w:color w:val="000000"/>
          <w:sz w:val="20"/>
          <w:lang w:val="en-US" w:eastAsia="en-US" w:bidi="ar-SA"/>
        </w:rPr>
        <w:t xml:space="preserve"> (C.A.), a decision cited with approval by the Supreme Court of Canada in </w:t>
      </w:r>
      <w:r>
        <w:rPr>
          <w:rFonts w:ascii="arial" w:eastAsia="arial" w:hAnsi="arial" w:cs="arial"/>
          <w:i/>
          <w:color w:val="000000"/>
          <w:sz w:val="20"/>
          <w:lang w:val="en-US" w:eastAsia="en-US" w:bidi="ar-SA"/>
        </w:rPr>
        <w:t>Fletcher v. MPIC</w:t>
      </w:r>
      <w:r>
        <w:rPr>
          <w:rFonts w:ascii="arial" w:eastAsia="arial" w:hAnsi="arial" w:cs="arial"/>
          <w:color w:val="000000"/>
          <w:sz w:val="20"/>
          <w:lang w:val="en-US" w:eastAsia="en-US" w:bidi="ar-SA"/>
        </w:rPr>
        <w:t xml:space="preserve">, </w:t>
      </w:r>
      <w:hyperlink r:id="rId868" w:history="1">
        <w:r>
          <w:rPr>
            <w:rFonts w:ascii="arial" w:eastAsia="arial" w:hAnsi="arial" w:cs="arial"/>
            <w:i/>
            <w:color w:val="0077CC"/>
            <w:sz w:val="20"/>
            <w:u w:val="single"/>
            <w:shd w:val="clear" w:color="auto" w:fill="FFFFFF"/>
            <w:lang w:val="en-US" w:eastAsia="en-US" w:bidi="ar-SA"/>
          </w:rPr>
          <w:t>[1990] 3 S.C.R. 191</w:t>
        </w:r>
      </w:hyperlink>
      <w:r>
        <w:rPr>
          <w:rFonts w:ascii="arial" w:eastAsia="arial" w:hAnsi="arial" w:cs="arial"/>
          <w:color w:val="000000"/>
          <w:sz w:val="20"/>
          <w:lang w:val="en-US" w:eastAsia="en-US" w:bidi="ar-SA"/>
        </w:rPr>
        <w:t xml:space="preserve"> at 216. As described by Wilson, J. of the Supreme Court of Canada in </w:t>
      </w:r>
      <w:r>
        <w:rPr>
          <w:rFonts w:ascii="arial" w:eastAsia="arial" w:hAnsi="arial" w:cs="arial"/>
          <w:i/>
          <w:color w:val="000000"/>
          <w:sz w:val="20"/>
          <w:lang w:val="en-US" w:eastAsia="en-US" w:bidi="ar-SA"/>
        </w:rPr>
        <w:t>Fletcher</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w:t>
      </w:r>
      <w:r>
        <w:rPr>
          <w:rFonts w:ascii="arial" w:eastAsia="arial" w:hAnsi="arial" w:cs="arial"/>
          <w:i/>
          <w:color w:val="000000"/>
          <w:sz w:val="20"/>
          <w:lang w:val="en-US" w:eastAsia="en-US" w:bidi="ar-SA"/>
        </w:rPr>
        <w:t>Fine's Flowers</w:t>
      </w:r>
      <w:r>
        <w:rPr>
          <w:rFonts w:ascii="arial" w:eastAsia="arial" w:hAnsi="arial" w:cs="arial"/>
          <w:color w:val="000000"/>
          <w:sz w:val="20"/>
          <w:lang w:val="en-US" w:eastAsia="en-US" w:bidi="ar-SA"/>
        </w:rPr>
        <w:t xml:space="preserve"> stands for the proposition that private insurance agents owe a duty to their customers </w:t>
      </w:r>
      <w:r>
        <w:rPr>
          <w:rFonts w:ascii="arial" w:eastAsia="arial" w:hAnsi="arial" w:cs="arial"/>
          <w:color w:val="000000"/>
          <w:sz w:val="20"/>
          <w:u w:val="single"/>
          <w:lang w:val="en-US" w:eastAsia="en-US" w:bidi="ar-SA"/>
        </w:rPr>
        <w:t>to provide not only information about available coverage, but also advice about which forms of coverage they require in order to meet their needs</w:t>
      </w:r>
      <w:r>
        <w:rPr>
          <w:rFonts w:ascii="arial" w:eastAsia="arial" w:hAnsi="arial" w:cs="arial"/>
          <w:color w:val="000000"/>
          <w:sz w:val="20"/>
          <w:lang w:val="en-US" w:eastAsia="en-US" w:bidi="ar-SA"/>
        </w:rPr>
        <w:t xml:space="preserve">. I note that Professor Snow has summarized the effect of </w:t>
      </w:r>
      <w:r>
        <w:rPr>
          <w:rFonts w:ascii="arial" w:eastAsia="arial" w:hAnsi="arial" w:cs="arial"/>
          <w:i/>
          <w:color w:val="000000"/>
          <w:sz w:val="20"/>
          <w:lang w:val="en-US" w:eastAsia="en-US" w:bidi="ar-SA"/>
        </w:rPr>
        <w:t>Fine's Flowers</w:t>
      </w:r>
      <w:r>
        <w:rPr>
          <w:rFonts w:ascii="arial" w:eastAsia="arial" w:hAnsi="arial" w:cs="arial"/>
          <w:color w:val="000000"/>
          <w:sz w:val="20"/>
          <w:lang w:val="en-US" w:eastAsia="en-US" w:bidi="ar-SA"/>
        </w:rPr>
        <w:t xml:space="preserve"> in "Liability of Insurance Agents for Failure to Obtain Effective Coverage: </w:t>
      </w:r>
      <w:r>
        <w:rPr>
          <w:rFonts w:ascii="arial" w:eastAsia="arial" w:hAnsi="arial" w:cs="arial"/>
          <w:i/>
          <w:color w:val="000000"/>
          <w:sz w:val="20"/>
          <w:lang w:val="en-US" w:eastAsia="en-US" w:bidi="ar-SA"/>
        </w:rPr>
        <w:t>Fine's Flowers Ltd. v. General Accident Assurance Co.</w:t>
      </w:r>
      <w:r>
        <w:rPr>
          <w:rFonts w:ascii="arial" w:eastAsia="arial" w:hAnsi="arial" w:cs="arial"/>
          <w:color w:val="000000"/>
          <w:sz w:val="20"/>
          <w:lang w:val="en-US" w:eastAsia="en-US" w:bidi="ar-SA"/>
        </w:rPr>
        <w:t>" (1979), 9 Man. L.J. 165, in the following terms, at p. 169: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implication of this case and many others like it in recent years seems clear. Consumers who place their faith in insurance agents holding themselves out as competent and find their faith misplaced, will frequently be able to find recourse against the agent. ... </w:t>
      </w:r>
      <w:r>
        <w:rPr>
          <w:rFonts w:ascii="arial" w:eastAsia="arial" w:hAnsi="arial" w:cs="arial"/>
          <w:color w:val="000000"/>
          <w:sz w:val="20"/>
          <w:u w:val="single"/>
          <w:lang w:val="en-US" w:eastAsia="en-US" w:bidi="ar-SA"/>
        </w:rPr>
        <w:t>[T]he extent of the duty owed by an insurance agent, both in placing insurance and in indicating to the insured which risks are covered and which are not, as set out in this case, is a fairly stringent one for the agent.</w:t>
      </w:r>
      <w:r>
        <w:rPr>
          <w:rFonts w:ascii="arial" w:eastAsia="arial" w:hAnsi="arial" w:cs="arial"/>
          <w:color w:val="000000"/>
          <w:sz w:val="20"/>
          <w:lang w:val="en-US" w:eastAsia="en-US" w:bidi="ar-SA"/>
        </w:rPr>
        <w:t xml:space="preserve"> Moreover, given the general situation of the principal relying very heavily on the expertise of the agent, it does not seem to be an unreasonable burden for an insurance agent to bear.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duty of care owed by an insurance agent was further elaborated in </w:t>
      </w:r>
      <w:r>
        <w:rPr>
          <w:rFonts w:ascii="arial" w:eastAsia="arial" w:hAnsi="arial" w:cs="arial"/>
          <w:i/>
          <w:color w:val="000000"/>
          <w:sz w:val="20"/>
          <w:lang w:val="en-US" w:eastAsia="en-US" w:bidi="ar-SA"/>
        </w:rPr>
        <w:t>G.K.N. Keller Canada Ltd. v. Hartford Fire Insurance Co.</w:t>
      </w:r>
      <w:r>
        <w:rPr>
          <w:rFonts w:ascii="arial" w:eastAsia="arial" w:hAnsi="arial" w:cs="arial"/>
          <w:color w:val="000000"/>
          <w:sz w:val="20"/>
          <w:lang w:val="en-US" w:eastAsia="en-US" w:bidi="ar-SA"/>
        </w:rPr>
        <w:t xml:space="preserve"> </w:t>
      </w:r>
      <w:hyperlink r:id="rId869" w:history="1">
        <w:r>
          <w:rPr>
            <w:rFonts w:ascii="arial" w:eastAsia="arial" w:hAnsi="arial" w:cs="arial"/>
            <w:i/>
            <w:color w:val="0077CC"/>
            <w:sz w:val="20"/>
            <w:u w:val="single"/>
            <w:shd w:val="clear" w:color="auto" w:fill="FFFFFF"/>
            <w:lang w:val="en-US" w:eastAsia="en-US" w:bidi="ar-SA"/>
          </w:rPr>
          <w:t>(1983), 1 C.C.L.I. 34</w:t>
        </w:r>
      </w:hyperlink>
      <w:r>
        <w:rPr>
          <w:rFonts w:ascii="arial" w:eastAsia="arial" w:hAnsi="arial" w:cs="arial"/>
          <w:color w:val="000000"/>
          <w:sz w:val="20"/>
          <w:lang w:val="en-US" w:eastAsia="en-US" w:bidi="ar-SA"/>
        </w:rPr>
        <w:t xml:space="preserve"> (Ont. H.C.) (conf. on appeal (1984), </w:t>
      </w:r>
      <w:hyperlink r:id="rId870" w:history="1">
        <w:r>
          <w:rPr>
            <w:rFonts w:ascii="arial" w:eastAsia="arial" w:hAnsi="arial" w:cs="arial"/>
            <w:i/>
            <w:color w:val="0077CC"/>
            <w:sz w:val="20"/>
            <w:u w:val="single"/>
            <w:shd w:val="clear" w:color="auto" w:fill="FFFFFF"/>
            <w:lang w:val="en-US" w:eastAsia="en-US" w:bidi="ar-SA"/>
          </w:rPr>
          <w:t>[1984] O.J. No. 53</w:t>
        </w:r>
      </w:hyperlink>
      <w:r>
        <w:rPr>
          <w:rFonts w:ascii="arial" w:eastAsia="arial" w:hAnsi="arial" w:cs="arial"/>
          <w:color w:val="000000"/>
          <w:sz w:val="20"/>
          <w:lang w:val="en-US" w:eastAsia="en-US" w:bidi="ar-SA"/>
        </w:rPr>
        <w:t xml:space="preserve">, </w:t>
      </w:r>
      <w:hyperlink r:id="rId870" w:history="1">
        <w:r>
          <w:rPr>
            <w:rFonts w:ascii="arial" w:eastAsia="arial" w:hAnsi="arial" w:cs="arial"/>
            <w:i/>
            <w:color w:val="0077CC"/>
            <w:sz w:val="20"/>
            <w:u w:val="single"/>
            <w:shd w:val="clear" w:color="auto" w:fill="FFFFFF"/>
            <w:lang w:val="en-US" w:eastAsia="en-US" w:bidi="ar-SA"/>
          </w:rPr>
          <w:t>4 C.C.L.I. xxxvii</w:t>
        </w:r>
      </w:hyperlink>
      <w:r>
        <w:rPr>
          <w:rFonts w:ascii="arial" w:eastAsia="arial" w:hAnsi="arial" w:cs="arial"/>
          <w:color w:val="000000"/>
          <w:sz w:val="20"/>
          <w:lang w:val="en-US" w:eastAsia="en-US" w:bidi="ar-SA"/>
        </w:rPr>
        <w:t xml:space="preserve"> (Ont. C.A.)). It was held in that case that where the customer adequately describes the nature of his or her business to the agent, the onus is then on the agent to review the insurance needs of the customer and provide the full coverage requested. </w:t>
      </w:r>
      <w:r>
        <w:rPr>
          <w:rFonts w:ascii="arial" w:eastAsia="arial" w:hAnsi="arial" w:cs="arial"/>
          <w:color w:val="000000"/>
          <w:sz w:val="20"/>
          <w:u w:val="single"/>
          <w:lang w:val="en-US" w:eastAsia="en-US" w:bidi="ar-SA"/>
        </w:rPr>
        <w:t>Should an uninsured loss occur, the agent will be liable unless he or she has pointed out the gaps in coverage to the customer and advised him or her how to protect against those gaps.</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facts relevant to the duty of care issue are that after Mrs. Beck moved out of her home in 2005, the defendant continued to annually renew her home insurance policy on the same terms as it was before she moved out, naming both her and Mr. Beck as insureds, and with the standard exclusion of coverage for intentional acts of an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There were at least three occasions when Mrs. Beck was in contact with the defendant about insurance, but its broker employees did not question her or provide advice to her about her home insurance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September 1, 2006, Mrs. Beck went to the defendant's Chilliwack office and purchased a tenant's insurance policy for her new residential address, an apartment she was renting. Despite this being a clear indication that Mrs. Beck was living somewhere other than the home for which she had home insurance, the broker asked her no questions about her insurance needs for her own home, and gave her no advice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Later, on January 3, 2007, Mrs. Beck went to the defendant's Maple Ridge office and cancelled the tenant's insurance policy. She did this because she had decided to move in with her parents and so was no longer going to be renting. This further opportunity to discuss Mrs. Beck's home insurance needs was overlooked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home insurance policy expired on July 31 each year if not otherwise renewed.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defendant's employee, insurance broker Sheralea Moon, placed a call to Mrs. Beck in May 2007 about the renewal of her home insurance but did not reach her, so she simply renewed the same policy for an additional year. A similar message and renewal of the home insurance by the defendant had occurred the previous year, without a broker speaking to Mrs. Beck.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defendant's files indicate that before placing any telephone call in May 2007, the defendant had received information that should have led its employees to believe that Mrs. Beck and her husband had separated and that Mrs. Beck had moved out of the home. While Ms. Moon says that she left a message for Mrs. Beck to return her call, there was otherwise no content to the message. There is only one note in her file indicating only one attempt to call Mrs. Beck. Ms. Moon then renewed the homeowner's policy immediately after not reaching Mrs. Beck.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Shortly afterward, Mrs. Beck received the defendant's invoice at her parents' home, where she was residing, and paid it. There was no letter accompanying the invoice explaining to Mrs. Beck that she should follow up with the defendant because there might be some concerns about coverage given that her living situation had changed. This was a yet another missed opportunity for the defendant to give Mrs. Beck advice about her home insurance needs, given her changed living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third occasion Mrs. Beck was in contact with the defendant was in the summer of 2007. Mrs. Beck's mother filed affidavit evidence that Mrs. Beck moved in with her and Mrs. Beck's father in early 2007 and lived there until the date she was murdered. Her mother recounts an occasion in the summer of 2007 when Mrs. Beck appeared upset and angry. When questioned about it, she explained that she had been to the defendant's office to pay her insurance bill and found out that her husband was still on the insurance papers, so she was upset that she was the one paying the insurance bill.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hearsay evidence as to what Mrs. Beck said to her mother in the summer of 2007 is admissible as going to the truth of its contents: that in the summer of 2007 Mrs. Beck attended at the defendant's office to pay the insurance bill and that this was another occasion when the defendant failed to advise her about the implications of having Mr. Beck as a named insured or about other insurance options available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This hearsay evidence is admissible for the truth of its contents because it meets the twin requirements of necessity and threshold reliability: see </w:t>
      </w:r>
      <w:r>
        <w:rPr>
          <w:rFonts w:ascii="arial" w:eastAsia="arial" w:hAnsi="arial" w:cs="arial"/>
          <w:i/>
          <w:color w:val="000000"/>
          <w:sz w:val="20"/>
          <w:lang w:val="en-US" w:eastAsia="en-US" w:bidi="ar-SA"/>
        </w:rPr>
        <w:t>R. v. Khelawon</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2006 SCC 57</w:t>
        </w:r>
      </w:hyperlink>
      <w:r>
        <w:rPr>
          <w:rFonts w:ascii="arial" w:eastAsia="arial" w:hAnsi="arial" w:cs="arial"/>
          <w:color w:val="000000"/>
          <w:sz w:val="20"/>
          <w:lang w:val="en-US" w:eastAsia="en-US" w:bidi="ar-SA"/>
        </w:rPr>
        <w:t xml:space="preserve"> at para. 2. It is necessary to introduce the evidence through Mrs. Beck's mother because Mrs. Beck is dead. It has threshold reliability because the fact of the statement having been made could be tested by cross-examination of Mrs. Beck's mother, and the statement was made at a time when Mrs. Beck had no reason to anticipate the tragic events and consequent insurance dispute that would ultimately arise, therefore, the statement was not made in a self-serving way. Indeed, there is evidence from the defendant that Mrs. Beck did come to their office to pay the invoice for the renewal of the homeowner's policy in the summer of 2007 (see Beverly Schmuck's examination for discovery, Q. 749-751). It therefore is not a controversial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Pat Anderson, a licensed insurance broker, provided expert opinion evidence on behalf of the plaintiff in this matter. He has worked as a licensed insurance broker for forty years, and has been the owner and operator of an insurance brokerage firm for approximately that length of time. He is also a past director of the Insurance Brokers' Association of British Columbia, and has taught courses sponsored by that organization.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Anderson gave a written opinion dated September 10, 2009, attached to his sworn affidavit. In his written opinion,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standard practice for a Broker to attempt to call each client prior to renewing a policy and to ask basic questions in order to ascertain whether or not the expiring policy is still appropriate for the client's needs. This is not an in depth coverage analysis, but rather a basic review of the client's situation. It is standard practice, among others, to ask questions to determine whether or not the person is still living in the property and whether or not it has been rented out. If it is discovered that the person is no longer living in the property and is renting it out, then it would be standard practice for a Broker to advise the client about changes in coverage and potential issues. </w:t>
      </w:r>
      <w:r>
        <w:rPr>
          <w:rFonts w:ascii="arial" w:eastAsia="arial" w:hAnsi="arial" w:cs="arial"/>
          <w:color w:val="000000"/>
          <w:sz w:val="20"/>
          <w:u w:val="single"/>
          <w:lang w:val="en-US" w:eastAsia="en-US" w:bidi="ar-SA"/>
        </w:rPr>
        <w:t>The option of switching to a broad form policy that covers rental homes and provides for additional coverage for risks such as floods and loss of rent (i.e. a landlord policy) should be pointed out to the client.</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was Mr. Anderson's opinion that it would be standard practice for a broker to make enquiries of the client if the broker knew that the client was no longer living at the property and that she was estranged from her husband. Mr. Anderson stated that it would have been standard practice for the broker to remind the client that any loss caused by the intentional acts of her husband would mean that she would not have coverage for the property because they were both insureds on the same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Anderson went on to provide the opinion that once the broker had raised these issues with Mrs. Beck, it would have been standard practice for the broker to raise with her the option of switching to a broad form policy covering rental homes and providing additional coverage for risks such as floods and loss. It was his opinion that such a policy would be in her own name and it would be up to Mr. Beck to arrange for his own tenant's policy. Had this been done, according to Mr. Anderson it would have been very easy for the broker to make arrangements with Mr. Beck to be provided with his own tenant's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Beverly Schmuck, an experienced underwriting broker working with the defendant, gave affidavit evidence on behalf of the defendant and was examined for discovery. She has worked with the defendant since 1986, other than a brief period in the mid-1990s. She confirmed that the defendant sold thirteen home insurance policies to the Becks from 1995 through 2007, with respect to the subject property. Some of the carriers for the policies changed over the years, but since July 31, 2002 through to the loss in 2007, some five years, the policy was placed with CNS.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Schmuck said in her affidavit that it was her practice when she sold a policy of insurance to review the exclusions in a home insurance policy with the clients. She said that she "believed" she advised Mrs. Beck that her homeowner's insurance did not cover loss caused by the intentional and criminal acts of an insured. She did not say when she might have had this discussion and it appears that she was relying on her general practice rather than a specific recollection. She said it is her personal practice to give the client the wording at the time of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When cross-examined on this evidence on her examination for discovery, Ms. Schmuck agreed that she did not sell the original homeowner's policy to the Becks; that she does not know if the person who did (who is still an employee of the defendant) discussed the intentional act exclusion with them; that she cannot recall discussing this exclusion with Mrs. Beck herself and is simply relying on her general practice; that her general practice is to inform the client of the wording only when initially providing coverage for a home; and that she does not provide that advice on subsequent renewals. Ms. Schmuck agreed that the "best case scenario" for when the defendant might have drawn the intentional act exclusion to Mrs. Beck's attention would have been in 2001, when the Becks obtained a homeowner's policy through the defendant with an insurer other than CNS. The CNS policy was not sold to the Becks until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her examination for discovery, Ms. Schmuck agreed that she would not tell people that an intentional act by one insured could invalidate the coverage of an innocent insured. She also agreed that from the defendant's records, it is fair to conclude that none of the defendant's brokers had a conversation with Mrs. Beck about the policy on her home prior to renewing the policy in July 2007 (the policy that was in effect at the time the house was set on fire by Mr. Beck).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Schmuck agreed on her examination for discovery that she was not aware of any of the defendant's brokers speaking to Mrs. Beck and informing her that she was effectively co-insured with Mr. Beck on the property and that if he did something on the property, she was not going to be 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Schmuck admitted on her examination for discovery that at the time the separate tenant's package policy was set up with Mrs. Beck (in September 2006), her living circumstances would have been apparent to the broker, and the broker should have had a conversation to determine who was living where and what type of policy should be written. She admitted that when Mrs. Beck cancelled the tenant's package in January 2007, this was another opportunity for the defendant to discuss her insurance coverage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Having reviewed the evidence of Ms. Schmuck, Ms. Moon, and Mrs. Beck's mother, I am not persuaded that Mrs. Beck was ever advised of the intentional act exclusion in the CNS policy, or in any predecessor policy with another insurer. Further, even if she was advised of the existence of this exclusion years earlier when she and her husband first purchased homeowner's insurance from the defendant, in 2001, I am not persuaded that it would be sufficient to meet the defendant's duty of care in 2006, as it was too far in the past, it was not sufficiently connected to the change in living circumstances that occurred when Mrs. Beck moved out of the home, and it was never identified that the intentional act of one insured might exclude coverage for the innocent co-insured.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 did not meet its duty of care by leaving a single telephone message with Mrs. Beck in each of 2006 and 2007, asking her to call the defendant. Given that Mrs. Beck attended at the defendant's offices twice in relation to her tenant's policy, and she was not advised of any issues or choices in respect of her homeowner's policy, I conclude that she would not have expected that the messages were anything beyond a simple reminder that her coverage would be renewed and that she would be sent an invoice. Indeed, this appears to have been all that was intended by the messages, as no one thought to give Mrs. Beck advice on her home insurance needs when she appeared at the defendant's office to pay the invoice for the renewal of the CNS homeowner's policy in the summer of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find that, as of September 1, 2006, the defendant had clear notice that Mrs. Beck was not living at home; and that having notice of this, the defendant ought to have ascertained Mrs. Beck's home insurance needs when Mrs. Beck met with the defendant's brokers on September 1, 2006 and January 3, 2007. The fact that Mrs. Beck was no longer living at the home meant that there could be a change in her insurance needs, including a potential gap in coverage that needed to be filled. The defendant's brokers failed to make proper inquiries to ascertain Mrs. Beck's home insurance needs on these occasions, and so the defendant failed to meet its professional duty of care to her. This breach of the defendant's duty of care continued when Mrs. Beck attended at its office to pay the homeowner's policy invoice in the summer of 2007, and the defendant's employees did nothing to advise her of the gap in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primary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is the "but for" test. It requires the plaintiff to show, on a balance of probabilities, that but for the negligent act(s) of the defendant, the plaintiff's damages would not have occurred: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Having concluded that the defendant breached its duty of care to Mrs. Beck to provide her with proper advice, I must determine what would have happened had she received proper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 argues that even if the defendant's brokers had met their duty of care and enquired of Mrs. Beck's insurance needs once they learned that she had moved out of the family home, this would not have resulted in any change in insurance coverage. Thus, the defendant's position is that any failure on their part did not cause Mrs. Beck's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There are two factual premises to the defendant's position on causation:</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Mrs. Beck knew that her husband intended to harm her or the property, and therefore no insurer would take on that risk if inquiries had been made;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existing coverage as homeowners and family members was less expensive than alternate coverage as landlord and tenant, so Mrs. Beck would have chosen the less expensive coverage and kept her insurance as it was, even if she had received proper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defendant's expert, Mr. Haigh, is an Accredited Insurance Broker and Chartered Insurance Professional with fifteen years underwriting experience. He is past President of the Insurance Institute of British Columbia. The defendant asked Mr. Haigh for his expert opinion in answer to the following question: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Would a reasonably prudent insurer have issued a policy of insurance to Karen Beck for the Property in July 2007 had it known that the sole occupant of the Property intended harm to the Property or to the person of Karen Beck?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Haigh's answer was "no", a prudent insurer would not have issued a policy for the property had it known that the occupant intended to cause harm to Mrs. Beck or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Haigh was also asked by the defendant to provide an opinion in answer to the question: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available coverages and the cost of insurance, were there advantages to Mr. and Mrs. Beck by insuring the Property with a homeowners policy as opposed to a rental policy in the name of Karen Beck and a tenant's package in the name of Richard Beck?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Haigh answered this question by offering the opinion that a reasonably prudent underwriter would place the same type of policy, a homeowner's comprehensive form, with the estranged spouse as an additional insured for contents and liability. He said this combination provided the best price and with the broadest insurance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A key problem with Mr. Haigh's opinions are that they are based on the factual assumption that at the time Mrs. Beck's policy was renewed for the year commencing July 31, 2007, Mrs. Beck </w:t>
      </w:r>
      <w:r>
        <w:rPr>
          <w:rFonts w:ascii="arial" w:eastAsia="arial" w:hAnsi="arial" w:cs="arial"/>
          <w:color w:val="000000"/>
          <w:sz w:val="20"/>
          <w:u w:val="single"/>
          <w:lang w:val="en-US" w:eastAsia="en-US" w:bidi="ar-SA"/>
        </w:rPr>
        <w:t>knew</w:t>
      </w:r>
      <w:r>
        <w:rPr>
          <w:rFonts w:ascii="arial" w:eastAsia="arial" w:hAnsi="arial" w:cs="arial"/>
          <w:color w:val="000000"/>
          <w:sz w:val="20"/>
          <w:lang w:val="en-US" w:eastAsia="en-US" w:bidi="ar-SA"/>
        </w:rPr>
        <w:t xml:space="preserve"> that Mr. Beck had harmful intentions toward her person and toward the property. This factual assumption is not established on the evidence and goes too far.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There is evidence that Mrs. Beck was considering applying for a court order for sole occupancy or sale of the home. Her affidavit in support of that application did not suggest that she had any knowledge or belief that Mr. Beck intended to harm the home. Since that evidence would have assisted her in any court application, I infer that she did not have such knowledge or any evidence to support a belief.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Therefore, I find that there is no evidence to suggest that Mrs. Beck knew that Mr. Beck would destroy the home or intentionally damage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other problem with Mr. Haigh's opinion is that if he is right, then on appropriate inquiries by a prudent broker, Mrs. Beck would have revealed to her broker that she knew that Mr. Beck intended to harm the property, and would have then been advised by a prudent broker that she could not get any insurance coverage for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However, this would not be the end of the potential remedies for Mrs. Beck: she would then have the motivation and opportunity to apply for a court order for exclusive possession of the home, or may have been able to take other steps to protect her property against potential harm by Mr. Beck. In other words, the scenario painted by Mr. Haigh's opinion does not end with Mrs. Beck having an exposure to risk that she cannot protect against.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Fine's Flowers</w:t>
      </w:r>
      <w:r>
        <w:rPr>
          <w:rFonts w:ascii="arial" w:eastAsia="arial" w:hAnsi="arial" w:cs="arial"/>
          <w:color w:val="000000"/>
          <w:sz w:val="20"/>
          <w:lang w:val="en-US" w:eastAsia="en-US" w:bidi="ar-SA"/>
        </w:rPr>
        <w:t xml:space="preserve">, the Ontario Court of Appeal made it clear that an agent owes a duty to report to the customer a gap in insurance coverage even where it is due to an unavailability of coverage. The customer then can make a decision on whether or not to obtain the desired coverage, or if unavailable, make other arrangements to protect against the risk. Where the agent's failure to do so exposes the customer to an uninsured risk of loss for an event that then occurs, the agent is liable in law for damages: </w:t>
      </w:r>
      <w:r>
        <w:rPr>
          <w:rFonts w:ascii="arial" w:eastAsia="arial" w:hAnsi="arial" w:cs="arial"/>
          <w:i/>
          <w:color w:val="000000"/>
          <w:sz w:val="20"/>
          <w:lang w:val="en-US" w:eastAsia="en-US" w:bidi="ar-SA"/>
        </w:rPr>
        <w:t>Fine's Flowers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plaintiff's expert, Mr. Anderson, confirmed that it is the client's decision as to what to do once the various insurance options are pointed out. He pointed out that if Mrs. Beck had been properly informed as to her coverage options, she could have had the option of choosing a broad form rented dwelling policy or a commercial landlord policy. It is his opinion that even with full disclosure to underwriters, her estate would have been covered for any losses resulting from intentional acts by Mr. Beck because he would not have been an additional named insured with her on the same insurance policy. In his opinion, if proper advice had been given to Mrs. Beck, and she had switched to her own insurance policy, she would have been covered for the loss that arose in this case arising from the intentional actions by Mr. Beck.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Anderson was challenged on this opinion under cross-examination. It was suggested to him that in some rented dwelling policies there are exclusion clauses for malicious acts or vandalism committed by a tenant. He agreed that some policies have that exclusion, but pointed out that his insurance firm avoids it as much as they can. He stated that if she had been given the proper rental dwelling policy without such an exclusion in it, she would have been 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re-examination, Mr. Anderson explained that his insurance firm avoids the types of policies with an exclusion for actions of the tenant because of the very situation where a spouse may leave the home and kick holes in the wall. He said this situation happens more frequently than they would like.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defendant's expert, Mr. Haigh, did not address in his opinion the point that the decision as to which insurance best suits the customer is the customer's decision to make, based on information provided by the broker as to the differences between the types of coverage. However, he agreed in cross-examination that if Mrs. Beck had said she wanted to separate her life from Mr. Beck and not be co-insured with him, and if she instead wanted insurance as a landlord thereby leaving it up to Mr. Beck to get whatever insurance he wanted as a tenant, that an insurance company would accept that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This latter opinion, that alternate insurance coverage could have been obtained by Mrs. Beck that did not have an exclusion for Mr. Beck's intentional actions, is consistent with Mr. Anderson's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representative of the defendant, Ms. Schmuck, suggested that the defendant could not have sold a CNS rented dwelling policy to Mrs. Beck in July 2007 because it was a requirement that there be other supporting business, "whether that supporting business is the client's tenant's policy or homeowner's policy for their principal residence." She gives three examples of rented dwelling polices provided by other insurers, which contain exclusions for damage by a tenant. There are several problems with this aspect of Ms. Schmuck's evidence: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it ignores the fact that on the initial occasion when the defendant should have raised the option of a rented dwelling policy with Mrs. Beck, Mrs. Beck was in the situation of obtaining a tenant's policy for an apartment she was renting. If she had obtained a rented dwelling policy then, she would have met the CNS guidelines regarding "supporting business". There is no evidence to explain what would have happened to the rented dwelling policy if Mrs. Beck obtained it once she had later cancelled her tenant's policy.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 Ms. Schmuck's evidence is restricted to a CNS rented dwelling policy. While she does go on to say that other insurers write rented dwelling policies that contain exclusions for loss or damage caused by a tenant, she limits this to three examples. However, Ms. Schmuck does not say that it would have been unusual, difficult, or even impossible for Mrs. Beck to obtain a rented dwelling policy without an exclusion for damage by the tenant. On her examination for discovery, she agreed that there are insurers who provide this coverage (Q. 811).</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on examination for discovery, Ms. Schmuck agreed that typically with a tenant's policy, when the tenants do intentional acts to the property, that that does not affect the coverage of the policy owner that owns the home (Q. 254).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facts in this case are different than the evidence in the case of </w:t>
      </w:r>
      <w:r>
        <w:rPr>
          <w:rFonts w:ascii="arial" w:eastAsia="arial" w:hAnsi="arial" w:cs="arial"/>
          <w:i/>
          <w:color w:val="000000"/>
          <w:sz w:val="20"/>
          <w:lang w:val="en-US" w:eastAsia="en-US" w:bidi="ar-SA"/>
        </w:rPr>
        <w:t>DD &amp; D Drillers Ltd. v. Robertson</w:t>
      </w:r>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[1999] B.C.J. No. 2531</w:t>
        </w:r>
      </w:hyperlink>
      <w:r>
        <w:rPr>
          <w:rFonts w:ascii="arial" w:eastAsia="arial" w:hAnsi="arial" w:cs="arial"/>
          <w:color w:val="000000"/>
          <w:sz w:val="20"/>
          <w:lang w:val="en-US" w:eastAsia="en-US" w:bidi="ar-SA"/>
        </w:rPr>
        <w:t xml:space="preserve"> (S.C.), a case relied on by the defendant. In that case, the plaintiff sued its insurance agent for failure to provide all-risk insurance, including business interruption insurance. The court dismissed the action, based on findings of fact that the plaintiff knew that it had limitations in its insurance, both before and after the incident in question, and that the client intentionally chose less insurance for cost reasons (paras. 40, 41, 78, 81). The court also found that the plaintiff had failed to call evidence to substantiate that any better insurance would have been available to it, and indeed there was evidence that no better insurance would have been available (paras. 46, 66, 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Unlike in </w:t>
      </w:r>
      <w:r>
        <w:rPr>
          <w:rFonts w:ascii="arial" w:eastAsia="arial" w:hAnsi="arial" w:cs="arial"/>
          <w:i/>
          <w:color w:val="000000"/>
          <w:sz w:val="20"/>
          <w:lang w:val="en-US" w:eastAsia="en-US" w:bidi="ar-SA"/>
        </w:rPr>
        <w:t>DD &amp; D</w:t>
      </w:r>
      <w:r>
        <w:rPr>
          <w:rFonts w:ascii="arial" w:eastAsia="arial" w:hAnsi="arial" w:cs="arial"/>
          <w:color w:val="000000"/>
          <w:sz w:val="20"/>
          <w:lang w:val="en-US" w:eastAsia="en-US" w:bidi="ar-SA"/>
        </w:rPr>
        <w:t xml:space="preserve">, I find that in this case there is evidence that better coverage would have been available to Mrs. Beck, namely, a rented dwelling policy without an exclusion for the tenant's intentional actions, as explained in the evidence of Mr. Anderson. Further, unlike in </w:t>
      </w:r>
      <w:r>
        <w:rPr>
          <w:rFonts w:ascii="arial" w:eastAsia="arial" w:hAnsi="arial" w:cs="arial"/>
          <w:i/>
          <w:color w:val="000000"/>
          <w:sz w:val="20"/>
          <w:lang w:val="en-US" w:eastAsia="en-US" w:bidi="ar-SA"/>
        </w:rPr>
        <w:t>DD &amp; D</w:t>
      </w:r>
      <w:r>
        <w:rPr>
          <w:rFonts w:ascii="arial" w:eastAsia="arial" w:hAnsi="arial" w:cs="arial"/>
          <w:color w:val="000000"/>
          <w:sz w:val="20"/>
          <w:lang w:val="en-US" w:eastAsia="en-US" w:bidi="ar-SA"/>
        </w:rPr>
        <w:t>, there is no evidence in this case that Mrs. Beck was deliberately choosing less insurance for cost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defendant also filed the expert opinion of Mr. Donald Sache, an insurance broker with over 30 years experience. His opinion was essentially the same as Mr. Haigh's and suffered from the same flaws: he assumed that Mrs. Beck knew that Mr. Beck had harmful intentions towards her person and the property; and he assumed that Mrs. Beck would want the best price for combined coverage of her and Mr. Beck. Neither assumption is established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cross-examination, Mr. Sache agreed that if the insurance broker learned that a couple had separated, the reasonably prudent broker would want to speak to the person to get more information. He agreed that separation and divorce is one thing that can cause a person's insurance needs to change, because people then begin to lead separate lives. He also agreed that when a couple divorce, as a broker he would ask his client if he or she still wants the other person on the policy or wants the person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Therefore, the defendant's first factual premise contesting causation must fail; the evidence does not show that Mrs. Beck knew of Mr. Beck's intention to intentionally damage the property, and if the defendant had been prudent and achieved its duty of care, Mrs. Beck would not have been left without any insurance because other options, such as rented dwelling insurance, would have been available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defendant's second argument against causation is that even if alternate coverage was available to Mrs. Beck, she would not have purchased it because it was in the range of under $200 to just over $400 a year more than the cost of her homeowner's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find that the evidence in this case establishes that, on a balance of probabilities, Mrs. Beck would have purchased alternate insurance if she had been properly advised by the defendant for three reasons: she would not have had confidence that Mr. Beck or a tenant would not harm the property and she would have wanted to be protected from that risk; she desired to separate her financial affairs from Mr. Beck, and she was a cautious person who wanted insurance coverage and who was careful to pay her insurance bills.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evidence establishes that Mrs. Beck's state of mind in September 2006 was that she had separated from her husband in 2005; she wanted (and had obtained) court orders restraining him from molesting, harassing, or communicating with her; she feared Mr. Beck; she believed that there was no reasonable prospect of reconciliation between her and Mr. Beck; she believed her husband was renting part of the home to a tenant; she believed that in the past he had rented to tenants who she felt were undesirable and made her uncomfortable; she wanted to sell the home; she was considering applying to court for an order for sole occupancy of the home; and she believed her husband was not cutting the grass in the 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Given this state of mind, I infer that had Mrs. Beck been advised of the intentional act exclusion in her existing policy, and the availability of a rented dwelling policy, it is more likely than not that she would have thought that there was at least a risk that Mr. Beck might do some damage to the property, and so she would not want to have Mr. Beck remain as co-insured. For the same reason, she also would not want a rented dwelling policy that excluded damage from intentional acts of tenants, as she did not respect her husband's choice of tenants. By July 2007, when the Becks' policy was last renewed, Mrs. Beck had been separated from her husband for approximately two years. As she was no longer living at the property or in a loving relationship with her husband, she could not be confident that intentional damage would not be done by someone living at the property. Had she been notified about a gap in her coverage and given the choice of an alternative, I conclude that it is most likely that she would have directed her mind to these risks and would have chosen to protect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There is also evidence that after Mrs. Beck separated from her husband she wanted to protect her financial interests in the separation. It is undisputed that she commenced a family law claim against Mr. Beck seeking divorce and other remedies. Her lawyer in that proceeding received instructions that are only consistent with Mrs. Beck wanting to protect her financial interests from actions by Mr. Beck.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Mrs. Beck's mother's affidavit is also evidence about Mrs. Beck's intention to be financially separate from her husband. The occasion recounted by Mrs. Beck's mother in the summer of 2007 indicates that Mrs. Beck appeared upset and angry when she found out that Mr. Beck was still on the insurance papers and that she was the one paying the insurance bill.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With respect to Mrs. Beck's intention to be financially separate from her husband, her mother's affidavit evidence can be used both as proof of Mrs. Beck's state of mind and as proof of the truth of its contents. As found earlier in these Reasons for Judgment, although this evidence is hearsay evidence, it satisfies the twin requirements of necessity and reliability and therefore is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fact that Mrs. Beck obtained tenant's insurance coverage when she moved into an apartment, while at the same time also paying for the homeowner's policy, leads me to infer that she was cautious and wanted insurance to protect her assets from risks. I consider it more likely than not that had Mrs. Beck been properly advised, she would have put the concern of having the fullest insurance coverage for her home ahead of a concern about the cost of premiums. Given her state of mind, I infer that she would have paid more to have protection from damage to the property caused by intentional acts of her husband or a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am comfortable drawing the inference that Mrs. Beck would have purchased more expensive insurance that covered intentional acts of tenants including her husband in the absence of her testifying, because any evidence she would have given had she still been alive at the time of this hearing would have been self serving. Examples of her past behaviour and conduct are the best evidence of her intentions.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find that if Mrs. Beck had received proper advice from the defendant's brokers, she would have been advised that her homeowner's policy showed Mr. Beck as a co-insured, that one of the exclusions in the policy meant that she would not have coverage for any intentional acts by him, and that she could obtain on the market a rented dwelling policy that would not have a similar exclusion, but it might be more costly. I find that if Mrs. Beck had received this advice, it is more likely than not that she would have chosen to obtain a rented dwelling policy without an exclusion for intentional acts of a tenant, whether the tenant be Mr. Beck or someone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Therefore, I conclude that the plaintiff has established causation on a balance of probabilities. I find that the negligent failure to give Mrs. Beck appropriate advice on her insurance coverage caused her to have a gap in coverage, resulted in her suffering an uninsured loss caused by the intentional acts of Mr. Beck.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Reasonable Foreseeability or Remoteness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defendant advances a two-sided defence. It says on the one hand, that the plaintiff's claim is defeated for lack of causation because if Mr. Beck's intentional act of damaging the property was foreseeable, then no insurer would have provided coverage for his actions and so there is no causal connection between failure to advise and the lack of coverage. It says on the other hand, if it was not reasonably foreseeable that Mr. Beck would harm Mrs. Beck's property, then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cannot be established, as reasonable foreseeability of harm is an essential element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defence position means the plaintiff in a broker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is in a Catch-22 and can never win.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But this defence incorrectly frames the question of reasonable foreseeability. There are two often confused understandings of reasonable foreseeability. The first is reasonable foreseeability in the sense that it is a requirement of establishing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The first element of that relationship is reasonable foreseeability. The actor must take care to avoid acts or omissions which would he or she can reasonably foresee would be likely to injure his/her neighbour: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[1932] A.C. 562 (H.L.).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second understanding of reasonable foreseeability is what is also referred to as the issue of "remoteness". The principle is that a person should not be held legally responsible for all of the consequences of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however unforeseeable. In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the Supreme Court of Canada concluded that a person is not responsible for all foreseeable harms whose occurrence is possible; rather, the standard of reasonable foreseeability is that there must be a "real risk" that that harm or damage could occur. This understanding of reasonable foreseeability regards the likelihood of the </w:t>
      </w:r>
      <w:r>
        <w:rPr>
          <w:rFonts w:ascii="arial" w:eastAsia="arial" w:hAnsi="arial" w:cs="arial"/>
          <w:i/>
          <w:color w:val="000000"/>
          <w:sz w:val="20"/>
          <w:lang w:val="en-US" w:eastAsia="en-US" w:bidi="ar-SA"/>
        </w:rPr>
        <w:t>harm or damage</w:t>
      </w:r>
      <w:r>
        <w:rPr>
          <w:rFonts w:ascii="arial" w:eastAsia="arial" w:hAnsi="arial" w:cs="arial"/>
          <w:color w:val="000000"/>
          <w:sz w:val="20"/>
          <w:lang w:val="en-US" w:eastAsia="en-US" w:bidi="ar-SA"/>
        </w:rPr>
        <w:t xml:space="preserve">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As the defendant has not disputed that it owed Mrs. Beck a duty of care, then I take it to mean that its argument about reasonable foreseeability must relate to the issue of "remoteness" of the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defendant framed the harm or damage as being the actual damage to the property caused by the intentional act of Mr. Beck. The defendant argued that despite the fact that it had knowledge that the Becks were separated and living apart, they could not have anticipated that he would commit an act of arson and as a result, there was no "real risk" of this harm occurring. It argued that it was not reasonably foreseeable from the defendant's perspective that Mr. Beck would have caused this damage because it had no knowledge that Mr. Beck had the intention to cause the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 find that the defendant has mischaracterized what is the harm or damage in this case. Both parties agreed that insurance brokers have a duty of care to their clients. I have found that the standard of care is to provide relevant information about the types of coverage available to the client and about which forms of coverage will be required to meet that client's needs: </w:t>
      </w:r>
      <w:r>
        <w:rPr>
          <w:rFonts w:ascii="arial" w:eastAsia="arial" w:hAnsi="arial" w:cs="arial"/>
          <w:i/>
          <w:color w:val="000000"/>
          <w:sz w:val="20"/>
          <w:lang w:val="en-US" w:eastAsia="en-US" w:bidi="ar-SA"/>
        </w:rPr>
        <w:t>Fine's Flowers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I have also found that the defendant breached this duty of care by not providing Mrs. Beck with the necessary information about her coverage once it knew that she was separated and living apart from her husband. Therefore, the harm which the defendant should have protected against by satisfying its duty of care was a lack of coverage or gap in coverage resulting in an uninsured loss if and when a specific event (the intentional act of another) should occur. If Mrs. Beck had been properly instructed as to her insurance needs, she would have been adequately covered and would not have suffered an uninsured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Therefore I find that the harm or damage in this case was not remote; it was reasonably foreseeable that if the defendant failed to properly address Mrs. Beck's concerns about insurance coverage, that there was a real risk that she may suffer an uninsured loss as a result of inadequate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parties have agreed that the replacement cost of the structures on the property is $345,765.00, not including the contents of the home. Had the plaintiff been properly advised of the gap in coverage, I have found that it is likely she would have obtained a rented dwelling policy without an exclusion clause for intentional acts of a tenant. This would mean that she would not have insurance over the contents of the home, which would be Mr. Beck's own responsibility. Based on this theory of liability against the defendant, the plaintiff cannot claim for the value of the contents of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estate of Mrs. Beck has recovered $185,000.00 in insurance proceeds in settlement of its claim against CNS.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difference between the amount of the settlement and the replacement cost of the structures on the property is $160,765.00.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As Mrs. Beck owned 100% of the insurable interest in the property she would have been entitled to receive this amount. Therefore the plaintiff is entitled to damages of $160,765.00.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Following the fire, the plaintiff advanced a claim for insurance coverage against CNS. As I have noted, CNS denied coverage, based on the exclusion clause in its homeowner's policy for loss caused by the intentional acts of an insured, Mr. Beck. However, ultimately that claim was settled for less than the property value, namely, for $185,000.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One term of the settlement with CNS was the plaintiff's agreement to a release of CNS.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terms of the release provide that in consideration of the payment of the settlement funds by CNS, defined as the "Releasee", the plaintiff, defined as the "Releasor" did: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HEREBY REMISE, RELEASE AND FOREVER DISCHARGE the said Releasee, including its employees, servants, agents, successors and assigns, of and from any and all manner of actions, causes of action, suits contracts, claims, demands and damages of any nature or kind whatsoever which </w:t>
      </w:r>
      <w:r>
        <w:rPr>
          <w:rFonts w:ascii="arial" w:eastAsia="arial" w:hAnsi="arial" w:cs="arial"/>
          <w:color w:val="000000"/>
          <w:sz w:val="20"/>
          <w:u w:val="single"/>
          <w:lang w:val="en-US" w:eastAsia="en-US" w:bidi="ar-SA"/>
        </w:rPr>
        <w:t>as against the said Releasee the Releasor has</w:t>
      </w:r>
      <w:r>
        <w:rPr>
          <w:rFonts w:ascii="arial" w:eastAsia="arial" w:hAnsi="arial" w:cs="arial"/>
          <w:color w:val="000000"/>
          <w:sz w:val="20"/>
          <w:lang w:val="en-US" w:eastAsia="en-US" w:bidi="ar-SA"/>
        </w:rPr>
        <w:t xml:space="preserve"> or which the Releasor may have for or by reason of or arising out of any cause, matter or thing whatsoever occurring or existing up to the date of these presents, AND IN PARTICULAR, but without restricting the generality of the foregoing ... which the Releasor now has or which the Releasor at any time hereafter can, shall or may have against the said Releasee, including its employees, servants, agents, successors and assigns, </w:t>
      </w:r>
      <w:r>
        <w:rPr>
          <w:rFonts w:ascii="arial" w:eastAsia="arial" w:hAnsi="arial" w:cs="arial"/>
          <w:color w:val="000000"/>
          <w:sz w:val="20"/>
          <w:u w:val="single"/>
          <w:lang w:val="en-US" w:eastAsia="en-US" w:bidi="ar-SA"/>
        </w:rPr>
        <w:t>in consequence of or in any way arising out of the policy of insurance issued by the Releasee to Karen Louis Beck, being policy number 10-PLP-0401117.</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defendant argues that the release precludes claims by the plaintiff against it, since the defendant, as an insurance broker, was an agent of CNS with respect to the CNS homeowner's policy that applied to the Becks'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approach to contractual interpretation was recently affirmed by the Supreme Court of Canada in the analogous situation of interpreting an exclusion of liability clause, in </w:t>
      </w:r>
      <w:r>
        <w:rPr>
          <w:rFonts w:ascii="arial" w:eastAsia="arial" w:hAnsi="arial" w:cs="arial"/>
          <w:i/>
          <w:color w:val="000000"/>
          <w:sz w:val="20"/>
          <w:lang w:val="en-US" w:eastAsia="en-US" w:bidi="ar-SA"/>
        </w:rPr>
        <w:t>Tercon Contractors Ltd. v. British Columbia (Transportation and Highways)</w:t>
      </w:r>
      <w:r>
        <w:rPr>
          <w:rFonts w:ascii="arial" w:eastAsia="arial" w:hAnsi="arial" w:cs="arial"/>
          <w:color w:val="000000"/>
          <w:sz w:val="20"/>
          <w:lang w:val="en-US" w:eastAsia="en-US" w:bidi="ar-SA"/>
        </w:rPr>
        <w:t xml:space="preserve">, </w:t>
      </w:r>
      <w:hyperlink r:id="rId872" w:history="1">
        <w:r>
          <w:rPr>
            <w:rFonts w:ascii="arial" w:eastAsia="arial" w:hAnsi="arial" w:cs="arial"/>
            <w:i/>
            <w:color w:val="0077CC"/>
            <w:sz w:val="20"/>
            <w:u w:val="single"/>
            <w:shd w:val="clear" w:color="auto" w:fill="FFFFFF"/>
            <w:lang w:val="en-US" w:eastAsia="en-US" w:bidi="ar-SA"/>
          </w:rPr>
          <w:t>2010 SCC 4</w:t>
        </w:r>
      </w:hyperlink>
      <w:r>
        <w:rPr>
          <w:rFonts w:ascii="arial" w:eastAsia="arial" w:hAnsi="arial" w:cs="arial"/>
          <w:color w:val="000000"/>
          <w:sz w:val="20"/>
          <w:lang w:val="en-US" w:eastAsia="en-US" w:bidi="ar-SA"/>
        </w:rPr>
        <w:t>. There the Court held at para. 64: "[t]he key principle of contractual interpretation here is that the words of one provision must not be read in isolation but should be considered in harmony with the rest of the contract and in light of its purposes and commercial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Like any contract, a release must be interpreted by the words used, considering the document as a whole and in the context in which it was executed: </w:t>
      </w:r>
      <w:r>
        <w:rPr>
          <w:rFonts w:ascii="arial" w:eastAsia="arial" w:hAnsi="arial" w:cs="arial"/>
          <w:i/>
          <w:color w:val="000000"/>
          <w:sz w:val="20"/>
          <w:lang w:val="en-US" w:eastAsia="en-US" w:bidi="ar-SA"/>
        </w:rPr>
        <w:t>Dawson v. Tolko Industries Ltd.</w:t>
      </w:r>
      <w:r>
        <w:rPr>
          <w:rFonts w:ascii="arial" w:eastAsia="arial" w:hAnsi="arial" w:cs="arial"/>
          <w:color w:val="000000"/>
          <w:sz w:val="20"/>
          <w:lang w:val="en-US" w:eastAsia="en-US" w:bidi="ar-SA"/>
        </w:rPr>
        <w:t xml:space="preserve">, </w:t>
      </w:r>
      <w:hyperlink r:id="rId873" w:history="1">
        <w:r>
          <w:rPr>
            <w:rFonts w:ascii="arial" w:eastAsia="arial" w:hAnsi="arial" w:cs="arial"/>
            <w:i/>
            <w:color w:val="0077CC"/>
            <w:sz w:val="20"/>
            <w:u w:val="single"/>
            <w:shd w:val="clear" w:color="auto" w:fill="FFFFFF"/>
            <w:lang w:val="en-US" w:eastAsia="en-US" w:bidi="ar-SA"/>
          </w:rPr>
          <w:t>2010 BCSC 346</w:t>
        </w:r>
      </w:hyperlink>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White v. Central Trust Co.</w:t>
      </w:r>
      <w:r>
        <w:rPr>
          <w:rFonts w:ascii="arial" w:eastAsia="arial" w:hAnsi="arial" w:cs="arial"/>
          <w:color w:val="000000"/>
          <w:sz w:val="20"/>
          <w:lang w:val="en-US" w:eastAsia="en-US" w:bidi="ar-SA"/>
        </w:rPr>
        <w:t xml:space="preserve"> </w:t>
      </w:r>
      <w:hyperlink r:id="rId874" w:history="1">
        <w:r>
          <w:rPr>
            <w:rFonts w:ascii="arial" w:eastAsia="arial" w:hAnsi="arial" w:cs="arial"/>
            <w:i/>
            <w:color w:val="0077CC"/>
            <w:sz w:val="20"/>
            <w:u w:val="single"/>
            <w:shd w:val="clear" w:color="auto" w:fill="FFFFFF"/>
            <w:lang w:val="en-US" w:eastAsia="en-US" w:bidi="ar-SA"/>
          </w:rPr>
          <w:t>(1984), 7 D.L.R. (4th) 236</w:t>
        </w:r>
      </w:hyperlink>
      <w:r>
        <w:rPr>
          <w:rFonts w:ascii="arial" w:eastAsia="arial" w:hAnsi="arial" w:cs="arial"/>
          <w:color w:val="000000"/>
          <w:sz w:val="20"/>
          <w:lang w:val="en-US" w:eastAsia="en-US" w:bidi="ar-SA"/>
        </w:rPr>
        <w:t xml:space="preserve"> at 247-248 (C.A.). In the latter case, the court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Before entering into an examination of the particular releases involved in this case and the circumstances under which they were executed, it may be useful to make some general remarks regarding the manner in which releases are to be construed. Like other written documents, one must seek the meaning of a release from the words used by the parties. Though the context in which it was executed may be useful in interpreting the words, it must be remembered that the words used govern. As in other cases, too, the document must be read as a whole. This is particularly important to bear in mind in construing releases, the operative parts of which are often written in the broadest of terms. Thus reference is frequently made to recitals to determine the specific matters upon which the parties have obviously focused to confine the operation of general words. As Lord Westbury stated in the House of Lord's case of </w:t>
      </w:r>
      <w:r>
        <w:rPr>
          <w:rFonts w:ascii="arial" w:eastAsia="arial" w:hAnsi="arial" w:cs="arial"/>
          <w:i/>
          <w:color w:val="000000"/>
          <w:sz w:val="20"/>
          <w:lang w:val="en-US" w:eastAsia="en-US" w:bidi="ar-SA"/>
        </w:rPr>
        <w:t>Director of London &amp; South western R. Co. v. Blackmore</w:t>
      </w:r>
      <w:r>
        <w:rPr>
          <w:rFonts w:ascii="arial" w:eastAsia="arial" w:hAnsi="arial" w:cs="arial"/>
          <w:color w:val="000000"/>
          <w:sz w:val="20"/>
          <w:lang w:val="en-US" w:eastAsia="en-US" w:bidi="ar-SA"/>
        </w:rPr>
        <w:t xml:space="preserve"> (1870), L.R. 4 H.L. 610, at p. 623: "The general words in a release are limited always to that thing or those things which were specially in the contemplation of the parties at the time when the release was given".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referring to what was in the contemplation of the parties, Lord Westbury was, of course, not opening the door to adducing evidence of what was actually going on in their minds, still less to making inferences about it. Such considerations are relevant solely to issues such as undue influence, mistake, fraud and the like which have no application here. What the statement quoted means is that in determining what was contemplated by the parties, the words used in a document need not be looked at in a vacuum. The specific context in which a document was executed may well assist in understanding the words used. It is perfectly proper, and indeed may be necessary, to look at the surrounding circumstances in order to ascertain what the parties were really contracting about.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These principles have been affirmed by the British Columbia Court of Appeal: </w:t>
      </w:r>
      <w:r>
        <w:rPr>
          <w:rFonts w:ascii="arial" w:eastAsia="arial" w:hAnsi="arial" w:cs="arial"/>
          <w:i/>
          <w:color w:val="000000"/>
          <w:sz w:val="20"/>
          <w:lang w:val="en-US" w:eastAsia="en-US" w:bidi="ar-SA"/>
        </w:rPr>
        <w:t>Hannan v. Methanex Corp.</w:t>
      </w:r>
      <w:r>
        <w:rPr>
          <w:rFonts w:ascii="arial" w:eastAsia="arial" w:hAnsi="arial" w:cs="arial"/>
          <w:color w:val="000000"/>
          <w:sz w:val="20"/>
          <w:lang w:val="en-US" w:eastAsia="en-US" w:bidi="ar-SA"/>
        </w:rPr>
        <w:t xml:space="preserve">,[1998] 7 W.W.R. 619, </w:t>
      </w:r>
      <w:hyperlink r:id="rId875" w:history="1">
        <w:r>
          <w:rPr>
            <w:rFonts w:ascii="arial" w:eastAsia="arial" w:hAnsi="arial" w:cs="arial"/>
            <w:i/>
            <w:color w:val="0077CC"/>
            <w:sz w:val="20"/>
            <w:u w:val="single"/>
            <w:shd w:val="clear" w:color="auto" w:fill="FFFFFF"/>
            <w:lang w:val="en-US" w:eastAsia="en-US" w:bidi="ar-SA"/>
          </w:rPr>
          <w:t>46 B.C.L.R. (3d) 230</w:t>
        </w:r>
      </w:hyperlink>
      <w:r>
        <w:rPr>
          <w:rFonts w:ascii="arial" w:eastAsia="arial" w:hAnsi="arial" w:cs="arial"/>
          <w:color w:val="000000"/>
          <w:sz w:val="20"/>
          <w:lang w:val="en-US" w:eastAsia="en-US" w:bidi="ar-SA"/>
        </w:rPr>
        <w:t xml:space="preserve"> (C.A.); see also </w:t>
      </w:r>
      <w:r>
        <w:rPr>
          <w:rFonts w:ascii="arial" w:eastAsia="arial" w:hAnsi="arial" w:cs="arial"/>
          <w:i/>
          <w:color w:val="000000"/>
          <w:sz w:val="20"/>
          <w:lang w:val="en-US" w:eastAsia="en-US" w:bidi="ar-SA"/>
        </w:rPr>
        <w:t>Bank of British Columbia Pension Plan v. Kaiser</w:t>
      </w:r>
      <w:r>
        <w:rPr>
          <w:rFonts w:ascii="arial" w:eastAsia="arial" w:hAnsi="arial" w:cs="arial"/>
          <w:color w:val="000000"/>
          <w:sz w:val="20"/>
          <w:lang w:val="en-US" w:eastAsia="en-US" w:bidi="ar-SA"/>
        </w:rPr>
        <w:t xml:space="preserve">, </w:t>
      </w:r>
      <w:hyperlink r:id="rId876" w:history="1">
        <w:r>
          <w:rPr>
            <w:rFonts w:ascii="arial" w:eastAsia="arial" w:hAnsi="arial" w:cs="arial"/>
            <w:i/>
            <w:color w:val="0077CC"/>
            <w:sz w:val="20"/>
            <w:u w:val="single"/>
            <w:shd w:val="clear" w:color="auto" w:fill="FFFFFF"/>
            <w:lang w:val="en-US" w:eastAsia="en-US" w:bidi="ar-SA"/>
          </w:rPr>
          <w:t>2000 BCCA 291</w:t>
        </w:r>
      </w:hyperlink>
      <w:r>
        <w:rPr>
          <w:rFonts w:ascii="arial" w:eastAsia="arial" w:hAnsi="arial" w:cs="arial"/>
          <w:color w:val="000000"/>
          <w:sz w:val="20"/>
          <w:lang w:val="en-US" w:eastAsia="en-US" w:bidi="ar-SA"/>
        </w:rPr>
        <w:t xml:space="preserve">, </w:t>
      </w:r>
      <w:hyperlink r:id="rId876" w:history="1">
        <w:r>
          <w:rPr>
            <w:rFonts w:ascii="arial" w:eastAsia="arial" w:hAnsi="arial" w:cs="arial"/>
            <w:i/>
            <w:color w:val="0077CC"/>
            <w:sz w:val="20"/>
            <w:u w:val="single"/>
            <w:shd w:val="clear" w:color="auto" w:fill="FFFFFF"/>
            <w:lang w:val="en-US" w:eastAsia="en-US" w:bidi="ar-SA"/>
          </w:rPr>
          <w:t>137 B.C.A.C. 37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will first analyze the plain words of the release, and then the commercial context in which the release was executed.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There are two parts to the scope of the release: first, there is first a wider general scope; and second, there is a more specific scope, preceded by the words "in particular".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general scope of the release is a release of claims "which as against the said Releasee the Releasor has ... or may have". The Releasee is defined as CNS only. The definition of Releasee does not include agents.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present claim against the defendant is not a claim against CNS. It is an action in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an insurance broker. The essence of the cause of action in the present claim is found in paragraph 14 of the Statement of Claim as follows:</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Defendant [broker] owed a duty of care to the Deceased [Karen Beck] to provide advice and place residential insurance coverage at a standard keeping with that of a reasonably competent insurance broker.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Statement of Claim goes on to allege that the defendant was negligent in failing to provide advice in keeping with its duty of care, and in placing the insurance policy it did with CNS: paras. 20(a), (e) of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As reviewed above, the essence of the plaintiff's claim is the assertion that had the defendant met the standard of care it owed to Mrs. Beck, a different policy should have been obtained -- a policy other than the CNS policy that was obtained -- and this alternate policy would not have had an exclusion for the actions of Mr. Beck. There are no allegations in the pleadings that would suggest that CNS would in any way be responsible for the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in failing to suggest a policy other than the CNS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Since the present claim is not a claim advanced against CNS, it is not captured in the general language of the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Support for the above interpretation of the general wording of the Release is also found in the language used as a specific example of the general, which states that the release applies to claims against the Releasee, including its agents, "in consequence of or in any way arising out of the policy of insurance issued by the Releasee to Karen Louis Beck, being policy number 10-PLP-0401117". This specific clause supports the interpretation I have given to the general clause: the release was meant only to cover claims that could be made against CNS, or CNS and its agents, if the claims arose out of the actual CNS policy that was issued to Mrs. Beck.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particular example in the release does not apply because the present proceeding does not arise out of the policy of insurance actually issued to Mrs. Beck by CNS. Rather, this proceeding is based on the defendant's alleged negligent failure to advise Mrs. Beck of gaps in coverage and of other broader insurance coverage available, so that she could obtain other coverage in place of the CNS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Thus, regardless of whether the defendant was an "agent" intended to be covered by the release, the subject matter of the release does not apply to the present claim. As such, the present claim is not barred by the fact of the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Even if I was wrong in my interpretation of the words setting out the subject matter of the release, there are other reasons that it does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To succeed in its argument, the defendant must establish that it was an agent of CNS in the context intended by the release. The meaning of "agent" in the release must be considered in the commercial context giving rise to the release: </w:t>
      </w:r>
      <w:r>
        <w:rPr>
          <w:rFonts w:ascii="arial" w:eastAsia="arial" w:hAnsi="arial" w:cs="arial"/>
          <w:i/>
          <w:color w:val="000000"/>
          <w:sz w:val="20"/>
          <w:lang w:val="en-US" w:eastAsia="en-US" w:bidi="ar-SA"/>
        </w:rPr>
        <w:t>Dawson, supra</w:t>
      </w:r>
      <w:r>
        <w:rPr>
          <w:rFonts w:ascii="arial" w:eastAsia="arial" w:hAnsi="arial" w:cs="arial"/>
          <w:color w:val="000000"/>
          <w:sz w:val="20"/>
          <w:lang w:val="en-US" w:eastAsia="en-US" w:bidi="ar-SA"/>
        </w:rPr>
        <w:t xml:space="preserve">, at para. 29; </w:t>
      </w:r>
      <w:r>
        <w:rPr>
          <w:rFonts w:ascii="arial" w:eastAsia="arial" w:hAnsi="arial" w:cs="arial"/>
          <w:i/>
          <w:color w:val="000000"/>
          <w:sz w:val="20"/>
          <w:lang w:val="en-US" w:eastAsia="en-US" w:bidi="ar-SA"/>
        </w:rPr>
        <w:t>Tercon, 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Mr. Justice Butler made the point in </w:t>
      </w:r>
      <w:r>
        <w:rPr>
          <w:rFonts w:ascii="arial" w:eastAsia="arial" w:hAnsi="arial" w:cs="arial"/>
          <w:i/>
          <w:color w:val="000000"/>
          <w:sz w:val="20"/>
          <w:lang w:val="en-US" w:eastAsia="en-US" w:bidi="ar-SA"/>
        </w:rPr>
        <w:t>Dawson, supra,</w:t>
      </w:r>
      <w:r>
        <w:rPr>
          <w:rFonts w:ascii="arial" w:eastAsia="arial" w:hAnsi="arial" w:cs="arial"/>
          <w:color w:val="000000"/>
          <w:sz w:val="20"/>
          <w:lang w:val="en-US" w:eastAsia="en-US" w:bidi="ar-SA"/>
        </w:rPr>
        <w:t xml:space="preserve"> at para. 35, that if you interpret the concept of the releasee's agent so widely that it covers all claims against anyone who in some capacity acts as agent for the releasor, it would have absurd effects. It would mean that a courier who, while handling a delivery for the releasee, negligently drove his motor vehicle into the releasor, could rely on the release as a defence against the releasor's claims for the injuries caused by the negligent driving, even though the negligent driving was not in the courier's capacity as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Here, there are several relevant facts which indicate that the meaning of agent in the release was meant to be a limited meaning. In this regard, the evidence establishes that:</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CNS provided the sole consideration for the release based on considerations that had nothing to do with any potential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the defendant. The defendant did not contribute to the settlement nor was it in any way apprised of it or involved in the negotiations;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parties executing the release had no discussions prior to negotiation of the settlement and execution of the release, about the release potentially covering the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Indeed, there is no evidence that the plaintiff, in its claim against CNS, advanced any allegations that CNS was liable for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There is no evidence that the potential for such a claim was ever discussed as being something that could impact CNS or that it could be a reason for CNS settling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find that the use of the word "agents" in the release was not meant to apply so widely that it would apply to claims of any nature against all persons who in a limited capacity might have been agents of CNS at one time or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commercial context of the release is that it was provided by the plaintiff in exchange for settlement monies paid by CNS. The obvious purpose of the release was to protect CNS from claims that might be made against it, whether directly or indirectly by way of claims asserting vicarious liability or liability as principal for actions of its agents. In its commercial context, the concept of agency in the release was only meant to apply to someone whose actions, at issue in the releasor's potential claim, were actions taken or omitted in that person's capacity as an agent of CNS. Only those claims arising out of the person's role as agent for CNS might give rise to the liability of CNS as principal for the agent. There was no need to release claims against persons with respect to their acts or omissions that were separate from any function they might perform as limited agents for CNS.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defendant has provided no evidence to support the conclusion that in its capacity as an independent broker, owing a duty of care to the customer, it was acting as an agent for CNS. It has not alleged this in its pleadings. I conclude that the defendant was not acting as agent for CNS in the capacity for which it is being sued by the plaintiff. I find that in its capacity as an insurance broker, giving advice to a person seeking insurance, the defendant was acting independently, and not as an agent of CNS. To the extent the release might apply to claims against "agents of CNS" it does not apply to the present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 defendant relies on the case of </w:t>
      </w:r>
      <w:r>
        <w:rPr>
          <w:rFonts w:ascii="arial" w:eastAsia="arial" w:hAnsi="arial" w:cs="arial"/>
          <w:i/>
          <w:color w:val="000000"/>
          <w:sz w:val="20"/>
          <w:lang w:val="en-US" w:eastAsia="en-US" w:bidi="ar-SA"/>
        </w:rPr>
        <w:t>Radvar v. Canada (Attorney General)</w:t>
      </w:r>
      <w:r>
        <w:rPr>
          <w:rFonts w:ascii="arial" w:eastAsia="arial" w:hAnsi="arial" w:cs="arial"/>
          <w:color w:val="000000"/>
          <w:sz w:val="20"/>
          <w:lang w:val="en-US" w:eastAsia="en-US" w:bidi="ar-SA"/>
        </w:rPr>
        <w:t xml:space="preserve">, </w:t>
      </w:r>
      <w:hyperlink r:id="rId877" w:history="1">
        <w:r>
          <w:rPr>
            <w:rFonts w:ascii="arial" w:eastAsia="arial" w:hAnsi="arial" w:cs="arial"/>
            <w:i/>
            <w:color w:val="0077CC"/>
            <w:sz w:val="20"/>
            <w:u w:val="single"/>
            <w:shd w:val="clear" w:color="auto" w:fill="FFFFFF"/>
            <w:lang w:val="en-US" w:eastAsia="en-US" w:bidi="ar-SA"/>
          </w:rPr>
          <w:t>[2005] O.J. No. 5239</w:t>
        </w:r>
      </w:hyperlink>
      <w:r>
        <w:rPr>
          <w:rFonts w:ascii="arial" w:eastAsia="arial" w:hAnsi="arial" w:cs="arial"/>
          <w:color w:val="000000"/>
          <w:sz w:val="20"/>
          <w:lang w:val="en-US" w:eastAsia="en-US" w:bidi="ar-SA"/>
        </w:rPr>
        <w:t xml:space="preserve">; aff'd </w:t>
      </w:r>
      <w:hyperlink r:id="rId878" w:history="1">
        <w:r>
          <w:rPr>
            <w:rFonts w:ascii="arial" w:eastAsia="arial" w:hAnsi="arial" w:cs="arial"/>
            <w:i/>
            <w:color w:val="0077CC"/>
            <w:sz w:val="20"/>
            <w:u w:val="single"/>
            <w:shd w:val="clear" w:color="auto" w:fill="FFFFFF"/>
            <w:lang w:val="en-US" w:eastAsia="en-US" w:bidi="ar-SA"/>
          </w:rPr>
          <w:t>2007 ONCA 137</w:t>
        </w:r>
      </w:hyperlink>
      <w:r>
        <w:rPr>
          <w:rFonts w:ascii="arial" w:eastAsia="arial" w:hAnsi="arial" w:cs="arial"/>
          <w:color w:val="000000"/>
          <w:sz w:val="20"/>
          <w:lang w:val="en-US" w:eastAsia="en-US" w:bidi="ar-SA"/>
        </w:rPr>
        <w:t>, for the proposition that because the release refers to the insurer's agents, it bars all subsequent claims against the insurer's agents. However, that case is distinguishable on the facts. In that case, the releasing party, Mr. Radvar, sought to sue the released party, Chubb Insurance, and others, in relation to the same issues which had been in contemplation at the time of his earlier settlement with and release of Chubb. These issues, relating to breach of Mr. Radvar's privacy, had been the basis for the quantum of consideration paid in the settlement by Chubb, a fact very different from the facts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As well, the wording of the release in </w:t>
      </w:r>
      <w:r>
        <w:rPr>
          <w:rFonts w:ascii="arial" w:eastAsia="arial" w:hAnsi="arial" w:cs="arial"/>
          <w:i/>
          <w:color w:val="000000"/>
          <w:sz w:val="20"/>
          <w:lang w:val="en-US" w:eastAsia="en-US" w:bidi="ar-SA"/>
        </w:rPr>
        <w:t>Radvar</w:t>
      </w:r>
      <w:r>
        <w:rPr>
          <w:rFonts w:ascii="arial" w:eastAsia="arial" w:hAnsi="arial" w:cs="arial"/>
          <w:color w:val="000000"/>
          <w:sz w:val="20"/>
          <w:lang w:val="en-US" w:eastAsia="en-US" w:bidi="ar-SA"/>
        </w:rPr>
        <w:t xml:space="preserve"> differed from the wording in this case. The general scope of the release in </w:t>
      </w:r>
      <w:r>
        <w:rPr>
          <w:rFonts w:ascii="arial" w:eastAsia="arial" w:hAnsi="arial" w:cs="arial"/>
          <w:i/>
          <w:color w:val="000000"/>
          <w:sz w:val="20"/>
          <w:lang w:val="en-US" w:eastAsia="en-US" w:bidi="ar-SA"/>
        </w:rPr>
        <w:t>Radvar</w:t>
      </w:r>
      <w:r>
        <w:rPr>
          <w:rFonts w:ascii="arial" w:eastAsia="arial" w:hAnsi="arial" w:cs="arial"/>
          <w:color w:val="000000"/>
          <w:sz w:val="20"/>
          <w:lang w:val="en-US" w:eastAsia="en-US" w:bidi="ar-SA"/>
        </w:rPr>
        <w:t xml:space="preserve"> covered claims not just against Chubb, but claims against Chubb's agents as well. Further, Mr. Radvar had agreed in the release not to take any action or proceeding against any person that could result in a claim over against Chubb, yet his new claim was just such a claim: the claims against Chubb's agents were in respect of actions taken by them while acting in their capacity as agents for the releasor, Chubb, and were the very actions that led to Chubb's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Unlike in the </w:t>
      </w:r>
      <w:r>
        <w:rPr>
          <w:rFonts w:ascii="arial" w:eastAsia="arial" w:hAnsi="arial" w:cs="arial"/>
          <w:i/>
          <w:color w:val="000000"/>
          <w:sz w:val="20"/>
          <w:lang w:val="en-US" w:eastAsia="en-US" w:bidi="ar-SA"/>
        </w:rPr>
        <w:t>Radvar</w:t>
      </w:r>
      <w:r>
        <w:rPr>
          <w:rFonts w:ascii="arial" w:eastAsia="arial" w:hAnsi="arial" w:cs="arial"/>
          <w:color w:val="000000"/>
          <w:sz w:val="20"/>
          <w:lang w:val="en-US" w:eastAsia="en-US" w:bidi="ar-SA"/>
        </w:rPr>
        <w:t xml:space="preserve"> case, here there is no evidence that the consideration paid to the plaintiff in the settlement with CNS contemplated the very issues now the subject of this proceeding. Also unlike in the </w:t>
      </w:r>
      <w:r>
        <w:rPr>
          <w:rFonts w:ascii="arial" w:eastAsia="arial" w:hAnsi="arial" w:cs="arial"/>
          <w:i/>
          <w:color w:val="000000"/>
          <w:sz w:val="20"/>
          <w:lang w:val="en-US" w:eastAsia="en-US" w:bidi="ar-SA"/>
        </w:rPr>
        <w:t>Radvar</w:t>
      </w:r>
      <w:r>
        <w:rPr>
          <w:rFonts w:ascii="arial" w:eastAsia="arial" w:hAnsi="arial" w:cs="arial"/>
          <w:color w:val="000000"/>
          <w:sz w:val="20"/>
          <w:lang w:val="en-US" w:eastAsia="en-US" w:bidi="ar-SA"/>
        </w:rPr>
        <w:t xml:space="preserve"> case, the claims against the defendant brokers are not claims that would give rise to claims over against CNS, nor did the release expressly preclude such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short, CNS paid consideration to the plaintiff and bought peace with its release. The present proceeding has not disturbed that peace.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plaintiff also argued that the doctrine of privity of contract prevents the defendant from obtaining the benefit of the release, as a non-contracting party. The defendant argued that an exception to the rule of privity of contract will be recognized where the intention of the parties was to extend the benefit of the contract to the third party, and the activities performed by the third party fall within those contemplated by the contract. Regardless of whether or not the defendant has accurately summarized the exception to the doctrine of privity of contract, the defendant's arguments must fail based on my findings of fact that the language and commercial context of the contract make it clear that the release was not intended to release agents of CNS from claims arising from actions or omissions arising independently of their role as agents of CNS.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conclusion, I find that the wording of the release makes it clear that it does not afford a defence to the claims advanced in this proceeding. The general scope of the release does not apply to claims against all agents of CNS, it only applies to claims "against the Releasee", CNS. Further, the more particularized scope of the release in this case is related to a subject matter that is not the subject matter of this proceeding. As well, to the extent that the defendant might in some capacity have been an agent for CNS, it was limited in the scope of its agency and it was not an agent in everything that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summary, I conclude:</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insurance broker breached the duty of care owed by an insurance broker to a client. Once the defendant learned that Mrs. Beck had moved out of the family home, and given that Mrs. Beck had contacted the defendant to obtain her own tenant's insurance in September 2006, the defendant had a duty to canvass with Mrs. Beck whether or not she had a change in her insurance needs. At that time, and on subsequent occasions when the defendant dealt with Mrs. Beck, the defendant should have made inquiries about Mrs. Beck's separation from her husband; advised her that her homeowner's policy did not cover her if Mr. Beck or another tenant intentionally damaged the property; and advised her that she could instead obtain rental dwelling insurance that would not exclude damage caused by intentional acts of tenants.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Had the defendant fulfilled its duty of care, Mrs. Beck would likely have replaced her homeowner's policy with a rental dwelling policy that did not exclude coverage for intentional acts of tenants. The defendant's breach of its duty of care caused Mrs. Beck's estate to suffer an uninsured loss as a result of the intentional act exclusion on her homeowner's policy.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reasonably foreseeable that if the defendant failed to advise Mrs. Beck of the gap in coverage under her homeowner's policy, and of the availability of substitute coverage without this gap, that any loss falling within the gap of coverage would not be covered and Mrs. Beck (or her estate) would suffer damages.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damages suffered by the plaintiff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represent the replacement value of the property (excluding contents), less the amount of the settlement with CNS. The amount of damages is $160,765.00.</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release given by the plaintiff to CNS does not afford a defence to the defendant. On the plain meaning of its words, the release does not cover the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now being advanced against the defendant for its failure to meet its independent duty of care owed to Mrs. Beck.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plaintiff is entitled to judgment in the amount of $160,765.00.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 plaintiff is also entitled to pre-judgment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 would also normally be entitled to costs. If the parties are unable to agree on the costs outcome and wish to address submissions to me on the issue, they can seek to obtain from the Registry a further hearing date before me, providing that they take steps in this regard within two months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 GRIFFIN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7" style="position:absolute;z-index:2518487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79"/>
          <w:headerReference w:type="default" r:id="rId880"/>
          <w:footerReference w:type="even" r:id="rId881"/>
          <w:footerReference w:type="default" r:id="rId882"/>
          <w:headerReference w:type="first" r:id="rId883"/>
          <w:footerReference w:type="first" r:id="rId88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85" w:history="1">
        <w:r>
          <w:rPr>
            <w:rFonts w:ascii="arial" w:eastAsia="arial" w:hAnsi="arial" w:cs="arial"/>
            <w:b/>
            <w:bCs/>
            <w:i/>
            <w:color w:val="0077CC"/>
            <w:kern w:val="32"/>
            <w:sz w:val="28"/>
            <w:szCs w:val="32"/>
            <w:u w:val="single"/>
            <w:shd w:val="clear" w:color="auto" w:fill="FFFFFF"/>
            <w:lang w:val="en-US" w:eastAsia="en-US" w:bidi="ar-SA"/>
          </w:rPr>
          <w:t>Bergen v. Guliker, [2014] B.C.J. No. 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J.E.D. Savage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25-29 and December 2-6,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6,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M100774, M101668, S101174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 C.C.L.T. (4th) 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62 M.V.R. (6th) 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237 A.C.W.S. (3d) 523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61 B.C.L.R. (5th) 139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Inna Bergen, Plaintiff, and Gerald Guliker, deceased, The Minister of Public Safety and Solicitor General of British Columbia, Her Majesty the Queen in right of Canada as represented by The Attorney General of Canada, Defendants, and Insurance Corporation of British Columbia, Third Party, and The Minister of Public Safety and Solicitor General of British Columbia, replaced and now known as the Minister of Justice and Attorney General of British Columbia, Further Third Parties And between Dmitriy Igans and Alla Kazavcinska, Plaintiffs, and Gerald Guliker and The Estate of Gerald Guliker, deceased, and The Attorney General of Canada and The Minister of Public Safety and Solicitor General for The Province of British Columbia on behalf of Her Majesty the Queen in Right of the Province of British Columbia, Defendants, and Insurance Corporation of British Columbia, Third Party And between Inna Bergen, Plaintiff, and Gerald Guliker, deceased, The Minister of Public Safety and Solicitor General of British Columbia, Her Majesty the Queen in right of Canada as represented by the Attorney General of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8"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2" w:name="Keywords_36"/>
      <w:bookmarkEnd w:id="262"/>
      <w:r>
        <w:rPr>
          <w:rFonts w:ascii="arial" w:eastAsia="arial" w:hAnsi="arial" w:cs="arial"/>
          <w:b/>
          <w:color w:val="000000"/>
          <w:sz w:val="20"/>
          <w:lang w:val="en-US" w:eastAsia="en-US" w:bidi="ar-SA"/>
        </w:rPr>
        <w:t xml:space="preserve">Professional responsibility — Regulated occupations — Dealings with customers or clients — Duty of care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Occupations — Police officers — Action by passengers for damages for injuries sustained in motor vehicle accident allowed — RCMP pursued suicidal man who fled from them — Man's vehicle crossed centre line and struck plaintiff's vehicle — RCMP owed duty of care to other users of roadway — RCMP knew man posed threat to others as he was suicidal and flight risk and therefore ought to have had known other users of roadway could be harmed — RCMP failed to conduct proper risk assessment — But for RCMP pursuit, collision would not have occurred — Liability apportioned 20 per cent to RCMP and 80 per cent to man.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Causation — Causal connection — Foreseeability and remoteness — Action by passengers for damages for injuries sustained in motor vehicle accident allowed — RCMP pursued suicidal man who fled from them — Man's vehicle crossed centre line and struck plaintiff's vehicle — RCMP owed duty of care to other users of roadway — RCMP knew man posed threat to others as he was suicidal and flight risk and therefore ought to have had known other users of roadway could be harmed — RCMP failed to conduct proper risk assessment — But for RCMP pursuit, collision would not have occurred — Liability apportioned 20 per cent to RCMP and 80 per cent to man.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Torts by the Crown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passengers for damages for injuries sustained in motor vehicle accident allowed — RCMP pursued suicidal man who fled from them — Man's vehicle crossed centre line and struck plaintiff's vehicle — RCMP owed duty of care to other users of roadway — RCMP knew man posed threat to others as he was suicidal and flight risk and therefore ought to have had known other users of roadway could be harmed — RCMP failed to conduct proper risk assessment — But for RCMP pursuit, collision would not have occurred — Liability apportioned 20 per cent to RCMP and 80 per cent to man.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Tortfeasors — Contribution between tortfeasors — Apportionment of liability — Action by passengers for damages for injuries sustained in motor vehicle accident allowed — RCMP pursued suicidal man who fled from them — Man's vehicle crossed centre line and struck plaintiff's vehicle — RCMP owed duty of care to other users of roadway — RCMP knew man posed threat to others as he was suicidal and flight risk and therefore ought to have had known other users of roadway could be harmed — RCMP failed to conduct proper risk assessment — But for RCMP pursuit, collision would not have occurred — Liability apportioned 20 per cent to RCMP and 80 per cent to man.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3" w:name="Case Summary_35"/>
            <w:bookmarkEnd w:id="26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passengers for damages for injuries sustained in a motor vehicle accident. The plaintiffs, Bergen, Ignas and Kazavcinska, were passengers in a motor vehicle driven by Bergan's husband. It was struck head on by a vehicle driven by Guliker. Guliker was travelling at a high rate of speed when the collision occurred and had crossed over the centre line. Both Guliker and Bergan's husband died at the scene of the accident. Prior to the collision the RCMP received information that Guliker was in breach of a restraining order against his ex-wife, was suicidal, and that he was a flight risk. When RCMP approached Guliker, he fled at a high rate of speed. The RCMP followed, at times reaching speeds in excess of 100 kph. The RCMP denied that they were in pursuit of Guliker. They alleged that they followed him at a distance and that their speeds did not exceed 100 kph, although GPS information indicated otherwise. The plaintiffs took the position that the RCMP owed a duty of care to other users of the roadway and that the decisions and the actions of the RCMP breached that duty of care and caused the collision. The defendants, the Minister of Justice, the Attorney General of British Columbia and the Attorney General of Canada, denied that Guliker was being pursued by the RCMP at the time of the collision and that the RCMP's actions in respect of Guliker were negligent. They argued that while the RCMP owed a general duty to protect the public, there was no private duty of care owed to members of the public. Alternatively, they argued if a duty of care existed, the decisions and actions of the RCMP met the required standard of care and, if they did not, their actions did not cause the collision.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4" w:name="Holdings of Court_35"/>
            <w:bookmarkEnd w:id="26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RCMP were negligent. The RCMP owed a duty of care to the plaintiffs as other users of the roadway. The RCMP knew that Guliker was suicidal and a flight risk. As a result, they should have had other users of the roadway in mind as potentially harmed by their actions taken in respect of Guliker. The RCMP pursued Guliker as they followed him at high rates of speed and attempted to close the distance. The RCMP failed to conduct a proper risk assessment before deciding to attempt to apprehend Guliker with a proper plan in place and after proceeding to apprehend Guliker and seeking him accelerate away.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RCMP was the cause of the collision as the collision would not have occurred but for the RCMP's pursuit of Guliker. As the RCMP possessed knowledge of the risk of Guliker, they were slightly more culpable than the police in other authorities. Liability was apportioned 80 per cent to the RCMP and 20 per cent to the police. No action lay against Canada. No action lay against Canada unless an action existed against a federal Crown servant personally. While RCMP officers were servants of the federal Crown, there was an agreement between British Columbia and Canada authorizing the RCMP to carry out the duties of a provincial police force and therefore the RCMP officers were deemed to be provincial police. Provincial constables could not be held personally liable for acting in the performance of their duties. Instead, the provincial Minister of Justice was liable. Consequently, the plaintiffs were entitled to judgment against the Minister of Justice and Attorney General of British Columbia.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5" w:name="Legislation Cited_26"/>
      <w:bookmarkEnd w:id="26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9"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Crown Liability and Proceedings Act, R.S.C. 1985, c. C-50, s. 3, s. 10, s.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Emergency Vehicle Driving regulation, B.C. Reg. 133/98, s. 1, s. 3, s.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595" w:history="1">
        <w:r>
          <w:rPr>
            <w:rFonts w:ascii="arial" w:eastAsia="arial" w:hAnsi="arial" w:cs="arial"/>
            <w:i/>
            <w:color w:val="0077CC"/>
            <w:sz w:val="20"/>
            <w:u w:val="single"/>
            <w:shd w:val="clear" w:color="auto" w:fill="FFFFFF"/>
            <w:lang w:val="en-US" w:eastAsia="en-US" w:bidi="ar-SA"/>
          </w:rPr>
          <w:t>RSBC 1996, CHAPTER 318, s. 122</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241" w:history="1">
        <w:r>
          <w:rPr>
            <w:rFonts w:ascii="arial" w:eastAsia="arial" w:hAnsi="arial" w:cs="arial"/>
            <w:i/>
            <w:color w:val="0077CC"/>
            <w:sz w:val="20"/>
            <w:u w:val="single"/>
            <w:shd w:val="clear" w:color="auto" w:fill="FFFFFF"/>
            <w:lang w:val="en-US" w:eastAsia="en-US" w:bidi="ar-SA"/>
          </w:rPr>
          <w:t>RSBC 1996, CHAPTER 333, s. 1</w:t>
        </w:r>
      </w:hyperlink>
      <w:r>
        <w:rPr>
          <w:rFonts w:ascii="arial" w:eastAsia="arial" w:hAnsi="arial" w:cs="arial"/>
          <w:color w:val="000000"/>
          <w:sz w:val="20"/>
          <w:lang w:val="en-US" w:eastAsia="en-US" w:bidi="ar-SA"/>
        </w:rPr>
        <w:t>, s.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Police Act, </w:t>
      </w:r>
      <w:hyperlink r:id="rId886" w:history="1">
        <w:r>
          <w:rPr>
            <w:rFonts w:ascii="arial" w:eastAsia="arial" w:hAnsi="arial" w:cs="arial"/>
            <w:i/>
            <w:color w:val="0077CC"/>
            <w:sz w:val="20"/>
            <w:u w:val="single"/>
            <w:shd w:val="clear" w:color="auto" w:fill="FFFFFF"/>
            <w:lang w:val="en-US" w:eastAsia="en-US" w:bidi="ar-SA"/>
          </w:rPr>
          <w:t>RSBC 1996, CHAPTER 367, s. 7(2)</w:t>
        </w:r>
      </w:hyperlink>
      <w:r>
        <w:rPr>
          <w:rFonts w:ascii="arial" w:eastAsia="arial" w:hAnsi="arial" w:cs="arial"/>
          <w:color w:val="000000"/>
          <w:sz w:val="20"/>
          <w:lang w:val="en-US" w:eastAsia="en-US" w:bidi="ar-SA"/>
        </w:rPr>
        <w:t>, s. 11, s. 14, s. 14(2), s.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Royal Canadian Mounted Police Act, </w:t>
      </w:r>
      <w:hyperlink r:id="rId887" w:history="1">
        <w:r>
          <w:rPr>
            <w:rFonts w:ascii="arial" w:eastAsia="arial" w:hAnsi="arial" w:cs="arial"/>
            <w:i/>
            <w:color w:val="0077CC"/>
            <w:sz w:val="20"/>
            <w:u w:val="single"/>
            <w:shd w:val="clear" w:color="auto" w:fill="FFFFFF"/>
            <w:lang w:val="en-US" w:eastAsia="en-US" w:bidi="ar-SA"/>
          </w:rPr>
          <w:t>R.S.C. 1985, c. R-10, s. 18</w:t>
        </w:r>
      </w:hyperlink>
      <w:hyperlink r:id="rId888" w:history="1">
        <w:r>
          <w:rPr>
            <w:rFonts w:ascii="arial" w:eastAsia="arial" w:hAnsi="arial" w:cs="arial"/>
            <w:i/>
            <w:color w:val="0077CC"/>
            <w:sz w:val="20"/>
            <w:u w:val="single"/>
            <w:shd w:val="clear" w:color="auto" w:fill="FFFFFF"/>
            <w:lang w:val="en-US" w:eastAsia="en-US" w:bidi="ar-SA"/>
          </w:rPr>
          <w:t>, s. 20</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6" w:name="Counsel_37"/>
      <w:bookmarkEnd w:id="26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0"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Inna Bergen: M.J. Slater QC and J.A. Pankiw-Petty.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plaintiffs, Dmitriy Igans and Alla Kazavcinska: W.M. Belanger.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The Minister of Public Safety and Solicitor General of British Columbia and Her Majesty the Queen in Right of Canada and Further Third Parties: D. Kwan, S. Eustace and E. Louie.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ICBC: D.C. Quinlan.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other appearances.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7" w:name="Judgment_37"/>
      <w:bookmarkEnd w:id="267"/>
      <w:r>
        <w:pict>
          <v:line id="_x0000_s1211" style="position:absolute;z-index:2518497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r>
        <w:rPr>
          <w:rFonts w:ascii="arial" w:eastAsia="arial" w:hAnsi="arial" w:cs="arial"/>
          <w:sz w:val="20"/>
          <w:lang w:val="en-US" w:eastAsia="en-US" w:bidi="ar-SA"/>
        </w:rPr>
        <w:cr/>
      </w:r>
    </w:p>
    <w:p>
      <w:pPr>
        <w:numPr>
          <w:numId w:val="2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 II. Disposition III. No Action Lies Against Canada IV. Background Facts and Evidentiary Issues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Credibility of the RCMP officers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on assessing credibility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speed of the RCMP vehicles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RCMP lose sight of Mr. Guliker after Bustin Road?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Why Constable Brand was the lead vehicle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Constable Brand's conversation with Wendy Guliker</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position of the vehicles</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content of the conversation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"BOLF" or "Be On the Lookout For"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Could Mr. Guliker flee across the fields?</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the Collision</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RCMP knowledge prior to chase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Information available to the RCMP as a whole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Actual knowledge of Constables Huff and Brand</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Constable Huff</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Constable Brand</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Shared knowledge</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RCMP plan for dealing with Mr. Guliker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initial plan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modified plan</w:t>
      </w:r>
    </w:p>
    <w:p>
      <w:pPr>
        <w:numPr>
          <w:numId w:val="1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RCMP Negligent?</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for </w:t>
      </w:r>
      <w:r>
        <w:rPr>
          <w:rFonts w:ascii="arial" w:eastAsia="arial" w:hAnsi="arial" w:cs="arial"/>
          <w:b/>
          <w:i/>
          <w:color w:val="000000"/>
          <w:sz w:val="20"/>
          <w:u w:val="single"/>
          <w:lang w:val="en-US" w:eastAsia="en-US" w:bidi="ar-SA"/>
        </w:rPr>
        <w:t>negligence</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Duty of care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Relevant statutes &amp; policies Police Duties at Common Law</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Principles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Police pursuit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Non-pursuit situations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Analysis - Does a duty of care exist in this case?</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Standard of care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(ii) Expert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(iii) Analysis - Did the RCMP breach the required standard of care?</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numPr>
          <w:numId w:val="2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Apportionment of Liability</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legal principles</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position of the parties</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Relevant jurisprudence</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Apportionment in this case</w:t>
      </w:r>
    </w:p>
    <w:p>
      <w:pPr>
        <w:numPr>
          <w:numId w:val="2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8" w:name="J.E.D. SAVAGE J."/>
            <w:bookmarkEnd w:id="268"/>
            <w:r>
              <w:rPr>
                <w:rFonts w:ascii="arial" w:eastAsia="arial" w:hAnsi="arial" w:cs="arial"/>
                <w:b/>
                <w:color w:val="000000"/>
                <w:sz w:val="30"/>
                <w:lang w:val="en-US" w:eastAsia="en-US" w:bidi="ar-SA"/>
              </w:rPr>
              <w:t>J.E.D. SAVAGE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These actions concern,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the decisions and actions of the Royal Canadian Mounted Police (the "RCMP") prior to a high speed collision at approximately 2:00 p.m. on August 10, 2008 on Ferry Island Road (also known as "Rosedale Ferry Road") near Agassiz, B.C. which resulted in two fatalities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Inna Bergen, was a passenger in a vehicle driven by her husband, Viktor Bergen. Also in that vehicle were the Bergen's three year old daughter, Emily, and their two house guests, Dmitriy Igans and Alla Kazavcinska, who are the other two plaintiffs in these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Bergen was driving a 2004 GMC Envoy at a low rate of speed westbound on Ferry Island Road when it was struck head on by a 2004 Pontiac Montana that was travelling eastbound at a high rate of speed and had crossed over the center line into the westbound lane. This vehicle was driven by Gerald Guliker.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Bergen and Mr. Guliker died at the scene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Prior to the Collision, it was known that Mr. Guliker was suicidal, had stated an intention to jump into traffic to kill himself, and was a flight risk. When the RCMP first approached Mr. Guliker, he was parked at a chicken farm on Bustin Road. On sighting the RCMP, Mr. Guliker fled north on Bustin Road at a high rate of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RCMP followed Mr. Guliker reaching speeds which at times were more than double the speed limit of 50 kilometres per hour ("kph"). The time from when Mr. Guliker saw the RCMP and fled to the Collision was approximately two minutes. The distance covered by the vehicles in that time was less than two kilometres. Whether this constituted a chase or pursuit is an issue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say that, in the circumstances, the RCMP owed a duty of care to other users of the roadway, such as Mr. Bergen and the passengers in his vehicle, and that the decisions and actions of the RCMP breached that duty of care and caused the Collision. As such, the plaintiffs submit that the RCMP are at least partly liable for the damages suffered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defendants, the Minister of Public Safety and Solicitor General of British Columbia, replaced and now known as the Minister of Justice and Attorney General of British Columbia, and the Attorney General of Canada, deny (1) that Mr. Guliker was being pursued or chased by the RCMP at the time of the Collision, and (2) that the RCMP's actions in respect of Mr. Guliker were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say that while the RCMP owes a general duty to protect the public, there was no private law duty of care owed to members of the public, such as the plaintiffs, prior to the alleged pursuit. The defendant agrees, however, that the RCMP does owe a duty of care to persons using the roadway when a pursuit is underway. That being said, the defendants argue that no pursuit occurred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If a duty of care does exist, the defendants say, in the alternative, that the decisions and actions of the RCMP met the required standard of care. In the further alternative, the defendants say that if the RCMP did breach the standard of care then their actions did not cause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Guliker's liability for the Collision is not disputed. The issue is whether the defendants are also liable for the Collision and the apportionment, if any, of liability between Mr. Guliker and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Insurance Corporation of British Columbia ("ICBC") is a third party to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II.</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Disposition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 have concluded that (1) the RCMP were negligent, (2)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cause of the Collision, and (3) liability should be apportioned 20% to the RCMP and 80% to Mr. Guliker.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u w:val="single"/>
                <w:lang w:val="en-US" w:eastAsia="en-US" w:bidi="ar-SA"/>
              </w:rPr>
              <w:t>III.</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u w:val="single"/>
                <w:lang w:val="en-US" w:eastAsia="en-US" w:bidi="ar-SA"/>
              </w:rPr>
              <w:t>No Action Lies against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u w:val="single"/>
                <w:lang w:val="en-US" w:eastAsia="en-US" w:bidi="ar-SA"/>
              </w:rPr>
              <w:t> </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u w:val="single"/>
                <w:lang w:val="en-US" w:eastAsia="en-US" w:bidi="ar-SA"/>
              </w:rPr>
              <w:t>Canada</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Before addressing the substance of this case, I will briefly dispose of an issue raised by the defendants. The defendants assert that I should dismiss the claim against Her Majesty the Queen in Right of Canada, as represented by the Attorney General of Canada. At trial the plaintiff conceded to the defendant's position on this issue.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RCMP officers are servants of the federal Crown and, generally, Canada is liable for any tort committed by a federal Crown servant: ss. 3, 36 of the </w:t>
      </w:r>
      <w:r>
        <w:rPr>
          <w:rFonts w:ascii="arial" w:eastAsia="arial" w:hAnsi="arial" w:cs="arial"/>
          <w:i/>
          <w:color w:val="000000"/>
          <w:sz w:val="20"/>
          <w:lang w:val="en-US" w:eastAsia="en-US" w:bidi="ar-SA"/>
        </w:rPr>
        <w:t>Crown Liability and Proceedings Act</w:t>
      </w:r>
      <w:r>
        <w:rPr>
          <w:rFonts w:ascii="arial" w:eastAsia="arial" w:hAnsi="arial" w:cs="arial"/>
          <w:color w:val="000000"/>
          <w:sz w:val="20"/>
          <w:lang w:val="en-US" w:eastAsia="en-US" w:bidi="ar-SA"/>
        </w:rPr>
        <w:t>, R.S.C. 1985, c. C-50 [</w:t>
      </w:r>
      <w:r>
        <w:rPr>
          <w:rFonts w:ascii="arial" w:eastAsia="arial" w:hAnsi="arial" w:cs="arial"/>
          <w:i/>
          <w:color w:val="000000"/>
          <w:sz w:val="20"/>
          <w:lang w:val="en-US" w:eastAsia="en-US" w:bidi="ar-SA"/>
        </w:rPr>
        <w:t>CLPA</w:t>
      </w:r>
      <w:r>
        <w:rPr>
          <w:rFonts w:ascii="arial" w:eastAsia="arial" w:hAnsi="arial" w:cs="arial"/>
          <w:color w:val="000000"/>
          <w:sz w:val="20"/>
          <w:lang w:val="en-US" w:eastAsia="en-US" w:bidi="ar-SA"/>
        </w:rPr>
        <w:t xml:space="preserve">]. However, no action lies against Canada unless an action exists against that federal Crown servant personally: s. 10 of </w:t>
      </w:r>
      <w:r>
        <w:rPr>
          <w:rFonts w:ascii="arial" w:eastAsia="arial" w:hAnsi="arial" w:cs="arial"/>
          <w:i/>
          <w:color w:val="000000"/>
          <w:sz w:val="20"/>
          <w:lang w:val="en-US" w:eastAsia="en-US" w:bidi="ar-SA"/>
        </w:rPr>
        <w:t>CLPA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There is an agreement between the Province of British Columbia and the government of Canada, pursuant to s. 14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xml:space="preserve"> and s. 20 of the </w:t>
      </w:r>
      <w:r>
        <w:rPr>
          <w:rFonts w:ascii="arial" w:eastAsia="arial" w:hAnsi="arial" w:cs="arial"/>
          <w:i/>
          <w:color w:val="000000"/>
          <w:sz w:val="20"/>
          <w:lang w:val="en-US" w:eastAsia="en-US" w:bidi="ar-SA"/>
        </w:rPr>
        <w:t>Royal Canadian Mounted Police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t>
      </w:r>
      <w:hyperlink r:id="rId889" w:history="1">
        <w:r>
          <w:rPr>
            <w:rFonts w:ascii="arial" w:eastAsia="arial" w:hAnsi="arial" w:cs="arial"/>
            <w:i/>
            <w:color w:val="0077CC"/>
            <w:sz w:val="20"/>
            <w:u w:val="single"/>
            <w:shd w:val="clear" w:color="auto" w:fill="FFFFFF"/>
            <w:lang w:val="en-US" w:eastAsia="en-US" w:bidi="ar-SA"/>
          </w:rPr>
          <w:t>R.S.C. 1985, c. R-10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RCMP Act</w:t>
      </w:r>
      <w:r>
        <w:rPr>
          <w:rFonts w:ascii="arial" w:eastAsia="arial" w:hAnsi="arial" w:cs="arial"/>
          <w:color w:val="000000"/>
          <w:sz w:val="20"/>
          <w:lang w:val="en-US" w:eastAsia="en-US" w:bidi="ar-SA"/>
        </w:rPr>
        <w:t xml:space="preserve">], authorizing the RCMP to carry out the duties of a provincial police force. By operation of this agreement the RCMP is deemed to be a provincial police force and every RCMP officer is deemed to be a provincial constable: s. 14(2)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 provincial constable cannot be held personally liable for acting in the performance of his or her duties and in the exercise of his or her powers as a provincial constable: s. 21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Rather, the provincial Minister of Public Safety (now the Minister of Justice) is liable for torts committed by provincial constables: s. 11 of the </w:t>
      </w:r>
      <w:r>
        <w:rPr>
          <w:rFonts w:ascii="arial" w:eastAsia="arial" w:hAnsi="arial" w:cs="arial"/>
          <w:i/>
          <w:color w:val="000000"/>
          <w:sz w:val="20"/>
          <w:lang w:val="en-US" w:eastAsia="en-US" w:bidi="ar-SA"/>
        </w:rPr>
        <w:t>Police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As no action lies against the RCMP officers personally when acting in their capacity as provincial constables, pursuant to s. 10 of the </w:t>
      </w:r>
      <w:r>
        <w:rPr>
          <w:rFonts w:ascii="arial" w:eastAsia="arial" w:hAnsi="arial" w:cs="arial"/>
          <w:i/>
          <w:color w:val="000000"/>
          <w:sz w:val="20"/>
          <w:lang w:val="en-US" w:eastAsia="en-US" w:bidi="ar-SA"/>
        </w:rPr>
        <w:t>CLPA</w:t>
      </w:r>
      <w:r>
        <w:rPr>
          <w:rFonts w:ascii="arial" w:eastAsia="arial" w:hAnsi="arial" w:cs="arial"/>
          <w:color w:val="000000"/>
          <w:sz w:val="20"/>
          <w:lang w:val="en-US" w:eastAsia="en-US" w:bidi="ar-SA"/>
        </w:rPr>
        <w:t xml:space="preserve"> there is no cause of action against Her Majesty in Right of Canada or the Attorney General of Canada: see </w:t>
      </w:r>
      <w:r>
        <w:rPr>
          <w:rFonts w:ascii="arial" w:eastAsia="arial" w:hAnsi="arial" w:cs="arial"/>
          <w:i/>
          <w:color w:val="000000"/>
          <w:sz w:val="20"/>
          <w:lang w:val="en-US" w:eastAsia="en-US" w:bidi="ar-SA"/>
        </w:rPr>
        <w:t>Roy v. British Columbia (Attorney General)</w:t>
      </w:r>
      <w:r>
        <w:rPr>
          <w:rFonts w:ascii="arial" w:eastAsia="arial" w:hAnsi="arial" w:cs="arial"/>
          <w:color w:val="000000"/>
          <w:sz w:val="20"/>
          <w:lang w:val="en-US" w:eastAsia="en-US" w:bidi="ar-SA"/>
        </w:rPr>
        <w:t xml:space="preserve">, </w:t>
      </w:r>
      <w:hyperlink r:id="rId890" w:history="1">
        <w:r>
          <w:rPr>
            <w:rFonts w:ascii="arial" w:eastAsia="arial" w:hAnsi="arial" w:cs="arial"/>
            <w:i/>
            <w:color w:val="0077CC"/>
            <w:sz w:val="20"/>
            <w:u w:val="single"/>
            <w:shd w:val="clear" w:color="auto" w:fill="FFFFFF"/>
            <w:lang w:val="en-US" w:eastAsia="en-US" w:bidi="ar-SA"/>
          </w:rPr>
          <w:t>2005 BCCA 88</w:t>
        </w:r>
      </w:hyperlink>
      <w:r>
        <w:rPr>
          <w:rFonts w:ascii="arial" w:eastAsia="arial" w:hAnsi="arial" w:cs="arial"/>
          <w:color w:val="000000"/>
          <w:sz w:val="20"/>
          <w:lang w:val="en-US" w:eastAsia="en-US" w:bidi="ar-SA"/>
        </w:rPr>
        <w:t xml:space="preserve"> at paras.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such, my findings regarding liability apply only to the Minister of Public Safety and Solicitor General of British Columbia, replaced and now known as the Minister of Justice and Attorney General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477"/>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IV.</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Background Facts and Evidentiary Issues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Credibility of the RCMP officers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plaintiffs and ICBC say that a major issue in the case is the credibility of the RCMP officers who testified concerning their actions before the Collision. Regrettably, the evidence compels me to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Constable Huff was the lead investigator in this matter. At the time of these events he had two years' experience in general policing. Following these events he was reassigned to Grise Fiord and recently Iqaluit, Nunavut. The other officer in question is Constable Brand.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are six specific areas of evidence given by these two RCMP officers where their credibility is of particular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First, I briefly outline the principles that guide me in assessing the credibility of these two officers.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law on assessing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gauging a witness' evidence, a court may,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consider the factors summarized by Thomson J. in </w:t>
      </w:r>
      <w:r>
        <w:rPr>
          <w:rFonts w:ascii="arial" w:eastAsia="arial" w:hAnsi="arial" w:cs="arial"/>
          <w:i/>
          <w:color w:val="000000"/>
          <w:sz w:val="20"/>
          <w:lang w:val="en-US" w:eastAsia="en-US" w:bidi="ar-SA"/>
        </w:rPr>
        <w:t>Unique Tool &amp; Gauge Inc. v. Impact Tool &amp; Mould Inc.</w:t>
      </w:r>
      <w:r>
        <w:rPr>
          <w:rFonts w:ascii="arial" w:eastAsia="arial" w:hAnsi="arial" w:cs="arial"/>
          <w:color w:val="000000"/>
          <w:sz w:val="20"/>
          <w:lang w:val="en-US" w:eastAsia="en-US" w:bidi="ar-SA"/>
        </w:rPr>
        <w:t xml:space="preserve">, </w:t>
      </w:r>
      <w:hyperlink r:id="rId891" w:history="1">
        <w:r>
          <w:rPr>
            <w:rFonts w:ascii="arial" w:eastAsia="arial" w:hAnsi="arial" w:cs="arial"/>
            <w:i/>
            <w:color w:val="0077CC"/>
            <w:sz w:val="20"/>
            <w:u w:val="single"/>
            <w:shd w:val="clear" w:color="auto" w:fill="FFFFFF"/>
            <w:lang w:val="en-US" w:eastAsia="en-US" w:bidi="ar-SA"/>
          </w:rPr>
          <w:t>[2002] O.J. No. 681</w:t>
        </w:r>
      </w:hyperlink>
      <w:r>
        <w:rPr>
          <w:rFonts w:ascii="arial" w:eastAsia="arial" w:hAnsi="arial" w:cs="arial"/>
          <w:color w:val="000000"/>
          <w:sz w:val="20"/>
          <w:lang w:val="en-US" w:eastAsia="en-US" w:bidi="ar-SA"/>
        </w:rPr>
        <w:t xml:space="preserve"> (S.C.J.) at para. 121: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[121] ... [The witness'] ability and opportunity to observe; his appearance and manner while testifying; his power of recollection; any interest, bias or prejudice he may have; any inconsistencies in his testimony and, the reasonableness of his testimony, when considered in the light of its harmony with the preponderance of the probabilities that the evidence was credible, believable and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Justice Thomson's credibility analysis was upheld on appeal: </w:t>
      </w:r>
      <w:r>
        <w:rPr>
          <w:rFonts w:ascii="arial" w:eastAsia="arial" w:hAnsi="arial" w:cs="arial"/>
          <w:i/>
          <w:color w:val="000000"/>
          <w:sz w:val="20"/>
          <w:lang w:val="en-US" w:eastAsia="en-US" w:bidi="ar-SA"/>
        </w:rPr>
        <w:t>Unique Tool &amp; Gauge Inc. v. Impact Tool &amp; Mould Inc.</w:t>
      </w:r>
      <w:r>
        <w:rPr>
          <w:rFonts w:ascii="arial" w:eastAsia="arial" w:hAnsi="arial" w:cs="arial"/>
          <w:color w:val="000000"/>
          <w:sz w:val="20"/>
          <w:lang w:val="en-US" w:eastAsia="en-US" w:bidi="ar-SA"/>
        </w:rPr>
        <w:t xml:space="preserve">, </w:t>
      </w:r>
      <w:hyperlink r:id="rId892" w:history="1">
        <w:r>
          <w:rPr>
            <w:rFonts w:ascii="arial" w:eastAsia="arial" w:hAnsi="arial" w:cs="arial"/>
            <w:i/>
            <w:color w:val="0077CC"/>
            <w:sz w:val="20"/>
            <w:u w:val="single"/>
            <w:shd w:val="clear" w:color="auto" w:fill="FFFFFF"/>
            <w:lang w:val="en-US" w:eastAsia="en-US" w:bidi="ar-SA"/>
          </w:rPr>
          <w:t>2003 CanLII 16539</w:t>
        </w:r>
      </w:hyperlink>
      <w:r>
        <w:rPr>
          <w:rFonts w:ascii="arial" w:eastAsia="arial" w:hAnsi="arial" w:cs="arial"/>
          <w:color w:val="000000"/>
          <w:sz w:val="20"/>
          <w:lang w:val="en-US" w:eastAsia="en-US" w:bidi="ar-SA"/>
        </w:rPr>
        <w:t xml:space="preserve"> (O.N.C.A)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 witness' interests are a relevant factor to consider in assessing credibility. However, as Rowles J.A. said in </w:t>
      </w:r>
      <w:r>
        <w:rPr>
          <w:rFonts w:ascii="arial" w:eastAsia="arial" w:hAnsi="arial" w:cs="arial"/>
          <w:i/>
          <w:color w:val="000000"/>
          <w:sz w:val="20"/>
          <w:lang w:val="en-US" w:eastAsia="en-US" w:bidi="ar-SA"/>
        </w:rPr>
        <w:t>R. v. R.W.B.</w:t>
      </w:r>
      <w:r>
        <w:rPr>
          <w:rFonts w:ascii="arial" w:eastAsia="arial" w:hAnsi="arial" w:cs="arial"/>
          <w:color w:val="000000"/>
          <w:sz w:val="20"/>
          <w:lang w:val="en-US" w:eastAsia="en-US" w:bidi="ar-SA"/>
        </w:rPr>
        <w:t xml:space="preserve">, </w:t>
      </w:r>
      <w:hyperlink r:id="rId893" w:history="1">
        <w:r>
          <w:rPr>
            <w:rFonts w:ascii="arial" w:eastAsia="arial" w:hAnsi="arial" w:cs="arial"/>
            <w:i/>
            <w:color w:val="0077CC"/>
            <w:sz w:val="20"/>
            <w:u w:val="single"/>
            <w:shd w:val="clear" w:color="auto" w:fill="FFFFFF"/>
            <w:lang w:val="en-US" w:eastAsia="en-US" w:bidi="ar-SA"/>
          </w:rPr>
          <w:t>24 B.C.A.C. 1</w:t>
        </w:r>
      </w:hyperlink>
      <w:r>
        <w:rPr>
          <w:rFonts w:ascii="arial" w:eastAsia="arial" w:hAnsi="arial" w:cs="arial"/>
          <w:color w:val="000000"/>
          <w:sz w:val="20"/>
          <w:lang w:val="en-US" w:eastAsia="en-US" w:bidi="ar-SA"/>
        </w:rPr>
        <w:t xml:space="preserve">, </w:t>
      </w:r>
      <w:hyperlink r:id="rId893" w:history="1">
        <w:r>
          <w:rPr>
            <w:rFonts w:ascii="arial" w:eastAsia="arial" w:hAnsi="arial" w:cs="arial"/>
            <w:i/>
            <w:color w:val="0077CC"/>
            <w:sz w:val="20"/>
            <w:u w:val="single"/>
            <w:shd w:val="clear" w:color="auto" w:fill="FFFFFF"/>
            <w:lang w:val="en-US" w:eastAsia="en-US" w:bidi="ar-SA"/>
          </w:rPr>
          <w:t>[1993] B.C.J. No. 758</w:t>
        </w:r>
      </w:hyperlink>
      <w:r>
        <w:rPr>
          <w:rFonts w:ascii="arial" w:eastAsia="arial" w:hAnsi="arial" w:cs="arial"/>
          <w:color w:val="000000"/>
          <w:sz w:val="20"/>
          <w:lang w:val="en-US" w:eastAsia="en-US" w:bidi="ar-SA"/>
        </w:rPr>
        <w:t xml:space="preserve">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 Whether a witness has a motive to lie is one factor which may be considered in assessing the credibility of a witness, but it is not the only factor to be considered. ... it is essential that the credibility and reliability of the [witness'] evidence be tested in the light of all of the other evidence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Ng v. Ng,</w:t>
      </w:r>
      <w:r>
        <w:rPr>
          <w:rFonts w:ascii="arial" w:eastAsia="arial" w:hAnsi="arial" w:cs="arial"/>
          <w:color w:val="000000"/>
          <w:sz w:val="20"/>
          <w:lang w:val="en-US" w:eastAsia="en-US" w:bidi="ar-SA"/>
        </w:rPr>
        <w:t xml:space="preserve"> </w:t>
      </w:r>
      <w:hyperlink r:id="rId894" w:history="1">
        <w:r>
          <w:rPr>
            <w:rFonts w:ascii="arial" w:eastAsia="arial" w:hAnsi="arial" w:cs="arial"/>
            <w:i/>
            <w:color w:val="0077CC"/>
            <w:sz w:val="20"/>
            <w:u w:val="single"/>
            <w:shd w:val="clear" w:color="auto" w:fill="FFFFFF"/>
            <w:lang w:val="en-US" w:eastAsia="en-US" w:bidi="ar-SA"/>
          </w:rPr>
          <w:t>2011 BCSC 192</w:t>
        </w:r>
      </w:hyperlink>
      <w:r>
        <w:rPr>
          <w:rFonts w:ascii="arial" w:eastAsia="arial" w:hAnsi="arial" w:cs="arial"/>
          <w:color w:val="000000"/>
          <w:sz w:val="20"/>
          <w:lang w:val="en-US" w:eastAsia="en-US" w:bidi="ar-SA"/>
        </w:rPr>
        <w:t>, Cullen J., as he was then, rejected the evidence of one witness as flawed because "it relies on the mechanism of coincidence, it includes improbable and elaborate explanations to explain away telling circumstances and, in connection with [certain evidence] it relies on a manufactured foundation" (para. 326).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Béland</w:t>
      </w:r>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[1987] 2 S.C.R. 398</w:t>
        </w:r>
      </w:hyperlink>
      <w:r>
        <w:rPr>
          <w:rFonts w:ascii="arial" w:eastAsia="arial" w:hAnsi="arial" w:cs="arial"/>
          <w:color w:val="000000"/>
          <w:sz w:val="20"/>
          <w:lang w:val="en-US" w:eastAsia="en-US" w:bidi="ar-SA"/>
        </w:rPr>
        <w:t>, McIntyre J., writing for the majority, said at 418-419: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the resolution of disputes in litigation, issues of credibility will be decided by human triers of fact, using their experience of human affairs and basing judgment upon their assessment of the witness and on consideration of how an individual's evidence fits into the general picture revealed on a consideration of the whole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(1951), </w:t>
      </w:r>
      <w:hyperlink r:id="rId93"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O'Halloran J.A. observed at 357: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interested witnesses, particularly in cases of conflict of evidence, cannot be gauged solely by the test of whether the personal demeanour of the particular witness carried conviction of the truth. The test must reasonably subject [the witness'] story to an examination of its consistency with the probabilities that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How does a trier of fact assess what evidence is in "harmony with the preponderance of the probabilities"? As Ryan J.A. recently stated in her concurring reasons in </w:t>
      </w:r>
      <w:r>
        <w:rPr>
          <w:rFonts w:ascii="arial" w:eastAsia="arial" w:hAnsi="arial" w:cs="arial"/>
          <w:i/>
          <w:color w:val="000000"/>
          <w:sz w:val="20"/>
          <w:lang w:val="en-US" w:eastAsia="en-US" w:bidi="ar-SA"/>
        </w:rPr>
        <w:t>R. v. Sue</w:t>
      </w:r>
      <w:r>
        <w:rPr>
          <w:rFonts w:ascii="arial" w:eastAsia="arial" w:hAnsi="arial" w:cs="arial"/>
          <w:color w:val="000000"/>
          <w:sz w:val="20"/>
          <w:lang w:val="en-US" w:eastAsia="en-US" w:bidi="ar-SA"/>
        </w:rPr>
        <w:t xml:space="preserve">, </w:t>
      </w:r>
      <w:hyperlink r:id="rId896" w:history="1">
        <w:r>
          <w:rPr>
            <w:rFonts w:ascii="arial" w:eastAsia="arial" w:hAnsi="arial" w:cs="arial"/>
            <w:i/>
            <w:color w:val="0077CC"/>
            <w:sz w:val="20"/>
            <w:u w:val="single"/>
            <w:shd w:val="clear" w:color="auto" w:fill="FFFFFF"/>
            <w:lang w:val="en-US" w:eastAsia="en-US" w:bidi="ar-SA"/>
          </w:rPr>
          <w:t>2011 BCCA 91</w:t>
        </w:r>
      </w:hyperlink>
      <w:r>
        <w:rPr>
          <w:rFonts w:ascii="arial" w:eastAsia="arial" w:hAnsi="arial" w:cs="arial"/>
          <w:color w:val="000000"/>
          <w:sz w:val="20"/>
          <w:lang w:val="en-US" w:eastAsia="en-US" w:bidi="ar-SA"/>
        </w:rPr>
        <w:t xml:space="preserve"> at para. 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[47] Doubtless, a skilled liar or a good actor can easily feign sincerity. But it is also the case that most people of average intelligence can tailor a story to fit the circumstances if they put their minds to it. Thus, a trier of fact will test a story for both its logic and, with the appropriate cautions, the manner in which it was told.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5"/>
        <w:gridCol w:w="2398"/>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(i)</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The speed of the RCMP vehicles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 critical part of the RCMP officers' evidence concerned the speed at which they drove when they followed Mr. Guliker.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evidence is that the RCMP officers first observed Mr. Guliker's vehicle while travelling north on Bustin Road. They then "followed", to use a neutral term, Mr. Guliker's vehicle north on Bustin Road to where it intersects with Ferry Road. Mr. Guliker's vehicle turned right, or east, onto Ferry Road and then left, or north, onto Ferry Island Road where the Collision occurred. The RCMP officers took the same route.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While following Mr. Guliker and up until the Collision, both Constables Huff and Brand participated in a radio conversation with dispatch. During this time, the highest speed the RCMP officers reported was 60 kph along Ferry Road. Constables Huff and Brand both stated over the radio that they were not in pursuit of Mr. Guliker. Constable Huff said they were "just following from a distance".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GPS evidence indicates that Constable Huff's vehicle, which was following Constable Brand's vehicle, exceeded speeds of 100 kph. On Bustin Road, Constable Huff is recorded as going 44 kph at 13:54:11, 70 kph at 13:54:25, 97 kph at 13:54:35, 91 kph at 13:54:44, and 67 kph at 13:54:54, just before the intersection of Bustin Road and Ferry Road. On Ferry Road the GPS logs record Constable Huff's speed as 113 kph at 13:55:09. On Ferry Island Road his speed is recorded as 78 kph at 13:55:23 and as 101 kph at 13:55:31.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GPS evidence indicates that Constable Brand's vehicle, which was leading, exceeded speeds of 100 kph too. On Bustin Road, Constable Brand is recorded as going 58 kph at 13:54:14, 78 kph at 13:54:29, 88 kph at 13:54:38, 88 kph at 13:54:47 and 27 kph at 13:54:56, right at the intersection of Bustin Road and Ferry Road. On Ferry Road the GPS logs record Constable Brand's speed as 103 kph at 13:55:10. On Ferry Island Road his speed is recorded as 92 kph at 13:55:24 and as 94 kph at 13:55:33.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There was no issue taken with the speeds recorded by the GPS logs maintained by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 significant element in determining the credibility of the RCMP officers' testimony is the version of the events they gave during the IHIT investigation, the day after the Collision. This evidence was given before the officers became aware of the speeds recorded for their vehicles by the GPS logs. The officers maintained that what they told the IHIT investigators was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Constable Huff was cross-examined regarding his reporting of speeds. Part of that cross-examination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you have been questioned on speed. And we've got the GPS at tab 9 of Exhibit 1, the red one. If you look at tab 9, that first -- you are UF1B09;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Okay. So we see that at 13:54:25 you're going 70 kilometres per hour and 10 seconds later at 13:54:35 you've accelerated to 97 kilometres per hour?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say you never looked at your speed limit?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While your speeds speak for themselves, you say that you were losing ground to Mr. Guliker?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where is it you say you had reached when he made the right-hand turn at Ferry Road and went out of your view?</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can't say for certain, but somewhere between half and three-quarters of the roadway.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Where are you starting your -- where's half?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 could use the GPS here from 70 to 90 we start losing him, and 97 to 91 [sic] is most likely where I would have lost him in that area.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somewhere in there you lose him?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are further away from him, you say, when you lose visual of him than you were when you first saw him?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were questioned by IHIT the day after this incident?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I could ask you to turn to page 11?</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see two-thirds of the way down Constable Sangara says: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fair enough. How far were you from him when he starts to go?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Oh, I'd say a couple hundred metres.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That seems correct to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go over to page 12. The middle of the page Constable Sangara says: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once you started to go.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M'mm-hmm.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recall what your speeds were then.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don't believe so. I know that I [indiscernible] behind Constable Brand. He just -- he was consistent with his speed, because like you said, he didn't want to push him. And now at that point I don't remember what our speeds were. I don't know what our speeds were coming up either.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That's what you told IHIT?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if you go over to page 13, just about the middle of the page -- well it starts just above: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Um, I lost sight of him right after he makes the little left-hand turn on Ferry Road. There's a road and there's gravel.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M'mm-hmm.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gravel just continues on, but after he made that little turn I didn't see him after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far ahead was he from you at that point?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Pretty far. Um, I'd say probably 100 metres. 150. Like at no point did we even get close enough that I felt where if I didn't know his licence plate I wouldn't have been able to read it because it was really that far back kind of so.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That's what you told IHIT?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in fact according to this statement you were closer to Mr. Guliker when he turned the corner at Ferry Road than you were when you first saw him?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According to this statement, 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this statement was a day after the event?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we know then from the GPS that when you turned the corner on to Ferry Road you were accelerating up to 113?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tell dispatch that your speed was 60?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as we know, 60 was just a number on the way through to 113?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you go back to the page 3 of the IHIT statement about 12 lines up from the bottom it says: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So I update Chilliwack. I said, you know we're not in pursuit, our speeds are 60, he's flying. He's going through the stop sign on Ferry Road going -- he's heading down Ferry. We continue on still no lights and sirens.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That's what you told IHIT?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if you go over to page 10, third line down from the top?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Yeah, he's going on Ferry Road. Just blew the stop sign kind of thing. Our speeds are 60. Still not pursuing. At no point did we ever have our lights or sirens on kind of 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what you told IHIT?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Constable, was there a reason you didn't want IHIT to know the speeds that you and Constable Brand had reached?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Just didn't come to your mind to tell them the actual speeds that you were going?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The only speed I made a note of was when we were doing 60.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reason you didn't tell IHIT about the other speeds is you say they didn't ask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(Cross-examination of Cst. Huff by Mr. Quinlan, Trial Transcript for Nov. 29, 2013, page 53, line 46 to page 56, line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At his examination for discovery ("XFD"), Constable Huff testified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when you subsequently gave your statements to the investigating officers, did you advise them of any speed other than 60 kilometres per hour?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not sure of actual numbers, but I advised that he was gaining great lengths on us; we couldn't keep up to him.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my question was directed to your speed. Did you advise or indicate in any of the statements you gave that your speed at any point in time was more than 60 kilometres per hour?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don't believe so.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why not?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never brought up.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(XFD of Cst. Huff by Mr. Quinlan, Oct. 15, 2013, Qs. 725-727)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Constable Brand drove the lead vehicle north on Bustin Road following Mr. Guliker's vehicle along the route I have described above. Constable Brand was cross-examined concerning his IHIT statement where he said of Constable Huff, "he accurately relayed our speed at 60 kilometers an hour. Again due to road conditions and unfamiliarity, didn't feel it prudent to exceed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Four days after the Collision on August 14, 2008, the RCMP created a video re-enactment of the route taken by the RCMP officers when following Mr. Guliker. Constable Brand narrates the video. In his narration, Constable Brand only notes speeds of 30 kph and 60 kph in describing their following of Mr. Guliker. Both officers appeared to still be unaware of the GPS recorded speeds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parties introduced and used several charts and aerial photographs in their evidence. These charts and photographs show the roadways along which the events unfolded in this case. It was not suggested that the charts and photographs are in anyway inaccurate in their depiction of these roadways.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right hand turn from Bustin Road to Ferry Road appears to be approximately 120 degrees. The left hand turn from Ferry Road to Ferry Island Road appears to be approximately 85 degrees. It is a logical inference that both Mr. Guliker's and the RCMP vehicles would have had to slow significantly to navigate these intersections.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my opinion, the best evidence of the events on Bustin Road, Ferry Road, and Ferry Island Road, are the GPS logs and the physical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Although the officers denied they were in pursuit, this denial was in part based on a technical police meaning of the word which requires that "all police vehicle emergency equipment must be deployed" (RCMP Operational Manual, 5.4 Emergency Vehicle Operations (Pursuits), s. 2.6). In this case the evidence is that the emergency equipment was not deployed by either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That said, it is clear that the police vehicles followed Mr. Guliker's vehicle at very high rates of speed, at times in excess of 100 kph, in an area with a 50 kph speed limit. The officers accepted that the GPS logs recorded their speeds accurately, although they suggested they were unaware of the precise speeds at the time. Given the route taken and the speeds achieved at various parts of that route, it is clear that in following Mr. Guliker's vehicle they had to accelerate quickly in places and decelerate quickly for the required turns.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It is also apparent that the officers did not merely follow Mr. Guliker. They were closing the distance. According to Constable Huff's statement to the IHIT on August 11, 2008 when he first saw the Guliker vehicle on Bustin Road, it was a couple of hundred metres ahead of them. When he last saw the Guliker vehicle it was 100-150 metres ahead. Yet neither Constable Huff nor Constable Brand advised IHIT that they went in excess of 60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Given these omissions I find it more probable than not that Constable Huff underestimated the amount by which the distance was closing, and Constables Huff and Brand were mistaken in many of their recollections regarding these events. Although the officers claimed they lost sight of Mr. Guliker's vehicle, they both correctly turned left to follow him on Ferry Island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find the evidence establishes that the RCMP officers closed the distance between their vehicles and Mr. Guliker's vehicle while driving along Bustin Road with Mr. Guliker's vehicle in sight. This fact, along with the physical evidence of the roadways and the GPS recorded speeds of the RCMP officers along the route taken, leads me to conclude that Mr. Guliker was pursued by the RCMP, within the ordinary meaning of the word "pursue".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5"/>
        <w:gridCol w:w="2398"/>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(ii)</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Did the RCMP lose sight of Mr. Guliker after Bustin Road?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Both RCMP officers testified that after Mr. Guliker's vehicle turned right onto Ferry Road they lost sight of it, and did not regain visual contact with it until they saw it in a ditch following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other words, the RCMP claim that they did not see Mr. Guliker's vehicle when they travelled the roughly 375 m along Ferry Road before turning left onto Ferry Island Road. From reviewing the video re-enactment, this appears to be a straight section of road with unobstructed visibility of the entire stretch.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my opinion, the evidence supports a conclusion contrary to the testimony of both RCMP officers. The officers were able to correctly determine that Mr. Guliker turned left onto Ferry Island Road. In my opinion it is more probable than not that the RCMP officers had visual contact with Mr. Guliker's vehicle along Ferry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Constable Huff's IHIT statement, on which he is cross-examined at trial in the excerpt I reproduced in the previous section, he states "I lost sight of [Mr. Guliker] right after he makes the little left-hand turn on Ferry Road. There's a road and there's gravel". Based on the evidence Constable Huff is describing the intersection of Ferry Road and Ferry Island Road here, not the intersection of Bustin Road and Ferry Road. I say this for two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First, Constable Huff describes it is a "left-hand turn", whereas Mr. Guliker made a right-hand turn at the intersection of Bustin Road and Ferry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Second, he says that there is "a road and there's gravel". The RCMP video re-enactment shows that at the intersection of Ferry Road and Ferry Island Road you can either follow the roadway to the left or carry straight on, but the roadway changes from tarmac to gravel if you carry straight on. This is not the case at the intersection of Bustin Road and Ferry Road, which is a straightforward t-intersection with the option of turning either left or right but onto a tarmac road in both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Alongside these statements of Constable Huff, the physical evidence of the roadways travelled in this case offers further evidence of whether the RCMP's assertion that they did not see Mr. Guliker's vehicle along Ferry Road is credible. I have already found that the RCMP closed the distance from about 200-250 m when they first sighted Mr. Guliker's vehicle and he fled to just 100-150 m when they testified that they last saw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If this 150 m gap was at the point that Mr. Guliker made a right hand turn from Bustin Road onto Ferry Road, then Mr. Guliker would have had to cover the roughly 375 m before turning left onto Ferry Island Road before the RCMP covered the remaining 150 m along Bustin Road and turned right onto Ferry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have already detailed the speeds that the RCMP vehicles were recorded as travelling along Bustin Road. For Mr. Guliker to have travelled more than 350 m along Ferry Road in a shorter time than the RCMP travelled just 150 m along Bustin Road, Mr. Guliker would have had to travel at a very significant speed indeed.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find it more probable than not that the RCMP did have visual contact with Mr. Guliker's vehicle after it turned right from Bustin Road onto Ferry Road. It is more probable than not that the RCMP had sight of Mr. Guliker's vehicle as it turned left from Ferry Road onto Ferry Island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5"/>
        <w:gridCol w:w="2398"/>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(iii)</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Why Constable Brand was the lead vehicle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When Constables Huff and Brand determined to proceed down Bustin Road and approach Mr. Guliker, Constable Brand drove the lead vehicle. At trial Constable Brand testified that the logic behind him leading, even though Constable Huff was the lead investigator, was that he had some familiarity with Mr. Guliker. Specifically, he had had contact with Mr. Guliker two days earlier on August 8, 2010. The officers testified that they thought this might prove to be useful upon any interaction with Mr. Guliker.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Constable Brand was then referred to his testimony on XFD where he stated that there was no logic to him being the first vehicle to proceed down Bustin Road. On XFD, Constable Brand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 know, as you told Ms. Wishart, that you took the primary position as between you and constable Huff in terms of the position of your vehicle,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Why did you take the primary position with him following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There's really no logic to that decision. It was, um, a roadside conversation I had with Constable Huff and it boiled down to do you want to go first or do you want me to go first, and I replied I'll go first.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you've told us he was the primary investigator on this incident involving Mr. Guliker,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say that he was the person responsible for coming up with the strategy that was discussed at the Chilliwack Inn?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certainly had more information about the circumstances of the incident involving Mr. Guliker than you did?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yet you volunteered to be the lead vehicle as you went down Bustin Road to approach Mr. Guliker?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is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(XFD of Cst. Brand by Mr. Quinlan, March 28, 2013, Qs. 84-89)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When confronted with this discovery evidence at trial, Constable Brand accepted that the discovery evidence is true. Constable Brand's evidence at trial is at best a convenient reconstruction.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5"/>
        <w:gridCol w:w="2398"/>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(iv)</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Constable Brand's conversation with Wendy Guliker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Constable Brand testified about a conversation that he had with Wendy Guliker a few minutes before the events giving rise to the Collision. Both Wendy Guliker and her daughter, Amanda Redekop, also testified about this conversation. By all accounts the three of them were at or near the intersection of Bustin Road and Old Yale Road in their respective vehicles when this conversation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2614"/>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A.</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The position of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 </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vehicles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Early in the trial both Wendy Guliker and Ms. Redekop testified that Constable Brand had pulled up on the passenger side of their vehicle. Both vehicles were facing north at the intersection. Their windows were rolled down and a conversation ensued between Wendy Guliker and Constable Brand. As Ms. Redekop was seated in the passenger seat next to Wendy Guliker, the conversation between Wendy Guliker and Constable Brand took place with Ms. Redekop in the middle.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Constable Brand testified that while he spoke to Wendy Guliker, he did so speaking driver to driver with nothing in between them. That is, Wendy Guliker's vehicle was facing in the opposite direction to Constable Brand's vehicle. Constable Brand was cross-examined on this point and was insistent on his recollection of the placement of the vehicles. Constable Brand testified that he was uncertain of the passenger's age, who she was, or whether she overheard the conversation between himself and Wendy Guliker. His version of the conversation was at odds with that of Wendy Guliker.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After confirming his evidence regarding the placement of his and Wendy Guliker's vehicles in cross-examination, Constable Brand was confronted with his statement made to IHIT shortly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the IHIT statement Constable Brand says that Ms. Redekop was in Wendy Guliker's vehicle, that he pulled up alongside the passenger side of Wendy Guliker's vehicle, and that the conversation ensued with both Wendy Guliker and her daughter speaking, at times over each other. In short, according to this evidence the conversation was not face to face between Constable Brand and Wendy Guliker, but rather they spoke to each other with Ms. Redekop in between. Constable Brand initially testified that the IHIT statement was true and that he reviewed it prior to giving testimony. Constable Brand then said that he did not review all of the statement before giving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accept the evidence of Wendy Guliker and Amanda Redekop regarding the positioning of the vehicles for this conversation. This is consistent with Constable Brand's IHIT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Redekop was thus in a very good position to hear the conversation between Constable Brand and Wendy Guliker.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2614"/>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B.</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The content of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 </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conversation</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There is significant disagreement between Constable Brand, and Wendy Guliker and Ms. Redekop concerning some of the contents of that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According to Wendy Guliker and Ms. Redekop, Wendy Guliker told Constable Brand that if Mr. Guliker saw the police vehicles he would run. The major dispute concerns Constable Brand's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According to both Wendy Guliker and Ms. Redekop, Constable Brand said that "... if he runs, we'll chase him ...". Ms. Redekop, who was 17 at the time, testified in cross-examination that she had a clear recollection of what was said. Wendy Guliker also testified that Constable Brand made the same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Constable Brand testified that he did not say "if he runs, we'll chase him" or any other words to that effect. It was not the kind of thing he would 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importance of this statement concerns the events that transpired thereafter. The plaintiffs say that on any reasonable interpretation of the facts, Mr. Guliker fled upon seeing the police and the RCMP officers chased him. In other words, what actually unfolded was exactly as Constable Brand stated would happen a few minutes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On this point, I accept the evidence of Wendy Guliker and Ms. Redekop regarding whether Constable Brand made this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5"/>
        <w:gridCol w:w="2398"/>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(v)</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The "BOLF" or "</w:t>
            </w:r>
            <w:r>
              <w:rPr>
                <w:rFonts w:ascii="arial" w:eastAsia="arial" w:hAnsi="arial" w:cs="arial"/>
                <w:b/>
                <w:i/>
                <w:color w:val="000000"/>
                <w:sz w:val="18"/>
                <w:u w:val="single"/>
                <w:lang w:val="en-US" w:eastAsia="en-US" w:bidi="ar-SA"/>
              </w:rPr>
              <w:t>B</w:t>
            </w:r>
            <w:r>
              <w:rPr>
                <w:rFonts w:ascii="arial" w:eastAsia="arial" w:hAnsi="arial" w:cs="arial"/>
                <w:b/>
                <w:i/>
                <w:color w:val="000000"/>
                <w:sz w:val="18"/>
                <w:lang w:val="en-US" w:eastAsia="en-US" w:bidi="ar-SA"/>
              </w:rPr>
              <w:t xml:space="preserve">e </w:t>
            </w:r>
            <w:r>
              <w:rPr>
                <w:rFonts w:ascii="arial" w:eastAsia="arial" w:hAnsi="arial" w:cs="arial"/>
                <w:b/>
                <w:i/>
                <w:color w:val="000000"/>
                <w:sz w:val="18"/>
                <w:u w:val="single"/>
                <w:lang w:val="en-US" w:eastAsia="en-US" w:bidi="ar-SA"/>
              </w:rPr>
              <w:t>O</w:t>
            </w:r>
            <w:r>
              <w:rPr>
                <w:rFonts w:ascii="arial" w:eastAsia="arial" w:hAnsi="arial" w:cs="arial"/>
                <w:b/>
                <w:i/>
                <w:color w:val="000000"/>
                <w:sz w:val="18"/>
                <w:lang w:val="en-US" w:eastAsia="en-US" w:bidi="ar-SA"/>
              </w:rPr>
              <w:t xml:space="preserve">n the </w:t>
            </w:r>
            <w:r>
              <w:rPr>
                <w:rFonts w:ascii="arial" w:eastAsia="arial" w:hAnsi="arial" w:cs="arial"/>
                <w:b/>
                <w:i/>
                <w:color w:val="000000"/>
                <w:sz w:val="18"/>
                <w:u w:val="single"/>
                <w:lang w:val="en-US" w:eastAsia="en-US" w:bidi="ar-SA"/>
              </w:rPr>
              <w:t>L</w:t>
            </w:r>
            <w:r>
              <w:rPr>
                <w:rFonts w:ascii="arial" w:eastAsia="arial" w:hAnsi="arial" w:cs="arial"/>
                <w:b/>
                <w:i/>
                <w:color w:val="000000"/>
                <w:sz w:val="18"/>
                <w:lang w:val="en-US" w:eastAsia="en-US" w:bidi="ar-SA"/>
              </w:rPr>
              <w:t xml:space="preserve">ookout </w:t>
            </w:r>
            <w:r>
              <w:rPr>
                <w:rFonts w:ascii="arial" w:eastAsia="arial" w:hAnsi="arial" w:cs="arial"/>
                <w:b/>
                <w:i/>
                <w:color w:val="000000"/>
                <w:sz w:val="18"/>
                <w:u w:val="single"/>
                <w:lang w:val="en-US" w:eastAsia="en-US" w:bidi="ar-SA"/>
              </w:rPr>
              <w:t>F</w:t>
            </w:r>
            <w:r>
              <w:rPr>
                <w:rFonts w:ascii="arial" w:eastAsia="arial" w:hAnsi="arial" w:cs="arial"/>
                <w:b/>
                <w:i/>
                <w:color w:val="000000"/>
                <w:sz w:val="18"/>
                <w:lang w:val="en-US" w:eastAsia="en-US" w:bidi="ar-SA"/>
              </w:rPr>
              <w:t>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RCMP officers who testified described a "BOLF" as a message sent to other officers to "be on the lookout for" a certain person or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evidence establishes that at 13:21 Constable Huff reviewed and approved a BOLF regarding Mr. Guliker. The BOLF message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Please BOLF Suicidal male, BCL FFL710, Whi 04, Pontiac Montana, RO Gerald GULIKER, who is arrestable for Breach, states he is going to jump into traffic to avoid being arrested. Last known Hwy 1 EB Annis.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At his XFD, Constable Brand denied knowing whether he received the BOLF. He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were asked this morning by Ms. Wishart as to do you recall Constable Huff sending out a BOLF, which is a be on the lookout for message?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message apparently read,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"Please BOLF suicidal male, BCL, FFL 710, WHI, '04 Pontiac Montana, RO, Gerald Guliker, who is arrestable for breach. States he is going to jump into traffic to avoid being arrested. Last known, highway eastbound, Annis."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that message was apparently sent out at 13:21. I've got a couple of questions about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You appreciate I was reading that from page seven of Defendant's Document 1.144 is the IHIT investigation,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haven't seen this document before.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Prior to today and any circumstance you review the IHIT investigation into the circumstances of these deaths?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In any event, you see where I was reading from on page seven,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apparently that message was sent out at 13:21 --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by Constable Huff? Do you see that's what's written here in the IHIT report?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the message was perhaps sent out at the request of Constable Huff, it's done through our dispatch. Um, they'd send it to all vehicles.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And how would that message have been sent out? Was this one of the ones that would appear on your mobile terminal?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have no recollection of receiving this message on your mobile terminal as it's quoted on page seven in this report?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don't.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obviously if that message was sent out at 13:21 it's one that would have been sent out before you commence your trip down Bustin Road?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Mr. Kwan, I haven't been able to locate in the documents the actual message itself. So I leave as a request that that be produced, please.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(ADDITIONAL INFORMATION REQUESTED)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 as you start down Bustin Road you're not aware that your supervisor -- or the primary investigator who is immediately behind you has some 20 minutes earlier sent out a BOLF message indicating someone is suicidal and that he's going to jump into traffic to avoid being arrested?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we already knew that he was suicidal, that was the reason for our attendance.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wasn't quite my question. Do you have any recollection -- I think you've already told me you have no recollection of seeing this message as it's set out on page seven of this report indicating both that Mr. Guliker was suicidal, that he was arrestable for breach, but that he had also stated that he was going to jump into traffic to avoid being arrested?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recollect receiving that message.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at least if it was, and according to this report it was sent out by Constable Huff who was the primary investigator on this file?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more likely that it was sent out by our dispatchers at the request of Constable Huff.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Well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yes, it would have been sent out. Who received it I can't say where, how far or how expansive the message was sent.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 me put it this way; as you start down your trip on Bustin Road, you're not aware that Constable Huff has information in his mind where he knows that Mr. Guliker has indicated he's going to jump into traffic to avoid being arrested?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fair, 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(XFD of Cst. Brand by Mr. Quinlan, March 28, 2013, Q. 279-292)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if the meeting at the Chilliwack Motor Inn occurred at 13.40 you have no recollection whatsoever of Constable Huff conveying to the other four of you that he has information indicating Mr. Guliker states he's going to jump into traffic to avoid being arrested?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recall getting that information.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that's probably something you would recall, wouldn't you? That's a pretty serious statement?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so.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(XFD of Cst. Brand by Mr. Quinlan, March 28, 2013, Q. 298-299)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At trial Constable Brand testified that his XFD evidence was in error and that he now remembered receiving the BOLF. Constable Brand said that following the XFD he reviewed both the XFD transcript and his Occurrence Report. The Occurrence Report made specific mention of the BOLF. He could not recall exactly when he reviewed these documents and when his recollection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At his XFD, however, Constable Brand testified that he had reviewed the same Occurrence Report which made mention of the BOLF beforehand: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review any documents before you came here today to review your evidence?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documents do you recall reviewing?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Police officer notes, my prime occurrence report. The GPS, um printout revealing patrol speed. That's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(XFD of Cst. Brand by Ms. Wishart, March 28, 2013, Q.247-248)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At trial Constable Brand denied that if he had known Mr. Guliker was going to flee after he saw a police vehicle, he would have acted differently. On cross-examination he was confronted with the following evidence from his XFD: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Had you been made privy to the information that Mr. Guliker was a flight risk if he saw approaching police vehicles, would you have dealt with the situation any differently than you did as you start your trip down Bustin Road?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Had we been made aware of that and had Mr. Guliker made it very clear that that's what was going to transpire then that would have been taken into our strategic considerations on the evolving situation and likely something different would have been utilized.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are you able to give me what differently might have been done had you been made privy to that information?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Um, that call likely would have been left up to the duty NCO or an officer to make. Um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that Sergeant Dixon?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Likely would have been his call. It could have been the corporal on the watch, may have been his call as well. Um, regardless of what Mr. Guliker had voiced, if his intention was to flee from police at some point we still have to go and interact with him.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Fair enough. But it would have been an additional piece of information that would have been helpful to know?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Definitely would have been used in our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considerations.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(XFD of Cst. Brand by Mr. Quinlan, March 28, 2013, Q 266-269)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find Constable Brand's evidence regarding the BOLF to be troubling. The BOLF is an important piece of evidence about the information that the RCMP had regarding Mr. Guliker and which informed their subsequent actions. It was also reviewed and approved by Constable Huff, the lead investigator in relation to Mr. Guliker and the RCMP officer that followed Constable Brand down Bustin Road to approach Mr. Guliker.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BOLF clearly states that Mr. Guliker is a flight risk or, more specifically, that he will "jump into traffic to avoid being arrested". It is also undisputed that Constable Brand received the BOLF on the mobile data terminal in his vehicle. In his Occurrence Report, Constable Brand stated that he reviewed the BOLF. He also admitted as much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Yet at his XFD Constable Brand was adamant that he had no knowledge that Mr. Guliker was a flight risk despite acknowledging that it would have been a useful piece of information. Constable Brand stated that he did not recall this information from the BOLF and it was not conveyed to him at any other point by Constable Huff.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On all the evidence that is before me, this is simply not credible. I reject Constable Brand's evidence on this point and accept the evidence described above that indicates Constable Brand was aware of the information conveyed in the BOLF, including that Mr. Guliker was a flight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5"/>
        <w:gridCol w:w="2398"/>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(vi)</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Could Mr. Guliker flee across the fields?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One of the defendant's theories was that it was impossible to contain Mr. Guliker at the chicken farm where he was parked.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defendants assert this because the fields flanking Bustin Road, in places at least, were open to and nearly flat with Bustin Road. As such, they argue that Mr. Guliker could have fled through the fields in his vehicle. In other words, the roadways did not provide his only avenue of escape.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At trial Constable Brand adopted his assertion on XFD that the only way to contain Mr. Guliker would have been to have hundreds of police vehicles parked bumper to bumper all the way down Bustin Road. On XFD Constable Brand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But you say that once he rounds the corner and gets out of sight from you, he would have been free from any pressure that perhaps might be applied by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was free from pressure from the minute he got in his car and took off.</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see. Why was there not an officer stationed at the junction of Bustin Road and Ferry Road prior to you commencing your trip down Bustin Road?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put an officer at an intersection in harm's way in such a manner is just reckless.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Why wouldn't you put a spike belt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Guliker hasn't committed an offence worthy of being spike belted.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see. So there was nothing serious enough in your mind to warrant closing off one avenue of escape by way of a spike belt?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that avenue had been closed off, the concrete barrier that appeared out of thin air, there were plenty of other opportunities for Mr. Guliker to take.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What were those other opportunities?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as you know, you've been to the property.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have.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There's many points along the property line that become flush or close to with the roadway.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in fact, what there is is farm fields,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what you're saying is Mr. Guliker might have gone off road with his vehicle through the farm fields to escape from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I've seen it happen before. It's not nearly as far-fetched as one might think.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that area?</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specific area?</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showing you Defendant's Document 1.23. That's an aerial view of Bustin Road and Ferry Road,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you'll see there's a yellow thumb tack probably -- this is a photocopy -- opposite the chicken barn?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that's where Mr. Guliker was parked?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if you look up at the top right-hand corner of this aerial view we see where the accident occurred because it's marked by a second yellow tack,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you're saying is Mr. Guliker could have proceeded through one of these fields that we see in this aerial photograph to escape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Certainly.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in order to contain Mr. Guliker as you've told Ms. Wishart you would have needed hundreds of officers to do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absolutely have zero point of exit open to him it would have taken an immense amount of resources.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think your evidence was hundreds of officers,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Sure, we'll go with the literal. Yes, hundreds.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And I take it, what, you would have had them stationed along Bustin Road every 15 or 20 yards?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Oh, it would have needed to be closer than that. They would have needed to be bumper to bumper with PC's -- sorry, police vehicles all the way down Bustin. You know, this is hectares of land I'm sure here. Let's progress it out towards McGrath which isn't even on the map here. I'm not sure how many metres of agricultural farmland that would be to control. That's just one direction. Could easily go east, again through the farmland, perhaps double-back to Old Yale Road. Really the possibilities are endless.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You'll agree there's no roadway off of Bustin that leads to Ferry Road other than Bustin Road itself.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Once you're on Bustin, yeah, you're stuck going.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There's no road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through the farm fields, is there?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so I take it from what you're saying it was virtually impossible to contain Mr. Guliker on Bustin Road?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Given an individual s free will,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it would be very difficult.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So if he would have wanted to go off road ploughing through the fields, you obviously wouldn't have been able to contain him?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would have been very difficult.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most obvious route to Ferry Road was to use Bustin Road,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 given one wouldn't have to go off road, would be the most reasonable way in which to reach Ferry Road,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would be the most reasonable.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People generally drive on roadways?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Generally speaking that would be a rational thing to do.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(XFD of Cst. Brand by Mr. Quinlan, March 28, 2013, Q.135-161)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my view these assertions exaggerate the difficulty the RCMP would have had containing Mr. Guliker.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Although the fields flanking Bustin Road are flat, Ms. Struys testified that they are "really wet". Ms. Struys also testified that anyone driving through these fields "wouldn't have gotten anywhere" because all the potential points of exit are fenced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accept Ms. Struys' evidence that the fields were soft and did not offer a viable escape route to Mr. Guliker.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RCMP video re-enactment, which was made four days after the Collision, shows that the field to the east of Bustin Road is fenced along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While the field to the west of Bustin Road is not fenced, it does appear to have a ditch of some description along most of its length. Certainly, it does not appear sufficiently level with the road in most locations such that it would be a simple matter to go from the road to the field, or vice versa, in the type of vehicle that Mr. Guliker was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find that little or no investigation was required to know that the obvious and most likely escape routes available to Mr. Guliker were the roadways. The fact that these were the areas to which the RCMP officers who met at the Chilliwack Motor Inn were initially deployed shows that the RCMP recognised this to be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Cause of the Collision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have set out the basic facts of the Collision in the introduction to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speed limit on Ferry Island Road was the default speed limit of 50 kph. The speedometer in the Bergen vehicle after the Collision showed 40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plaintiffs tendered a collision reconstruction report prepared by Sgt. Aaron Sproule for the Chilliwack RCMP Detachment. Neither Sgt. Sproule's qualifications nor the admissibility of the report were challenged. In his report Sgt. Sproule opined that Mr. Guliker was driving at 136 kph when he approached a right hand curve with a critical speed of between 92 and 117 kph. Sgt. Sproule concluded that as a consequence of exceeding the curve's critical speed, Mr. Guliker's vehicle moved into the westbound lane and collided head on with Mr. Bergen's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Sgt. Sproule was required to attend trial for cross-examination by the defendants. It was put to Sgt. Sproule that he could have used a higher coefficient of friction or a different curve radius which would result in the actual critical curve speed being higher than that cited in Sgt. Sproule's report. Essentially, the defendants assert that Sgt. Sproule used conservative assumptions because the usual purpose of a report like this is for criminal investigation, which must necessarily be cautious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defendants say that given Sgt. Sproule's use of conservative assumptions, it is not entirely certain whether Mr. Guliker lost control of his vehicle or deliberately drove into the Bergen vehicle. It was not put to Sgt. Sproule, however, whether changing these assumptions as suggested would have impacted his conclusion that Mr. Guliker's vehicle moved into the oncoming lane of traffic as a result of exceeding the critical curve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Given all the evidence in this case, I find it more probable than not that Mr. Guliker's vehicle moved into the oncoming lane of traffic and collided with the Bergen vehicle because it exceeded the critical curve speed. The Collision occurred when Mr. Guliker was fleeing the RCMP vehicles which were chasing him, as I have already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RCMP knowledge prior to chase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5"/>
        <w:gridCol w:w="2398"/>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(i)</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Information available to the RCMP as a whole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this section I describe the information about Mr. Guliker that was conveyed to the RCMP, as a whole, on August 10, 2008. In the following section, I more closely examine the actual knowledge of Constables Huff and Brand up to the point at which they decided to approach Mr. Guliker in their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11:28 a.m. - Marilyn Struys (Mr. Guliker's sister) calls 911 to report that Mr. Guliker breached his restraining order against his ex-wife, Wendy Guliker. Ms. Struys tells 911 that she is concerned about Wendy Guliker's safety and that Mr. Guliker has made indirect threats to Wendy Guliker about committing suicide. Ms. Struys also indicates that she is on her way to Wendy Guliker's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11:51 a.m. - Constable Huff receives a dispatch in relation to the 911 call by Ms. Struys, which contains the information that (a) Mr. Guliker has "made threats" to Wendy Guliker and (b) Mr. Guliker "has talked about suicide". Constable Huff contacts Ms. Struys by cell phone shortly after this dispatch.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12:15 p.m. - Constables Huff and Brand attend Wendy Guliker's residence and interview both Wendy Guliker and Ms. Struys. Constable Huff requested that Constable Brand attend with him as Constable Brand had accompanied Mr. Guliker to the family residence a few days earlier to retrieve some belongings.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Wendy Guliker has no recollection of what was said in this interview. In her testimony she simply described the conversation as relaxed and surreal. On XFD, Constable Huff described the conversation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[Wendy Guliker] basically explained that she had had contact with [Mr. Guliker], that she is now very fearful. He had made some threats to the family. She knew he was not - she was not supposed to contact him, but they did. She was supposed to meet him the previous evening, but did not. And she also advised that he was on medication for epilepsy and depression, and that he may be suicidal, that she heard from other people.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(XFD of Cst. Huff by Mr. McCormick, October 15, 2013, Q. 285)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After this interview, Constable Huff returns to the Chilliwack RCMP detachment to start a warrant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1:03 p.m. - Tony Neels (an employer of Mr. Guliker) calls 911to report that he's spoken to Mr. Guliker by phone. In this 911 call, Mr. Neels conveys the following information regarding Mr. Guliker: (a) he thinks the police are looking for him, (b) he says he's going to commit suicide, (c) he wants to meet with Wendy Guliker, (d) he fears going back to pre-trial detention and says the police won't get him alive, (e) he's threatened suicide many times in the past but that he's "really hit the end of the rope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1:05 p.m. - Dispatch radios Constable Huff and requests to speak with him via landline. Rather than call, Constable Huff walks upstairs to speak with dispatch. Constable Huff does not recall the content of this conversation but remembers that while he was there dispatch received another call in relation to Mr. Guliker.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1:12 p.m. - Anton Guliker (Mr. Guliker's cousin) calls 911. The transcript of this call is not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Dispatch records this call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Guliker's] cousin called to report that since the police are looking for [Mr. Guliker] he wants to commit suicide [Mr. Guliker] stated he was going to drive to Hope and kill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1:13 p.m. - Dispatch adds the following note to the file: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Guliker] did not state a method.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Constable Huff says he believed the call to be from Mr. Guliker himself, not Mr. Guliker's cousin. Constable Huff also says the information gleaned from the call included: (1) Mr. Guliker was "saying that he was going to go kill himself" and (2) Mr. Guliker "was going to jump in front of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1:16 p.m. - Dispatch adds the following note to the file regarding the earlier call received from Mr. Neels: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Neels] states [Mr. Guliker] is suicidal [and] made several comments about not going back to pretrial alive.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1:17 p.m. - Dispatch adds the following note to the file: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Cst. Griffiths of Hope advised and setting up at Exit 170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her Occurrence Report, Constable Griffiths states that she was advised about Mr. Guliker around 1:30 p.m. at which point she set up at exit 170 on Highway 1 to look for Mr. Guliker's vehicle. Shortly afterwards Anton Guliker stopped at this location in his vehicle to speak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Constable Griffiths' handwritten notes from that day indicate that Anton Guliker conveyed to her that Mr. Guliker had "mentioned driving car into traffic or jumping out into traffic". In her Occurrence Report, Constable Griffiths indicates that she "immediately updated [dispatch] over the radio about [Mr. Guliker's] intention to drive into oncoming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Constable Griffiths' Occurrence Report also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Anton stated that [Mr. Guliker] had been suicidal in the past but that he was different this time. [Mr. Guliker] had given Anton everything in [Mr. Guliker's] van, including his thermos and bible. [Mr. Guliker] had given Anton his watch and wallet, which had not occurred before. Anton was very concerned and felt that [Mr. Guliker] was very serious this time and would try to take his own life. [Mr. Guliker] had stated that he would either jump in front of a moving vehicle or drive his van into oncoming traffic in order to kill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Her Occurrence Report indicates that Cst. Griffiths sent this information to dispatch by internal message from her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1:21 p.m. - Dispatch sends a BOLF ("Be On the Lookout For") to the mobile data terminals of all Chilliwack RCMP members. The BOLF was reviewed and approved by Constable Huff. The BOLF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BOLF suicidal male, BCL FFL710 Whi 04' Pontiac Montana. RO Gerald Guliker who is arrestable for breach. States he is going to jump into traffic to avoid being arrested. Last known HWY 1 EB Annis.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1:35 p.m. - Anton Guliker calls 911 a second time to relay the fact that Mr. Guliker had told him that he was going to Mr. Neels' farm on Bustin Road. Constable Huff was still with dispatch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Between 1:37 and 1:43 p.m. - Constables Huff, Brand, Kardos, Wilson, and Ojeda meet at the Chilliwack Motor Inn to discuss the situation regarding Mr. Guliker and develop a plan of action. I discuss this plan and its subsequent evolution in more detail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1:41 p.m. - Dispatch notes that Mr. Neels calls 911 a second time to relay the fact that both Mr. Guliker and Wendy Guliker are heading to his farm on Bustin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1:43 p.m. - Ms. Struys calls 911 a second time. The RCMP informs Ms. Struys and, indirectly, Wendy Guliker not to proceed to Mr. Neels farm on Bustin Road as that is where the RCMP are "going to go pick him up". Ms. Struys warns the RCMP "... thing is if [Mr. Guliker] sees the cops ... he will take off, right". The RCMP responds that it "will be too late. We are going to surround the place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1:49 p.m. - Ms. Struys calls 911 a third time. She is with Wendy Guliker at the time. Constable Huff and Constable Brand arrive at 1:51 p.m. while this call is ongoing. Ms. Struys states to dispatch that Wendy Guliker is talking to the RCMP. Ms. Struys says that Wendy Gulker is telling the RCMP where Mr. Guliker is parked on Bustin Road such that "he's got a bird's eye view of the farm ... so that if the police come he could take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At 1:52 p.m. Constable Huff receives a message from dispatch that says "oh great. Gong Show". Constable Huff replies "we have every family member here at Bustin and Old Yale Road. Just FYI."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have previously described the evidence of Wendy Guliker, Amanda Redekop, and Constable Brand regarding the circumstances and content of the conversation between Constable Brand and Wendy Guliker that occurred at this time. I will not repeat myself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614"/>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(ii)</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Actual knowledge of</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 </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Constables Huff and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 </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Brand</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2614"/>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A.</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Constable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 </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Huff</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Constable Huff was the lead investigator for the situation with Mr. Guliker. His actual knowledge is thus of critical importance to understanding the reasons behind the actions of the RCMP on August 10,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Constable Huff's personal knowledge about Mr. Guliker begins at 11:51 a.m. when he receives a dispatch following Ms. Struys' initial 911 call. As mentioned earlier, this dispatch contains the information that (a) Mr. Guliker has "made threats" to Wendy Guliker and (b) Mr. Guliker "has talked about suicide". Constable Huff recognised that this information was attached to the dispatch, but denied that he acknowledged it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Constable Huff testified to speaking with Ms. Struys by cell phone shortly after receiving the dispatch, at which point he said he learned that Ms. Struys was heading to Wendy Guliker's residence. This information was also attached to the initial dispatch that Constable Huff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At 12:15 p.m. Constable Huff attended Wendy Guliker's residence with Constable Brand and interviewed both Wendy Guliker and Ms. Struys. I have already described the evidence in relation to this conversation. Most pertinently, Constable Huff states that Wendy Guliker conveyed the information that Mr. Guliker "had made some threats to the family" and "may be suicidal". Thus, at this time it is clear that Constable Huff knew that Mr. Guliker might be suicidal.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After returning to the detachment, dispatch requests to speak with Constable Huff over the phone. Dispatch had just received Mr. Neels' initial 911 call. Constable Huff walks upstairs to speak to dispatch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At this point, Constable Huff has a conversation with dispatch. Regarding the content of that conversation, Constable Huff stated on XFD that "I don't remember specifics". He also stated that at that point "all the information I had, I felt I got from Wendy [Guliker] and [Ms. Struys]". In other words, I understand Constable Huff's testimony to be that he did not glean any further useful information from dispatch as a result of Mr. Neels' initial 911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Constable Huff is then present at dispatch during Anton Guliker's initial 911 call. However, Constable Huff testified that he incorrectly believed the call to be from Mr. Guliker and that he had relayed the information that "he was going to kill himself" and that "he was going to jump into traffic". Thus, at this time it is clear that Constable Huff understood that Mr. Guliker might attempt to jump into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Constable Huff then reviewed and approved the BOLF that was sent to all the Chilliwack RCMP members on duty. In addition to the information that Mr. Guliker was suicidal and might jump into traffic, the BOLF also stated that Mr. Guliker would do so "to avoid being arrested". Thus, at the time the BOLF was sent it is clear that Constable Huff was aware that Mr. Guliker was a flight risk. This is particularly important in light of Constable Brand's testimony that he was not aware of this fact at the time that he and Constable Huff approached Mr. Guliker in their vehicles along Bustin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Constable Huff was still present at dispatch when Anton Guliker called 911 for a second time at 1:35 p.m. to relay the fact that Mr. Guliker was on his way to Mr. Neels' farm on Bustin Road. This time, Constable Huff correctly understood the call to be from Anton Guliker. On XFD, Constable Huff stated that from this call he learned that Mr. Guliker had "given away his worldly possessions and he was going to go to an address on Bustin Road and kill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Constable Huff then arranged to meet Constables Brand, Kardos, Ojeda, and Wilson at the Chilliwack Motor Inn. When asked on XFD why he requested the assistance of other RCMP members, Constable Huff stated: "...it was quite obvious that he was distraught and this was a much more -- we need to find him to try and help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Based on my understanding of the evidence so far, Constable Huff went to this meeting armed with the knowledge that Mr. Guliker was suicidal, might jump into traffic, would likely flee to avoid arrest, and was heading to an address on Bustin Road. The evidence is uncertain as to whether Constable Huff specifically knew that Mr. Guliker had stated an intention to drive into oncoming traffic, information which was relayed to dispatch by Constable Griffiths after speaking in person to Anton Guliker.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Constable Huff's testimony on XFD regarding the reason for the meeting with the other RCMP officers provides further insight into his knowledge at that time. In particular, it is clear that the primary concern was the threat that Mr. Guliker posed to both himself and other motorists. The relevant XFD proceeded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Counsel:</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is it fair to say your primary concern was for Mr. Guliker as a danger to himself?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 Huff:</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 Or others.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Counsel:</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have any information that he was an imminent threat?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 Huff:</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Counsel:</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was that information?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 Huff:</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Just the information that he had stated, that he might jump into traffic. So he was an imminent threat to himself and/or other motorists.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(XFD of Cst. Huff by Mr. McCormick, October 15, 2013, Q. 385, 389-390)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When the RCMP formed the initial plan for dealing with Mr. Guliker, it is clear that Constable Huff, the lead investigator, was particularly concerned about not spooking Mr. Guliker into fleeing in his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Counsel:</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it also gets back to the point that really the last thing you wanted to have happen was to spook [Mr. Guliker] into fleeing in his motor vehicle?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 Huff:</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Counsel:</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a person in [Mr. Guliker's mental state, fleeing in a motor vehicle, could pose a significant risk to members of the public, himself, and even police officers?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 Huff:</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Counsel:</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that was the last thing you wanted to have happen?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 Huff:</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(XFD of Cst. Huff by Mr. Quinlan, October 15, 2013, Q. 674-676)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This plan was somewhat modified at 1:47 p.m. when Constable Huff told Constable Wilson "to hang back". Other than a radio conversation with Constable Brand, Constable Huff had not received any further information regarding Mr. Guliker's situation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At 1:51 p.m. Constable Huff arrived with Constable Brand, who was in a separate vehicle, at the intersection of Old Yale Road and Bustin Road. Waiting there were Wendy Guliker and Amanda Redekop in one vehicle and Mr. and Mrs. Struys in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At this point, Constable Huff has a conversation with Mr. Struys about which he stated in XFD that "I don't remember the specifics, but I know I learned that [Mr. Guliker] was up on a property at Bustin Road". From this, it seems the only information Constable Huff deemed pertinent was Mr. Guliker's specific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There is no evidence that Constable Huff received any other information or spoke further with Constable Brand before the two RCMP officers started to drive north on Bustin Road with Constable Brand as the lead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2614"/>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B.</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Constable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 </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Brand</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Constable Brand was already somewhat familiar with Mr. Guliker from a few days before August 10, 2008, when he had accompanied Mr. Guliker to collect some belongings from the family residence. Mr. Guliker was co-operative at that earlier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There is no evidence that Constable Brand had any further information regarding Mr. Guliker before he attended Wendy Guliker's residence with Constable Huff at 12:15 p.m. on August 10, 2008. It seems reasonable to impute that Constable Brand gleaned similar information from these interviews as Constable Huff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next information that Constable Brand appears to have received regarding Mr. Guliker is the BOLF that was sent by Constable Huff at 1.21 p.m. I have already discussed Constable Brand's evidence regarding his receipt of the BOLF, so will not do so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next evidence regarding Constable Brand's involvement in matters is his attendance at the Chilliwack Motor Inn meeting. Constable Brand was thus present when the initial plan for dealing with Mr. Guliker was developed. There is no clear evidence regarding the information that was conveyed by Constable Huff to Constable Brand and the other RCMP officers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Constable Huff and Constable Brand then have a further conversation by radio as they are driving toward the south end of Bustin Road, following which Constable Huff modifies the initial plan by telling Constable Wilson to hang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At the intersection of Old Yale Road and Bustin Road, Constable Brand has a conversation with Wendy Guliker. I have also already discussed Constable Brand's evidence regarding this conversation and its contradictions with the evidence of Amanda Redekop and Wendy Guliker. I will not do so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do note, however, that the evidence is consistent that Wendy Guliker conveyed the following information to Constable Brand: (1) the exact location where Mr. Guliker was parked, (2) that Mr. Guliker could see the roadway from all angles, and (3) that she thought the RCMP officers should separate and approach Mr. Guliker from different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There is no evidence that Constable Brand relayed any of this information to Constable Huff, the lead investigator, before the two RCMP officers started to drive north on Bustin Road with Constable Brand as the lead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2614"/>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C.</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Shared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 </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knowledge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Despite the differences in their sources of information regarding Mr. Guliker, I find based on all the evidence outlined above that Constables Huff and Brand both understood the following things regarding Mr. Guliker at the point they decided to approach him along Bustin Road in their vehicles:</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Guliker was parked at the chicken farm on Bustin Road;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Guliker was suicidal;</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Guliker had stated an intention to jump into traffic;</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Guliker was likely to flee from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am not certain the evidence establishes that Constables Huff and Brand knew that Mr. Guliker had stated a specific intention to drive into oncoming traffic, a fact which Constable Griffiths was aware of and relayed to dispatch.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However, I do not find this to be necessary for my finding regarding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RCMP plan for dealing with Mr. Guliker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614"/>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(i)</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The initial plan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the last section I discussed the information or knowledge that the RCMP, and particularly Constables Huff and Brand, had regarding Mr. Guliker. In this section, I consider the evidence regarding the plan that the RCMP developed for dealing with Mr. Guliker.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consider the RCMP plan for dealing with Mr. Guliker to have begun to crystallise when Constables Huff, Brand, and three other officers met at the Chilliwack Motor Inn between 1:37 and 1:43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Just before this meeting the RCMP learned that Mr. Guliker was heading to Mr. Neels' farm on Bustin Road. Prior to gaining that important piece of information, the RCMP did not know Mr. Guliker's location and the plan for dealing with him appears to have consisted of issuing the BOLF and stationing Constable Griffiths along the highway to look out for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Constable Huff arranged the meeting at the Chilliwack Motor Inn. He was the lead investigator and, as he acknowledged, "in charge" of the situation regarding Mr. Guliker. At that point, Constable Huff also had the most information regarding Mr. Guliker and shortly beforehand he had reviewed and approved the BOLF that was sent to all the Chilliwack RCMP officers on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have already discussed in detail the information that the BOLF contained, so will not canvas this evidence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defendants submit that because five RCMP officers, more than half the officers on duty that day, were enlisted to assist with apprehending Mr. Guliker, it demonstrates how seriously the RCMP considered the suicide threat.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Beyond the number of RCMP officers who attended the meeting at the Chilliwack Motor Inn, there is little evidence of what was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evidence establishes that the meeting could not have lasted much more than five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As I discussed earlier, Constable Huff (a) regarded Mr. Guliker as a threat to both himself and other motorists and (b) wished to avoid Mr. Guliker fleeing in a vehicle if possible. It seems a reasonable inference that Constable Huff conveyed some, if not all, of his knowledge about Mr. Guliker to the other RCMP officers at the meeting but I have no direct evidence of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At the least, we know that the other officers received the BOLF to the mobile data terminals in their vehicles and, in particular, I have already found that Constable Brand was aware of the information contained in it, including that Mr. Guliker was suicidal and a flight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What I can say with certainty is that the outcome of this meeting was a plan for dealing with Mr. Guliker, which Constable Huff described on XFD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Counsel:</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Tell me about that meeting?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 Huff:</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remember specifically what was said. I know we devised a plan, that basically myself and Constable Brand would go down to Bustin Road and Old Yale Road. Constable Keith Wilson and Kardos would go down Hope River Road, and Constable Ojeda would cut through the Reserve.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(XFD of Cst. Huff by Mr. McCormick, October 15, 2013, Q. 355)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As I understand the geography of the area around Mr. Neels' farm on Bustin Road, this means that two officers were approaching Mr. Guliker's known location from the south (Constables Huff and Brand), two officers were approaching from the north (Constables Wilson and Kardos), and one officer was approaching from the east (Constable Ojeda).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On XFD Constable Huff described the objective of this plan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Counsel:</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what was the objective in having the various officer approach from different directions?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 Huff:</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flood the area if he did leave, in a sense, because there's no point in having the five vehicles going the same direction on the same road. That doesn't really help. More eyes on the road, just more observations.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Counsel:</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once again, if at all possible, you wanted to minimise any driving on the roads that he might decide to do?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 Huff:</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Counsel:</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if you covered off the various avenues of escape, that would achieve that objective?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 Huff:</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Counsel:</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Certainly, it goes without saying that if Mr. Guliker was on Bustin Road and he was to flee, that the first avenue of flight would likely be on Bustin Road which is a roadway?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 Huff:</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Most likely.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Counsel:</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opposed to driving through farm fields?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 Huff:</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 but given his mental instability, you never know.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Counsel:</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And that goes back to the uncertainty that you were dealing with?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 Huff:</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Counsel:</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it also gets back to the point that really the last thing you wanted to have happen was to spook him into fleeing in his motor vehicle?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 Huff:</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(XFD of Cst. Huff by Mr. Quinlan, October 15, 2013, Q. 650-652, 671-674)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Evidence of this plan is also found in the phone call between Ms. Struys and RCMP dispatch at 1:43 p.m. To recap, in that call Ms. Struys warns the RCMP that if Mr. Guliker sees them he will flee and dispatch responds that it "will be too late. We are going to surround the place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Though she was not explicitly part of this initial plan, there is evidence that a sixth RCMP officer, Constable Labbee, was about 20 minutes away in Agassiz and available to provide assistance if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find, based on all the evidence, that at this point the RCMP plan for dealing with Mr. Guliker was to restrict the three avenues of escape by roadway that were available to him from his location on Bustin Road. The RCMP objective was to minimise the likelihood that Mr. Guliker would flee in his vehicle. I cannot see a better word to describe this plan than "containment".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The modified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At 1:47 p.m. Constable Huff told Constable Wilson, who was approaching Mr. Guliker's location with Constable Kardos from the north, to "hang back". At his XFD, Constable Huff testified that this meant he wanted Constables Wilson and Kardos to remain in the area but to hold back from approaching the intersection of Bustin Road and Ferry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Constables Huff and Brand testified that this modification to the plan occurred following a short radio exchange between them, a result of which Constable Huff deferred to Constable Brand's opinion that five RCMP vehicles might be too many given that Gerald Guliker had been cooperative when Constable Brand had previously dealt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 note here that when Constable Brand previously dealt with Mr. Guliker he did not have any knowledge that Mr. Guliker was suicidal, had stated an intention to jump into traffic, and was a flight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defendants submit that this modification to the plan was a "conscious strategy" intended as an "attempt to de-escalate the situation". They also assert that this decision was, in retrospect, "a good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defendants also point out that Constables Wilson and Kardos remained in the immediate vicinity as they were able to assist very quickly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While the other RCMP officers were in the vicinity, Constable Huff was not actually aware of exactly where they were in relation to Mr. Guliker's location on Bustin Road. Constable Huff admitted at his XFD that this was an error on 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Counsel:</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at that point, Constables Kardos and Wilson were approaching the northern point of access at Ferry Road?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 Huff:</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not exactly sure where they were, to be honest with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Counsel:</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come?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 Huff:</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I'd never asked them.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Counsel:</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have any sense of how close they were?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 Huff:</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Counsel:</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we had talked about communication being extremely important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 Huff:</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Counsel:</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amongst officers? In that case, you didn't see it important to learn the whereabouts of Constables Kardos and Wilson?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 Huff:</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an error of mine.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Counsel:</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about Constable Ojeda?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 Huff:</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not sure where he was either.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Counsel:</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 is similarly an error of yours in not determining his location?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 Huff:</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(XFD of Cst. Huff by Mr. McCormick, October 15, 2013, Q. 438-444)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Following this modification of the initial plan, Constables Huff and Brand arrive at the intersection of Bustin Road and Old Yale Road where Wendy Guliker, Amanda Redekop, Ms. Struys, and Mr. Struys are waiting in their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 have already discussed the evidence regarding the conversations that occurred between Wendy Guliker and Constable Brand and between Mr. Struys and Constable Huff.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Following the instruction to Constable Wilson to "hang back", there is no evidence of any further conversation between Constables Huff and Brand or any further modification to the plan for dealing with Mr. Guliker.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Constables Brand and Huff then approach Mr. Guliker's known location from the south along Bustin Road with Constable Brand's vehicle in the lead. I have already detailed the events that transpired from this point onwards.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 note again, however, that I have accepted Wendy Guliker and Amanda Redekop's evidence that Constable Brand said something to the effect that if Mr. Guliker runs, they will chase him. That is what they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Other than conducting the vehicle chase of Mr. Guliker, the only evidence of an alternative plan by the RCMP is Constable Huff's radio transmission during the chase stating "Labbee, if you can get down to Ferry and set up a spike".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V.</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Were the RCMP Negligent?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xml:space="preserve">The test for </w:t>
            </w:r>
            <w:r>
              <w:rPr>
                <w:rFonts w:ascii="arial" w:eastAsia="arial" w:hAnsi="arial" w:cs="arial"/>
                <w:b/>
                <w:i/>
                <w:color w:val="000000"/>
                <w:sz w:val="18"/>
                <w:u w:val="single"/>
                <w:lang w:val="en-US" w:eastAsia="en-US" w:bidi="ar-SA"/>
              </w:rPr>
              <w:t>negligence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To establish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plaintiff must prove: (a) that the defendant owed the plaintiff a duty of care, (b) that the defendant's actions or inaction breached the standard of care applicable to that duty, (c) that the plaintiff suffered compensable damage, and (d) that the defendant's breach of the standard of care caused the plaintiff's damage: </w:t>
      </w:r>
      <w:r>
        <w:rPr>
          <w:rFonts w:ascii="arial" w:eastAsia="arial" w:hAnsi="arial" w:cs="arial"/>
          <w:i/>
          <w:color w:val="000000"/>
          <w:sz w:val="20"/>
          <w:lang w:val="en-US" w:eastAsia="en-US" w:bidi="ar-SA"/>
        </w:rPr>
        <w:t>Ediger v. Johnston</w:t>
      </w:r>
      <w:r>
        <w:rPr>
          <w:rFonts w:ascii="arial" w:eastAsia="arial" w:hAnsi="arial" w:cs="arial"/>
          <w:color w:val="000000"/>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2013 SCC 18</w:t>
        </w:r>
      </w:hyperlink>
      <w:r>
        <w:rPr>
          <w:rFonts w:ascii="arial" w:eastAsia="arial" w:hAnsi="arial" w:cs="arial"/>
          <w:color w:val="000000"/>
          <w:sz w:val="20"/>
          <w:lang w:val="en-US" w:eastAsia="en-US" w:bidi="ar-SA"/>
        </w:rPr>
        <w:t xml:space="preserve"> at para. 24; </w:t>
      </w:r>
      <w:r>
        <w:rPr>
          <w:rFonts w:ascii="arial" w:eastAsia="arial" w:hAnsi="arial" w:cs="arial"/>
          <w:i/>
          <w:color w:val="000000"/>
          <w:sz w:val="20"/>
          <w:lang w:val="en-US" w:eastAsia="en-US" w:bidi="ar-SA"/>
        </w:rPr>
        <w:t>Hill v. Hamilton-Wentworth Regional Police Services Board</w:t>
      </w:r>
      <w:r>
        <w:rPr>
          <w:rFonts w:ascii="arial" w:eastAsia="arial" w:hAnsi="arial" w:cs="arial"/>
          <w:color w:val="000000"/>
          <w:sz w:val="20"/>
          <w:lang w:val="en-US" w:eastAsia="en-US" w:bidi="ar-SA"/>
        </w:rPr>
        <w:t xml:space="preserve">, </w:t>
      </w:r>
      <w:hyperlink r:id="rId898"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 xml:space="preserve"> at para. 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In this case, the defendants dispute (i) that the RCMP owe the plaintiff a duty of care, (ii) if a duty of care exists, that the RCMP breached the requisite standard of care, and (iii) that the actions of the RCMP caused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 address each of these issues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Duty of care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Relevant statutes &amp;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To establish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RCMP must be found to owe a private law duty of care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duties and responsibilities of the RCMP conferred by statute and RCMP policy are, however, relevant to determining whether a private law duty of care exists. They are also relevant to determining the applicable standard of care if a duty is found to exist. For this reason, I set out here the statutory and policy provisions relevant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RCMP officers owe a statutory duty to the public under s. 18 of the </w:t>
      </w:r>
      <w:r>
        <w:rPr>
          <w:rFonts w:ascii="arial" w:eastAsia="arial" w:hAnsi="arial" w:cs="arial"/>
          <w:i/>
          <w:color w:val="000000"/>
          <w:sz w:val="20"/>
          <w:lang w:val="en-US" w:eastAsia="en-US" w:bidi="ar-SA"/>
        </w:rPr>
        <w:t>RCMP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is the duty of members who are peace officers, subject to the orders of the Commissioner,</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perform all duties that are assigned to peace officers in relation to the preservation of the peace, the prevention of crime and of offences against the laws of Canada and the laws in force in any province in which they may be employed, and the apprehension of criminals and offenders and others who may be lawfully taken into custody;...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Similarly, provincial constables owe a statutory duty to the public under s. 7(2)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(2) The provincial police force, under the commissioner's direction, must perform the duties and functions respecting the preservation of peace, the prevention of crime and offences against the law and the administration of justice assigned to it or generally to peace officers by the commissioner, under the director's standards or under this Act or any other enactment.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 stated earlier in these reasons, the RCMP in this case were acting in their capacity as provincial constables pursuant to an agreement between British Columbia and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The specific duties and responsibilities of police officers operating emergency vehicles in pursuits and/or at high speed are set out in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Emergency Vehicle Driving Regulation</w:t>
      </w:r>
      <w:r>
        <w:rPr>
          <w:rFonts w:ascii="arial" w:eastAsia="arial" w:hAnsi="arial" w:cs="arial"/>
          <w:color w:val="000000"/>
          <w:sz w:val="20"/>
          <w:lang w:val="en-US" w:eastAsia="en-US" w:bidi="ar-SA"/>
        </w:rPr>
        <w:t>, B.C. Reg. 133/98, and the RCMP's</w:t>
      </w:r>
      <w:r>
        <w:rPr>
          <w:rFonts w:ascii="arial" w:eastAsia="arial" w:hAnsi="arial" w:cs="arial"/>
          <w:i/>
          <w:color w:val="000000"/>
          <w:sz w:val="20"/>
          <w:lang w:val="en-US" w:eastAsia="en-US" w:bidi="ar-SA"/>
        </w:rPr>
        <w:t xml:space="preserve"> Operational Manual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 Division Operational Manual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Section 122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exempts police from some rules regarding the operation of motor vehicles in certain situations, which are specified in the </w:t>
      </w:r>
      <w:r>
        <w:rPr>
          <w:rFonts w:ascii="arial" w:eastAsia="arial" w:hAnsi="arial" w:cs="arial"/>
          <w:i/>
          <w:color w:val="000000"/>
          <w:sz w:val="20"/>
          <w:lang w:val="en-US" w:eastAsia="en-US" w:bidi="ar-SA"/>
        </w:rPr>
        <w:t>Emergency Vehicle Driving Regulation</w:t>
      </w:r>
      <w:r>
        <w:rPr>
          <w:rFonts w:ascii="arial" w:eastAsia="arial" w:hAnsi="arial" w:cs="arial"/>
          <w:color w:val="000000"/>
          <w:sz w:val="20"/>
          <w:lang w:val="en-US" w:eastAsia="en-US" w:bidi="ar-SA"/>
        </w:rPr>
        <w:t>. Section 122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(1) Despite anything in this Part, but subject to subsections (2) and (4), a driver of an emergency vehicle may do the following:</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exceed the speed limit;</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 past a red traffic control signal or stop sign without stopping;</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disregard rules and traffic control devices governing direction of movement or turning in specified directions;</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stop or stand.</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an emergency vehicle must not exercise the privileges granted by subsection (1) except in accordance with the regulations.</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[Repealed 1997-30-2.]</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an emergency vehicle exercising a privilege granted by subsection (1) must drive with due regard for safety, having regard to all the circumstances of the case, including the following:</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condition and use of the highway;</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traffic that is on, or might reasonably be expected to be on, the highway;</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use being made of the emergency vehicle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Emergency Vehicle Driving Regulation</w:t>
      </w:r>
      <w:r>
        <w:rPr>
          <w:rFonts w:ascii="arial" w:eastAsia="arial" w:hAnsi="arial" w:cs="arial"/>
          <w:color w:val="000000"/>
          <w:sz w:val="20"/>
          <w:lang w:val="en-US" w:eastAsia="en-US" w:bidi="ar-SA"/>
        </w:rPr>
        <w:t xml:space="preserve"> determines the circumstances and conditions that apply to the police in exercising the privileges granted by s. 122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Section 1 of the </w:t>
      </w:r>
      <w:r>
        <w:rPr>
          <w:rFonts w:ascii="arial" w:eastAsia="arial" w:hAnsi="arial" w:cs="arial"/>
          <w:i/>
          <w:color w:val="000000"/>
          <w:sz w:val="20"/>
          <w:lang w:val="en-US" w:eastAsia="en-US" w:bidi="ar-SA"/>
        </w:rPr>
        <w:t>Emergency Vehicle Driving Regulation</w:t>
      </w:r>
      <w:r>
        <w:rPr>
          <w:rFonts w:ascii="arial" w:eastAsia="arial" w:hAnsi="arial" w:cs="arial"/>
          <w:color w:val="000000"/>
          <w:sz w:val="20"/>
          <w:lang w:val="en-US" w:eastAsia="en-US" w:bidi="ar-SA"/>
        </w:rPr>
        <w:t xml:space="preserve"> defines "pursuit" and "attempting to close the distance"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this regulation: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"attempting to close the distance"</w:t>
      </w:r>
      <w:r>
        <w:rPr>
          <w:rFonts w:ascii="arial" w:eastAsia="arial" w:hAnsi="arial" w:cs="arial"/>
          <w:color w:val="000000"/>
          <w:sz w:val="20"/>
          <w:lang w:val="en-US" w:eastAsia="en-US" w:bidi="ar-SA"/>
        </w:rPr>
        <w:t xml:space="preserve"> means attempting to close the distance between a peace officer's vehicle and another vehicle but does not include a pursuit;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"pursuit"</w:t>
      </w:r>
      <w:r>
        <w:rPr>
          <w:rFonts w:ascii="arial" w:eastAsia="arial" w:hAnsi="arial" w:cs="arial"/>
          <w:color w:val="000000"/>
          <w:sz w:val="20"/>
          <w:lang w:val="en-US" w:eastAsia="en-US" w:bidi="ar-SA"/>
        </w:rPr>
        <w:t xml:space="preserve"> means the driving of an emergency vehicle by a peace officer while exercising the privileges granted by section 122 (1)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for the purpose of apprehending another person who refuses to stop as directed by a peace officer and attempts to evade apprehension.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Sections 3 and 4, which cover both pursuit and non-pursuit situations like attempting to close the distance,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(1) To engage in or continue a pursuit, a peace officer must</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have an emergency light and siren activated,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 have reasonable grounds to believe that</w:t>
      </w:r>
    </w:p>
    <w:p>
      <w:pPr>
        <w:numPr>
          <w:numId w:val="3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or a passenger in the vehicle being or to be pursued has committed, is committing or is about to commit an offence, and</w:t>
      </w:r>
    </w:p>
    <w:p>
      <w:pPr>
        <w:numPr>
          <w:numId w:val="3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seriousness of the offence and the need for immediate apprehension outweigh the risk to the safety of members of the public that may be created by the pursuit.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In considering whether there are reasonable grounds under subsection (1) (b), the driver of the emergency vehicle must consider any pertinent factors, including the following, if relevant:</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circumstances of the suspected offence or incident;</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risk of harm posed by the manner in which the emergency vehicle is being or is likely to be operated;</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risk of harm posed by the distance, speed or length of time required or likely to be required to exercise the privileges;</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condition and use of the highway;</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volume and nature of pedestrian or vehicular traffic that is, or might reasonably be expected to be, in the area.</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subsection (1) (b),</w:t>
      </w:r>
    </w:p>
    <w:p>
      <w:pPr>
        <w:numPr>
          <w:numId w:val="4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need for immediate apprehension will be low if</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or a passenger in the vehicle pursued has not committed an indictable offence, or</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identification or apprehension of the suspected offender may be achieved by other means at that or a later time,</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greater the distance, speed or length of time required or likely to be required for the pursuit, the greater the risk to the safety of members of the public, and</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attempt to evade apprehension is not a factor to be considered in determining the seriousness of the offence or the need for immediate apprehension.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(1) A peace officer operating an emergency vehicle for purposes other than pursuit may exercise the privileges granted by section 122 (1)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if</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peace officer has reasonable grounds to believe that the risk of harm to members of the public from the exercise of those privileges is less than the risk of harm to members of the public should those privileges not be exercised, and</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peace officer operates the following emergency equipment, as applicable:</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exercise of privileges described in section 122 (1) (a) to (c) of the Motor Vehicle Act, an emergency light and siren;</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exercise of privileges described in section 122 (1) (d) of the Motor Vehicle Act, an emergency light or an emergency light and siren.</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Having determined that there are reasonable grounds referred to in subsection (1) (a), the peace officer referred to in subsection (1) may, in the following circumstances, exercise any of the privileges granted by section 122 (1)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without operating an emergency light and siren or by operating an emergency light alone:</w:t>
      </w:r>
    </w:p>
    <w:p>
      <w:pPr>
        <w:numPr>
          <w:numId w:val="4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peace officer is responding to an incident and has reasonable grounds to believe that an offence has been, is being or is about to be committed and that the risk of harm to members of the public entailed in operating an emergency siren or an emergency light and siren, as the case may be, outweighs the risk of harm to members of the public entailed in not operating them;</w:t>
      </w:r>
    </w:p>
    <w:p>
      <w:pPr>
        <w:numPr>
          <w:numId w:val="4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peace officer is engaged in the lawful execution of his or her duty other than as described in paragraph (a) or section 3 and has reasonable grounds to believe that it is safe to operate the emergency vehicle without operating an emergency siren or an emergency light and siren, as the case may be.</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considering whether there are reasonable grounds under subsection (1), (2) or (5) a peace officer must</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 the factors described in section 3 (2), and</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weigh the degree of risk of harm to members of the public against the seriousness of the nature and circumstances of the suspected offence or incident.</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Subsection (2) does not apply if the peace officer must disregard a stop sign or approach or pass signs described in section 147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relating to schools and playgrounds.</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peace officer operating an emergency vehicle in the circumstances set out in subsection (2) must stop at a red light and may then disregard the red light and proceed through the intersection if the peace officer has reasonable grounds to believe it is safe to do so without operating relevant emergency equipment.</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Factors which will increase the risk of harm to members of the public for purposes of subsections (1), (2) and (5) include</w:t>
      </w:r>
    </w:p>
    <w:p>
      <w:pPr>
        <w:numPr>
          <w:numId w:val="5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attempting to close the distance between a peace officer's vehicle and another vehicle,</w:t>
      </w:r>
    </w:p>
    <w:p>
      <w:pPr>
        <w:numPr>
          <w:numId w:val="5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poor visibility,</w:t>
      </w:r>
    </w:p>
    <w:p>
      <w:pPr>
        <w:numPr>
          <w:numId w:val="5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pedestrian or other vehicular traffic on the highway, and</w:t>
      </w:r>
    </w:p>
    <w:p>
      <w:pPr>
        <w:numPr>
          <w:numId w:val="5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peace officer must disregard a yield sign or pass through a crosswalk or uncontrolled intersection.</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the purposes of subsection (2), the greater the distance, speed or length of time required or likely to be required in exercising the privileges granted by section 122 (1)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the greater the risk to the safety of members of the public.</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subsection (2), the risk of harm to members of the public must be considered to be substantially increased when a peace officer is attempting to close the distance if the other vehicle is not in the sight of the peace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The germane provisions of the RCMP's </w:t>
      </w:r>
      <w:r>
        <w:rPr>
          <w:rFonts w:ascii="arial" w:eastAsia="arial" w:hAnsi="arial" w:cs="arial"/>
          <w:i/>
          <w:color w:val="000000"/>
          <w:sz w:val="20"/>
          <w:lang w:val="en-US" w:eastAsia="en-US" w:bidi="ar-SA"/>
        </w:rPr>
        <w:t>Operational Manual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 Division Operational Manual</w:t>
      </w:r>
      <w:r>
        <w:rPr>
          <w:rFonts w:ascii="arial" w:eastAsia="arial" w:hAnsi="arial" w:cs="arial"/>
          <w:color w:val="000000"/>
          <w:sz w:val="20"/>
          <w:lang w:val="en-US" w:eastAsia="en-US" w:bidi="ar-SA"/>
        </w:rPr>
        <w:t xml:space="preserve">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Operational Manual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5.4 Emergency Vehicle Operations (Pursuits)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General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Emergency vehicle operations include pursuits, closing the distance and emergency vehicle response.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The Incident Management Intervention Model (IMIM) must guide any decision to initiate, continue or terminate an emergency vehicle operation. The following principles apply: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1.2.1. The primary objective of any intervention is public safety.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1.2.2. Police officer safety is an essential element of public safety.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1.2.3. The IMIM must always be applied in the context of a careful risk assessment.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1.2.4. Risk assessment must take into account the likelihood and extent of fatalities, injury and damage to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1.2.5. Risk assessment is a continuous process and risk management must evolve as situations change.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1.2.6. The best strategy is to use the least intervention to manage the risk.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1.2.7. Prudent intervention causes the least amount of harm or damage.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Initiating a Pursuit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A pursuit may occur when a suspect driver refuses to stop for a peace officer and attempts to evade apprehension.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A pursuit may only be initiated and continued when other alternatives are not available and the seriousness of the situation and the necessity of immediate apprehension is judged to outweigh the level of danger created by the pursuit.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Termination of a Pursuit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A pursuit must be terminated when the risk to life becomes too great, the pursuit become futile or other means of apprehension are possible.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A pursuit is terminated when the emergency equipment of the police vehicle has been turned off and the police vehicle has slowed down to the speed limit.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"E" Division Operational Manual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5.4 Emergency Vehicle Operations (Pursuits)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General</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Refer to HQ QM 5.4 EVO-Pursuits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Refer to the Emergency Vehicle Driving Regulation (EVDR) by Order of Lieutenant Governor in Council No. 0522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"Attempting to close the distance" means the act of "catching-up" to an offender,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does not include a pursuit.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"Pursuit", means the driving of an emergency vehicle by a peace officer while exercising the privileges granted by Section 122(1) MVA for the purpose of apprehending another person who: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1.4.1 refuses to stop as directed by a peace officer;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1.4.2 attempts to evade apprehension.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Deployment of a tire deflation device must be authorized by the supervisor monitoring the pursuit. See E Div OM 5.3 Roadblocks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Factors to Consider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Per HQ QM 5.4.1.2 assessment is based on whether there are reasonable grounds to engage in or continue a pursuit, or an attempt to close the distance, balance against the risk of harm to the public as outlined in the IMIM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Public safety is the paramount consideration when a member is operating a police vehicle while exercising the exemptions granted ender Sec. 122MVA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Threats to public safety can change rapidly, and continual assessment is required throughout the pursuit or while a member is attempting to close the distance.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When making an assessment as to the reasonable grounds to engage in or continue a pursuit, a member must consider the following factors: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3.4.1 nature and circumstances of the suspected offence or incident;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3.4.2. the risk of harm posed by the manner in which the police vehicle is being operated;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3. the risk of harm posed by the distance, speed or length of time required or likely to be required to exercise the privileges under Sec. 122 MVA;</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condition and use of the highway;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3.4.5. the volume and nature of pedestrian and/or vehicle traffic that is or might reasonably be expected to be in the area;</w:t>
      </w:r>
    </w:p>
    <w:p>
      <w:pPr>
        <w:numPr>
          <w:numId w:val="5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need for immediate apprehension will be low if: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3.5.1 the driver or passenger in the vehicle has not committed an indictable offence; 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3.5.2 identification or apprehension of the suspect offender may be done by other means at that or a later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The greater the distance, speed or time required to apprehend an offender, the greater the risk to public safety.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A suspect's attempt to evade apprehension is not a factor in determining the seriousness of the offence, or the need for immediate apprehension.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 Immediately after termination of a pursuit (HQ QM 5.4.3 and Section 6 below), when safe to do so, pull over to the roadside and stop your vehicle. Notify OCC that your vehicle is stopped.</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Police Duties at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614"/>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(i)</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Principles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The Supreme Court of Canada discussed the duties of the police in </w:t>
      </w:r>
      <w:r>
        <w:rPr>
          <w:rFonts w:ascii="arial" w:eastAsia="arial" w:hAnsi="arial" w:cs="arial"/>
          <w:i/>
          <w:color w:val="000000"/>
          <w:sz w:val="20"/>
          <w:lang w:val="en-US" w:eastAsia="en-US" w:bidi="ar-SA"/>
        </w:rPr>
        <w:t>O'Rourke et al. v. Schacht</w:t>
      </w:r>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[1976] 1 S.C.R. 53</w:t>
        </w:r>
      </w:hyperlink>
      <w:r>
        <w:rPr>
          <w:rFonts w:ascii="arial" w:eastAsia="arial" w:hAnsi="arial" w:cs="arial"/>
          <w:color w:val="000000"/>
          <w:sz w:val="20"/>
          <w:lang w:val="en-US" w:eastAsia="en-US" w:bidi="ar-SA"/>
        </w:rPr>
        <w:t>. In that case the police failed to replace a sign warning motorists of an obstruction in the road after it had been knocked down. The plaintiff subsequently collided with the obstruction and suffered damages as a result. The Court adopted the following words of the Ontario Court of Appeal at 65-66: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Police forces exist in municipal, provincial, and federal jurisdictions to exercise powers designed to promote the order, safety, health, morals, and general welfare of society. It is not only impossible but inadvisable to attempt to frame a definition which will set definite limits to the powers and duties of police officers appointed to carry out the powers of the state in relation to individuals who come within its jurisdiction and protection. The duties imposed on them by statute are by no means exhaustive. It is infinitely better that the courts should decide as each case arises whether, having regard to the necessities of the case and the safeguards required in the public interest, the police are under a legal duty in the particular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More recently, the Supreme Court of Canada re-visited first principles in considering whether a duty of care existed between the police and a suspect they are investigating: </w:t>
      </w:r>
      <w:r>
        <w:rPr>
          <w:rFonts w:ascii="arial" w:eastAsia="arial" w:hAnsi="arial" w:cs="arial"/>
          <w:i/>
          <w:color w:val="000000"/>
          <w:sz w:val="20"/>
          <w:lang w:val="en-US" w:eastAsia="en-US" w:bidi="ar-SA"/>
        </w:rPr>
        <w:t>Hill v. Hamilton-Wentworth Regional Police Services Board</w:t>
      </w:r>
      <w:r>
        <w:rPr>
          <w:rFonts w:ascii="arial" w:eastAsia="arial" w:hAnsi="arial" w:cs="arial"/>
          <w:color w:val="000000"/>
          <w:sz w:val="20"/>
          <w:lang w:val="en-US" w:eastAsia="en-US" w:bidi="ar-SA"/>
        </w:rPr>
        <w:t xml:space="preserve">, </w:t>
      </w:r>
      <w:hyperlink r:id="rId898"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 xml:space="preserve">, </w:t>
      </w:r>
      <w:hyperlink r:id="rId898" w:history="1">
        <w:r>
          <w:rPr>
            <w:rFonts w:ascii="arial" w:eastAsia="arial" w:hAnsi="arial" w:cs="arial"/>
            <w:i/>
            <w:color w:val="0077CC"/>
            <w:sz w:val="20"/>
            <w:u w:val="single"/>
            <w:shd w:val="clear" w:color="auto" w:fill="FFFFFF"/>
            <w:lang w:val="en-US" w:eastAsia="en-US" w:bidi="ar-SA"/>
          </w:rPr>
          <w:t>[2007] 3 S.C.R. 129</w:t>
        </w:r>
      </w:hyperlink>
      <w:r>
        <w:rPr>
          <w:rFonts w:ascii="arial" w:eastAsia="arial" w:hAnsi="arial" w:cs="arial"/>
          <w:color w:val="000000"/>
          <w:sz w:val="20"/>
          <w:lang w:val="en-US" w:eastAsia="en-US" w:bidi="ar-SA"/>
        </w:rPr>
        <w:t>. Chief Justice McLachlin says at para.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The test for determining whether a person owes a duty of care involves two questions: (1) Does the relationship between the plaintiff and the defendant disclose sufficient foreseeability and proximity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and (2) If so, are there any residual policy considerations which ought to negate or limit that duty of care? (See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[1978] A.C. 728 (H.L.), as affirmed and explained by this Court in a number of cases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at paras. 25 and 29-39; </w:t>
      </w:r>
      <w:r>
        <w:rPr>
          <w:rFonts w:ascii="arial" w:eastAsia="arial" w:hAnsi="arial" w:cs="arial"/>
          <w:i/>
          <w:color w:val="000000"/>
          <w:sz w:val="20"/>
          <w:lang w:val="en-US" w:eastAsia="en-US" w:bidi="ar-SA"/>
        </w:rPr>
        <w:t>Edwards v. Law Society of Upper Canada</w:t>
      </w:r>
      <w:r>
        <w:rPr>
          <w:rFonts w:ascii="arial" w:eastAsia="arial" w:hAnsi="arial" w:cs="arial"/>
          <w:color w:val="000000"/>
          <w:sz w:val="20"/>
          <w:lang w:val="en-US" w:eastAsia="en-US" w:bidi="ar-SA"/>
        </w:rPr>
        <w:t xml:space="preserve">, </w:t>
      </w:r>
      <w:hyperlink r:id="rId901" w:history="1">
        <w:r>
          <w:rPr>
            <w:rFonts w:ascii="arial" w:eastAsia="arial" w:hAnsi="arial" w:cs="arial"/>
            <w:i/>
            <w:color w:val="0077CC"/>
            <w:sz w:val="20"/>
            <w:u w:val="single"/>
            <w:shd w:val="clear" w:color="auto" w:fill="FFFFFF"/>
            <w:lang w:val="en-US" w:eastAsia="en-US" w:bidi="ar-SA"/>
          </w:rPr>
          <w:t>[2001] 3 S.C.R. 562</w:t>
        </w:r>
      </w:hyperlink>
      <w:r>
        <w:rPr>
          <w:rFonts w:ascii="arial" w:eastAsia="arial" w:hAnsi="arial" w:cs="arial"/>
          <w:color w:val="000000"/>
          <w:sz w:val="20"/>
          <w:lang w:val="en-US" w:eastAsia="en-US" w:bidi="ar-SA"/>
        </w:rPr>
        <w:t xml:space="preserve">, </w:t>
      </w:r>
      <w:hyperlink r:id="rId901" w:history="1">
        <w:r>
          <w:rPr>
            <w:rFonts w:ascii="arial" w:eastAsia="arial" w:hAnsi="arial" w:cs="arial"/>
            <w:i/>
            <w:color w:val="0077CC"/>
            <w:sz w:val="20"/>
            <w:u w:val="single"/>
            <w:shd w:val="clear" w:color="auto" w:fill="FFFFFF"/>
            <w:lang w:val="en-US" w:eastAsia="en-US" w:bidi="ar-SA"/>
          </w:rPr>
          <w:t>2001 SCC 80</w:t>
        </w:r>
      </w:hyperlink>
      <w:r>
        <w:rPr>
          <w:rFonts w:ascii="arial" w:eastAsia="arial" w:hAnsi="arial" w:cs="arial"/>
          <w:color w:val="000000"/>
          <w:sz w:val="20"/>
          <w:lang w:val="en-US" w:eastAsia="en-US" w:bidi="ar-SA"/>
        </w:rPr>
        <w:t>, at para. 9;</w:t>
      </w:r>
      <w:r>
        <w:rPr>
          <w:rFonts w:ascii="arial" w:eastAsia="arial" w:hAnsi="arial" w:cs="arial"/>
          <w:i/>
          <w:color w:val="000000"/>
          <w:sz w:val="20"/>
          <w:lang w:val="en-US" w:eastAsia="en-US" w:bidi="ar-SA"/>
        </w:rPr>
        <w:t xml:space="preserve"> Odhavji Estate v. Woodhouse</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at paras. 47-50; </w:t>
      </w:r>
      <w:r>
        <w:rPr>
          <w:rFonts w:ascii="arial" w:eastAsia="arial" w:hAnsi="arial" w:cs="arial"/>
          <w:i/>
          <w:color w:val="000000"/>
          <w:sz w:val="20"/>
          <w:lang w:val="en-US" w:eastAsia="en-US" w:bidi="ar-SA"/>
        </w:rPr>
        <w:t>Childs v. Desormeaux</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[2006] 1 S.C.R. 643</w:t>
        </w:r>
      </w:hyperlink>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2006 SCC 18</w:t>
        </w:r>
      </w:hyperlink>
      <w:r>
        <w:rPr>
          <w:rFonts w:ascii="arial" w:eastAsia="arial" w:hAnsi="arial" w:cs="arial"/>
          <w:color w:val="000000"/>
          <w:sz w:val="20"/>
          <w:lang w:val="en-US" w:eastAsia="en-US" w:bidi="ar-SA"/>
        </w:rPr>
        <w:t>, at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In determining whether the relationship between a plaintiff and defendant gives rise to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the first element that must be established is foreseeability.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McLachlin C.J. states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 In the foundational case of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[1932] A.C. 562 (H.L.), Lord Atkin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rule that you are to love your neighbour becomes in law, you must not injure your neighbour; and the lawyer's question, Who is my neighbour? receives a restricted reply. ... Who, then, in law is my neighbour? The answer seems to be -- </w:t>
      </w:r>
      <w:r>
        <w:rPr>
          <w:rFonts w:ascii="arial" w:eastAsia="arial" w:hAnsi="arial" w:cs="arial"/>
          <w:color w:val="000000"/>
          <w:sz w:val="20"/>
          <w:u w:val="single"/>
          <w:lang w:val="en-US" w:eastAsia="en-US" w:bidi="ar-SA"/>
        </w:rPr>
        <w:t>persons who are so closely and directly affected by my act that I ought reasonably to have them in contemplation as being so affected when I am directing my mind to the acts or omissions which are called in question</w:t>
      </w:r>
      <w:r>
        <w:rPr>
          <w:rFonts w:ascii="arial" w:eastAsia="arial" w:hAnsi="arial" w:cs="arial"/>
          <w:color w:val="000000"/>
          <w:sz w:val="20"/>
          <w:lang w:val="en-US" w:eastAsia="en-US" w:bidi="ar-SA"/>
        </w:rPr>
        <w:t>. [Emphasis added; p. 580.]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Lord Atkin went on to state that each person "must take reasonable care to avoid acts or omissions which you can reasonably foresee would be likely to injure your neighbour" (p. 580). Thus the first question in determining whether a duty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owed is whether it was reasonably foreseeable that the actions of the alleged wrongdoer would cause harm to the victim.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Foreseeability alone is insufficient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There must also be a close and direct relationship of proximity or neighbourhood between the plaintiff and defendant.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McLachlin C.J. states at paras. 24-25: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Generally speaking, the proximity analysis involves examining the relationship at issue, considering factors such as expectations, representations, reliance and property or other interests involved: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34. Different relationships raise different considerations. "The factors which may satisfy the requirement of proximity are diverse and depend on the circumstances of the case. One searches in vain for a single unifying characteristic":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at para. 35. No single rule, factor or definitive list of factors can be applied in every case. "Proximity may be usefully viewed, not so much as a test in itself, but as a broad concept which is capable of subsuming different categories of cases involving different factors"(</w:t>
      </w:r>
      <w:r>
        <w:rPr>
          <w:rFonts w:ascii="arial" w:eastAsia="arial" w:hAnsi="arial" w:cs="arial"/>
          <w:i/>
          <w:color w:val="000000"/>
          <w:sz w:val="20"/>
          <w:lang w:val="en-US" w:eastAsia="en-US" w:bidi="ar-SA"/>
        </w:rPr>
        <w:t>Canadian National Railway Co. v. Norsk Pacific Steamship Co.</w:t>
      </w:r>
      <w:r>
        <w:rPr>
          <w:rFonts w:ascii="arial" w:eastAsia="arial" w:hAnsi="arial" w:cs="arial"/>
          <w:color w:val="000000"/>
          <w:sz w:val="20"/>
          <w:lang w:val="en-US" w:eastAsia="en-US" w:bidi="ar-SA"/>
        </w:rPr>
        <w:t xml:space="preserve">, </w:t>
      </w:r>
      <w:hyperlink r:id="rId902" w:history="1">
        <w:r>
          <w:rPr>
            <w:rFonts w:ascii="arial" w:eastAsia="arial" w:hAnsi="arial" w:cs="arial"/>
            <w:i/>
            <w:color w:val="0077CC"/>
            <w:sz w:val="20"/>
            <w:u w:val="single"/>
            <w:shd w:val="clear" w:color="auto" w:fill="FFFFFF"/>
            <w:lang w:val="en-US" w:eastAsia="en-US" w:bidi="ar-SA"/>
          </w:rPr>
          <w:t>[1992] 1 S.C.R. 1021</w:t>
        </w:r>
      </w:hyperlink>
      <w:r>
        <w:rPr>
          <w:rFonts w:ascii="arial" w:eastAsia="arial" w:hAnsi="arial" w:cs="arial"/>
          <w:color w:val="000000"/>
          <w:sz w:val="20"/>
          <w:lang w:val="en-US" w:eastAsia="en-US" w:bidi="ar-SA"/>
        </w:rPr>
        <w:t xml:space="preserve">, at p. 1151, cited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at para. 35).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Proximity may be seen as providing an umbrella covering types of relationships where a duty of care has been found by the courts. The vast number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proceed on the basis of a type of relationship previously recognized as giving rise to a duty of care. The duty of care of the motorist to other users of the highway; the duty of care of the doctor to his patient; the duty of care of the solicitor to her client -- these are but a few of the relationships where sufficient proximity to give rise to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is recognized, provided foreseeability is established. The categories of relationships characterized by sufficient proximity to attract legal liability are not closed, however. From time to time, claims are made that relationships hitherto unconsidered by courts support a duty of care giving rise to legal liability. When such cases arise, the courts must consider whether the claim for sufficient proximity is established. If it is, and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is not negated for policy reasons at the second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the new category will thereafter be recognized as capable of giving rise to a duty of care and legal liability. The result is a concept of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provides a large measure of certainty, through settled categories of liability -- attracting relationships, while permitting expansion to meet new circumstances and evolving conceptions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The words "close and direct" are not confined to describing physical proximity. Rather, they are concerned with whether the defendant's actions have a close or direct effect on the plaintiff, such that the defendant should have the plaintiff in mind as being potentially harmed by those actions.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McLachlin C.J. states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The most basic factor upon which the proximity analysis fixes is whether there is a relationship between the alleged wrongdoer and the victim, usually described by the words "close and direct". This factor is not concerned with how intimate the plaintiff and defendant were or with their physical proximity, so much as with whether the </w:t>
      </w:r>
      <w:r>
        <w:rPr>
          <w:rFonts w:ascii="arial" w:eastAsia="arial" w:hAnsi="arial" w:cs="arial"/>
          <w:i/>
          <w:color w:val="000000"/>
          <w:sz w:val="20"/>
          <w:lang w:val="en-US" w:eastAsia="en-US" w:bidi="ar-SA"/>
        </w:rPr>
        <w:t>actions</w:t>
      </w:r>
      <w:r>
        <w:rPr>
          <w:rFonts w:ascii="arial" w:eastAsia="arial" w:hAnsi="arial" w:cs="arial"/>
          <w:color w:val="000000"/>
          <w:sz w:val="20"/>
          <w:lang w:val="en-US" w:eastAsia="en-US" w:bidi="ar-SA"/>
        </w:rPr>
        <w:t xml:space="preserve"> of the alleged wrongdoer have a close or direct effect on the victim, such that the wrongdoer ought to have had the victim in mind as a person potentially harmed. A sufficiently close and direct connection between the actions of the wrongdoer and the victim may exist where there is a personal relationship between alleged wrongdoer and victim. However, it may also exist where there is no personal relationship between the victim and wrongdoer. In the words of Lord Atkin in </w:t>
      </w:r>
      <w:r>
        <w:rPr>
          <w:rFonts w:ascii="arial" w:eastAsia="arial" w:hAnsi="arial" w:cs="arial"/>
          <w:i/>
          <w:color w:val="000000"/>
          <w:sz w:val="20"/>
          <w:lang w:val="en-US" w:eastAsia="en-US" w:bidi="ar-SA"/>
        </w:rPr>
        <w:t>Donoghue</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duty to take due care [arises] when the person or property of one was in such proximity to the person or property of another that, if due care was not taken, damage might be done by the one to the other. </w:t>
      </w:r>
      <w:r>
        <w:rPr>
          <w:rFonts w:ascii="arial" w:eastAsia="arial" w:hAnsi="arial" w:cs="arial"/>
          <w:color w:val="000000"/>
          <w:sz w:val="20"/>
          <w:u w:val="single"/>
          <w:lang w:val="en-US" w:eastAsia="en-US" w:bidi="ar-SA"/>
        </w:rPr>
        <w:t>I think that this sufficiently states the truth if proximity be not confined to mere physical proximity, but be used, as I think it was intended, to extend to such close and direct relations that the act complained of directly affects a person whom the person alleged to be bound to take care would know would be directly affected by his careless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The final stage of the duty of care analysis engages residual policy considerations. These are not concerned with the relationship between the parties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but with the effect of recognizing a duty of care on other legal obligations, the legal system and society more generally.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McLachlin C.J. heard and rejected the following as policy reasons for negating a duty: "...the "quasi-judicial" nature of police work; the potential for conflict between a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other duties owed by police; the need to recognize a significant amount of discretion present in police work; the need to maintain the standard of reasonable and probable grounds applicable to police conduct; the potential for a chilling effect on the investigation of crime; and the possibility of a flood of litigation against the police" (para.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Specifically with respect to the discretion involved in police work, McLachlin C.J. says at paras. 51-54: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The discretion inherent in police work fails to provide a convincing reason to negate the proposed duty of care. It is true that police investigation involves significant discretion and that police officers are professionals trained to exercise this discretion and investigate effectively. However, the discretion inherent in police work is taken into account in formulating the </w:t>
      </w:r>
      <w:r>
        <w:rPr>
          <w:rFonts w:ascii="arial" w:eastAsia="arial" w:hAnsi="arial" w:cs="arial"/>
          <w:i/>
          <w:color w:val="000000"/>
          <w:sz w:val="20"/>
          <w:lang w:val="en-US" w:eastAsia="en-US" w:bidi="ar-SA"/>
        </w:rPr>
        <w:t>standard</w:t>
      </w:r>
      <w:r>
        <w:rPr>
          <w:rFonts w:ascii="arial" w:eastAsia="arial" w:hAnsi="arial" w:cs="arial"/>
          <w:color w:val="000000"/>
          <w:sz w:val="20"/>
          <w:lang w:val="en-US" w:eastAsia="en-US" w:bidi="ar-SA"/>
        </w:rPr>
        <w:t xml:space="preserve"> of care, not whether a duty of care arises. The discretionary nature of police work therefore provides no reason to deny the existence of a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Police, like other professionals, exercise professional discretion. No compelling distinction lies between police and other professionals on this score. Discretion, hunch and intuition have their proper place in police investigation. However, to characterize police work as completely unpredictable and unbound by standards of reasonableness is to deny its professional nature. Police exercise their discretion and professional judgment in accordance with professional standards and practices, consistent with the high standards of professionalism that society rightfully demands of police in performing their important and dangerous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[53] Police are not unlike other professionals in this respect. Many professional practitioners exercise similar levels of discretion. The practices of law and medicine, for example, involve discretion, intuition and occasionally hunch. Professionals in these fields are subject to a duty of care in tort nonetheless, and the courts routinely review their actions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without apparent difficulty.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Courts are not in the business of second-guessing reasonable exercises of discretion by trained professionals. An appropriate standard of care allows sufficient room to exercise discretion without incurring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Professionals are permitted to exercise discretion. What they are not permitted to do is to exercise their discretion unreasonably. This is in the public interest.</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Police pursuit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defendants concede that the RCMP owe a duty of care to persons using the roadway when a pursuit is underway.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The case law clearly establishes the existence of such a duty: </w:t>
      </w:r>
      <w:r>
        <w:rPr>
          <w:rFonts w:ascii="arial" w:eastAsia="arial" w:hAnsi="arial" w:cs="arial"/>
          <w:i/>
          <w:color w:val="000000"/>
          <w:sz w:val="20"/>
          <w:lang w:val="en-US" w:eastAsia="en-US" w:bidi="ar-SA"/>
        </w:rPr>
        <w:t>Radke v. MS (Litigation guardian of)</w:t>
      </w:r>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2005 BCSC 1355</w:t>
        </w:r>
      </w:hyperlink>
      <w:r>
        <w:rPr>
          <w:rFonts w:ascii="arial" w:eastAsia="arial" w:hAnsi="arial" w:cs="arial"/>
          <w:color w:val="000000"/>
          <w:sz w:val="20"/>
          <w:lang w:val="en-US" w:eastAsia="en-US" w:bidi="ar-SA"/>
        </w:rPr>
        <w:t xml:space="preserve">, aff'd by </w:t>
      </w:r>
      <w:hyperlink r:id="rId904" w:history="1">
        <w:r>
          <w:rPr>
            <w:rFonts w:ascii="arial" w:eastAsia="arial" w:hAnsi="arial" w:cs="arial"/>
            <w:i/>
            <w:color w:val="0077CC"/>
            <w:sz w:val="20"/>
            <w:u w:val="single"/>
            <w:shd w:val="clear" w:color="auto" w:fill="FFFFFF"/>
            <w:lang w:val="en-US" w:eastAsia="en-US" w:bidi="ar-SA"/>
          </w:rPr>
          <w:t>2007 BCCA 216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Burbank et al. v. Bolton et al.</w:t>
      </w:r>
      <w:r>
        <w:rPr>
          <w:rFonts w:ascii="arial" w:eastAsia="arial" w:hAnsi="arial" w:cs="arial"/>
          <w:color w:val="000000"/>
          <w:sz w:val="20"/>
          <w:lang w:val="en-US" w:eastAsia="en-US" w:bidi="ar-SA"/>
        </w:rPr>
        <w:t xml:space="preserve">, </w:t>
      </w:r>
      <w:hyperlink r:id="rId905" w:history="1">
        <w:r>
          <w:rPr>
            <w:rFonts w:ascii="arial" w:eastAsia="arial" w:hAnsi="arial" w:cs="arial"/>
            <w:i/>
            <w:color w:val="0077CC"/>
            <w:sz w:val="20"/>
            <w:u w:val="single"/>
            <w:shd w:val="clear" w:color="auto" w:fill="FFFFFF"/>
            <w:lang w:val="en-US" w:eastAsia="en-US" w:bidi="ar-SA"/>
          </w:rPr>
          <w:t>2005 BCSC 1506</w:t>
        </w:r>
      </w:hyperlink>
      <w:r>
        <w:rPr>
          <w:rFonts w:ascii="arial" w:eastAsia="arial" w:hAnsi="arial" w:cs="arial"/>
          <w:color w:val="000000"/>
          <w:sz w:val="20"/>
          <w:lang w:val="en-US" w:eastAsia="en-US" w:bidi="ar-SA"/>
        </w:rPr>
        <w:t xml:space="preserve">, aff'd by </w:t>
      </w:r>
      <w:hyperlink r:id="rId812" w:history="1">
        <w:r>
          <w:rPr>
            <w:rFonts w:ascii="arial" w:eastAsia="arial" w:hAnsi="arial" w:cs="arial"/>
            <w:i/>
            <w:color w:val="0077CC"/>
            <w:sz w:val="20"/>
            <w:u w:val="single"/>
            <w:shd w:val="clear" w:color="auto" w:fill="FFFFFF"/>
            <w:lang w:val="en-US" w:eastAsia="en-US" w:bidi="ar-SA"/>
          </w:rPr>
          <w:t>2007 BCCA 215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Doern v. Phillips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Estate</w:t>
      </w:r>
      <w:r>
        <w:rPr>
          <w:rFonts w:ascii="arial" w:eastAsia="arial" w:hAnsi="arial" w:cs="arial"/>
          <w:color w:val="000000"/>
          <w:sz w:val="20"/>
          <w:lang w:val="en-US" w:eastAsia="en-US" w:bidi="ar-SA"/>
        </w:rPr>
        <w:t xml:space="preserve"> </w:t>
      </w:r>
      <w:hyperlink r:id="rId906" w:history="1">
        <w:r>
          <w:rPr>
            <w:rFonts w:ascii="arial" w:eastAsia="arial" w:hAnsi="arial" w:cs="arial"/>
            <w:i/>
            <w:color w:val="0077CC"/>
            <w:sz w:val="20"/>
            <w:u w:val="single"/>
            <w:shd w:val="clear" w:color="auto" w:fill="FFFFFF"/>
            <w:lang w:val="en-US" w:eastAsia="en-US" w:bidi="ar-SA"/>
          </w:rPr>
          <w:t>(1995), 2 B.C.L.R. (3d) 349</w:t>
        </w:r>
      </w:hyperlink>
      <w:r>
        <w:rPr>
          <w:rFonts w:ascii="arial" w:eastAsia="arial" w:hAnsi="arial" w:cs="arial"/>
          <w:color w:val="000000"/>
          <w:sz w:val="20"/>
          <w:lang w:val="en-US" w:eastAsia="en-US" w:bidi="ar-SA"/>
        </w:rPr>
        <w:t xml:space="preserve"> (S.C.), aff'd by </w:t>
      </w:r>
      <w:hyperlink r:id="rId907" w:history="1">
        <w:r>
          <w:rPr>
            <w:rFonts w:ascii="arial" w:eastAsia="arial" w:hAnsi="arial" w:cs="arial"/>
            <w:i/>
            <w:color w:val="0077CC"/>
            <w:sz w:val="20"/>
            <w:u w:val="single"/>
            <w:shd w:val="clear" w:color="auto" w:fill="FFFFFF"/>
            <w:lang w:val="en-US" w:eastAsia="en-US" w:bidi="ar-SA"/>
          </w:rPr>
          <w:t>(1997), 43 B.C.L.R. (3d) 53</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McVea v. Beckett and others</w:t>
      </w:r>
      <w:r>
        <w:rPr>
          <w:rFonts w:ascii="arial" w:eastAsia="arial" w:hAnsi="arial" w:cs="arial"/>
          <w:color w:val="000000"/>
          <w:sz w:val="20"/>
          <w:lang w:val="en-US" w:eastAsia="en-US" w:bidi="ar-SA"/>
        </w:rPr>
        <w:t xml:space="preserve">, (19 October 2001) Vancouver C966558/S007799 (BCSC); </w:t>
      </w:r>
      <w:r>
        <w:rPr>
          <w:rFonts w:ascii="arial" w:eastAsia="arial" w:hAnsi="arial" w:cs="arial"/>
          <w:i/>
          <w:color w:val="000000"/>
          <w:sz w:val="20"/>
          <w:lang w:val="en-US" w:eastAsia="en-US" w:bidi="ar-SA"/>
        </w:rPr>
        <w:t>Blaz v. Dickinson</w:t>
      </w:r>
      <w:r>
        <w:rPr>
          <w:rFonts w:ascii="arial" w:eastAsia="arial" w:hAnsi="arial" w:cs="arial"/>
          <w:color w:val="000000"/>
          <w:sz w:val="20"/>
          <w:lang w:val="en-US" w:eastAsia="en-US" w:bidi="ar-SA"/>
        </w:rPr>
        <w:t xml:space="preserve"> </w:t>
      </w:r>
      <w:hyperlink r:id="rId908" w:history="1">
        <w:r>
          <w:rPr>
            <w:rFonts w:ascii="arial" w:eastAsia="arial" w:hAnsi="arial" w:cs="arial"/>
            <w:i/>
            <w:color w:val="0077CC"/>
            <w:sz w:val="20"/>
            <w:u w:val="single"/>
            <w:shd w:val="clear" w:color="auto" w:fill="FFFFFF"/>
            <w:lang w:val="en-US" w:eastAsia="en-US" w:bidi="ar-SA"/>
          </w:rPr>
          <w:t>(1996), 23 M.V.R. (3d) 70</w:t>
        </w:r>
      </w:hyperlink>
      <w:r>
        <w:rPr>
          <w:rFonts w:ascii="arial" w:eastAsia="arial" w:hAnsi="arial" w:cs="arial"/>
          <w:color w:val="000000"/>
          <w:sz w:val="20"/>
          <w:lang w:val="en-US" w:eastAsia="en-US" w:bidi="ar-SA"/>
        </w:rPr>
        <w:t xml:space="preserve"> (Ont. C.J.); </w:t>
      </w:r>
      <w:r>
        <w:rPr>
          <w:rFonts w:ascii="arial" w:eastAsia="arial" w:hAnsi="arial" w:cs="arial"/>
          <w:i/>
          <w:color w:val="000000"/>
          <w:sz w:val="20"/>
          <w:lang w:val="en-US" w:eastAsia="en-US" w:bidi="ar-SA"/>
        </w:rPr>
        <w:t>Noel (Committee of) v. Botkin</w:t>
      </w:r>
      <w:r>
        <w:rPr>
          <w:rFonts w:ascii="arial" w:eastAsia="arial" w:hAnsi="arial" w:cs="arial"/>
          <w:color w:val="000000"/>
          <w:sz w:val="20"/>
          <w:lang w:val="en-US" w:eastAsia="en-US" w:bidi="ar-SA"/>
        </w:rPr>
        <w:t xml:space="preserve"> </w:t>
      </w:r>
      <w:hyperlink r:id="rId909" w:history="1">
        <w:r>
          <w:rPr>
            <w:rFonts w:ascii="arial" w:eastAsia="arial" w:hAnsi="arial" w:cs="arial"/>
            <w:i/>
            <w:color w:val="0077CC"/>
            <w:sz w:val="20"/>
            <w:u w:val="single"/>
            <w:shd w:val="clear" w:color="auto" w:fill="FFFFFF"/>
            <w:lang w:val="en-US" w:eastAsia="en-US" w:bidi="ar-SA"/>
          </w:rPr>
          <w:t>(1995), 9 B.C.L.R. (3d) 21</w:t>
        </w:r>
      </w:hyperlink>
      <w:r>
        <w:rPr>
          <w:rFonts w:ascii="arial" w:eastAsia="arial" w:hAnsi="arial" w:cs="arial"/>
          <w:color w:val="000000"/>
          <w:sz w:val="20"/>
          <w:lang w:val="en-US" w:eastAsia="en-US" w:bidi="ar-SA"/>
        </w:rPr>
        <w:t xml:space="preserve"> (S.C.);</w:t>
      </w:r>
      <w:r>
        <w:rPr>
          <w:rFonts w:ascii="arial" w:eastAsia="arial" w:hAnsi="arial" w:cs="arial"/>
          <w:i/>
          <w:color w:val="000000"/>
          <w:sz w:val="20"/>
          <w:lang w:val="en-US" w:eastAsia="en-US" w:bidi="ar-SA"/>
        </w:rPr>
        <w:t xml:space="preserve"> Jones v. Denomme</w:t>
      </w:r>
      <w:r>
        <w:rPr>
          <w:rFonts w:ascii="arial" w:eastAsia="arial" w:hAnsi="arial" w:cs="arial"/>
          <w:color w:val="000000"/>
          <w:sz w:val="20"/>
          <w:lang w:val="en-US" w:eastAsia="en-US" w:bidi="ar-SA"/>
        </w:rPr>
        <w:t xml:space="preserve">, </w:t>
      </w:r>
      <w:hyperlink r:id="rId910" w:history="1">
        <w:r>
          <w:rPr>
            <w:rFonts w:ascii="arial" w:eastAsia="arial" w:hAnsi="arial" w:cs="arial"/>
            <w:i/>
            <w:color w:val="0077CC"/>
            <w:sz w:val="20"/>
            <w:u w:val="single"/>
            <w:shd w:val="clear" w:color="auto" w:fill="FFFFFF"/>
            <w:lang w:val="en-US" w:eastAsia="en-US" w:bidi="ar-SA"/>
          </w:rPr>
          <w:t>[1994] O.J. No. 611</w:t>
        </w:r>
      </w:hyperlink>
      <w:r>
        <w:rPr>
          <w:rFonts w:ascii="arial" w:eastAsia="arial" w:hAnsi="arial" w:cs="arial"/>
          <w:color w:val="000000"/>
          <w:sz w:val="20"/>
          <w:lang w:val="en-US" w:eastAsia="en-US" w:bidi="ar-SA"/>
        </w:rPr>
        <w:t xml:space="preserve"> (S.C.J.); </w:t>
      </w:r>
      <w:r>
        <w:rPr>
          <w:rFonts w:ascii="arial" w:eastAsia="arial" w:hAnsi="arial" w:cs="arial"/>
          <w:i/>
          <w:color w:val="000000"/>
          <w:sz w:val="20"/>
          <w:lang w:val="en-US" w:eastAsia="en-US" w:bidi="ar-SA"/>
        </w:rPr>
        <w:t>Moore et al. v. Fanning et al.</w:t>
      </w:r>
      <w:r>
        <w:rPr>
          <w:rFonts w:ascii="arial" w:eastAsia="arial" w:hAnsi="arial" w:cs="arial"/>
          <w:color w:val="000000"/>
          <w:sz w:val="20"/>
          <w:lang w:val="en-US" w:eastAsia="en-US" w:bidi="ar-SA"/>
        </w:rPr>
        <w:t xml:space="preserve"> </w:t>
      </w:r>
      <w:hyperlink r:id="rId911" w:history="1">
        <w:r>
          <w:rPr>
            <w:rFonts w:ascii="arial" w:eastAsia="arial" w:hAnsi="arial" w:cs="arial"/>
            <w:i/>
            <w:color w:val="0077CC"/>
            <w:sz w:val="20"/>
            <w:u w:val="single"/>
            <w:shd w:val="clear" w:color="auto" w:fill="FFFFFF"/>
            <w:lang w:val="en-US" w:eastAsia="en-US" w:bidi="ar-SA"/>
          </w:rPr>
          <w:t>(1987) 60 O.R. (2d) 225</w:t>
        </w:r>
      </w:hyperlink>
      <w:r>
        <w:rPr>
          <w:rFonts w:ascii="arial" w:eastAsia="arial" w:hAnsi="arial" w:cs="arial"/>
          <w:color w:val="000000"/>
          <w:sz w:val="20"/>
          <w:lang w:val="en-US" w:eastAsia="en-US" w:bidi="ar-SA"/>
        </w:rPr>
        <w:t xml:space="preserve"> (H.C.J); </w:t>
      </w:r>
      <w:r>
        <w:rPr>
          <w:rFonts w:ascii="arial" w:eastAsia="arial" w:hAnsi="arial" w:cs="arial"/>
          <w:i/>
          <w:color w:val="000000"/>
          <w:sz w:val="20"/>
          <w:lang w:val="en-US" w:eastAsia="en-US" w:bidi="ar-SA"/>
        </w:rPr>
        <w:t>O'Reilly v. D.R.C.</w:t>
      </w:r>
      <w:r>
        <w:rPr>
          <w:rFonts w:ascii="arial" w:eastAsia="arial" w:hAnsi="arial" w:cs="arial"/>
          <w:color w:val="000000"/>
          <w:sz w:val="20"/>
          <w:lang w:val="en-US" w:eastAsia="en-US" w:bidi="ar-SA"/>
        </w:rPr>
        <w:t xml:space="preserve"> (1978), </w:t>
      </w:r>
      <w:hyperlink r:id="rId912" w:history="1">
        <w:r>
          <w:rPr>
            <w:rFonts w:ascii="arial" w:eastAsia="arial" w:hAnsi="arial" w:cs="arial"/>
            <w:i/>
            <w:color w:val="0077CC"/>
            <w:sz w:val="20"/>
            <w:u w:val="single"/>
            <w:shd w:val="clear" w:color="auto" w:fill="FFFFFF"/>
            <w:lang w:val="en-US" w:eastAsia="en-US" w:bidi="ar-SA"/>
          </w:rPr>
          <w:t>[1979] 3 W.W.R. 124</w:t>
        </w:r>
      </w:hyperlink>
      <w:r>
        <w:rPr>
          <w:rFonts w:ascii="arial" w:eastAsia="arial" w:hAnsi="arial" w:cs="arial"/>
          <w:color w:val="000000"/>
          <w:sz w:val="20"/>
          <w:lang w:val="en-US" w:eastAsia="en-US" w:bidi="ar-SA"/>
        </w:rPr>
        <w:t xml:space="preserve"> (Man.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This case is slightly different from the aforementioned authorities on the basis that the RCMP did not activate their vehicle's lights and siren. As I detailed earlier, the activation of lights and siren is part of the RCMP definition of a pursuit and is also required for the RCMP to exercise the privileges granted by s. 122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The defendants' assertion that there was, in fact, no pursuit in this case relies in part on this distinction.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Of all the authorities listed above, </w:t>
      </w:r>
      <w:r>
        <w:rPr>
          <w:rFonts w:ascii="arial" w:eastAsia="arial" w:hAnsi="arial" w:cs="arial"/>
          <w:i/>
          <w:color w:val="000000"/>
          <w:sz w:val="20"/>
          <w:lang w:val="en-US" w:eastAsia="en-US" w:bidi="ar-SA"/>
        </w:rPr>
        <w:t>Radke</w:t>
      </w:r>
      <w:r>
        <w:rPr>
          <w:rFonts w:ascii="arial" w:eastAsia="arial" w:hAnsi="arial" w:cs="arial"/>
          <w:color w:val="000000"/>
          <w:sz w:val="20"/>
          <w:lang w:val="en-US" w:eastAsia="en-US" w:bidi="ar-SA"/>
        </w:rPr>
        <w:t xml:space="preserve"> is particularly relevant to the circumstances of this case, although it was not disputed that the RCMP owed the plaintiff a duty of care as the defendants do here. In the result, Bennett J. found the RCMP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pursuit of a stolen vehicle. Most importantly in the context of this case, Bennett J. considered the actions and knowledge of the RCMP leading up to the decision to commence a pursuit in finding that they breached the requisite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Radke</w:t>
      </w:r>
      <w:r>
        <w:rPr>
          <w:rFonts w:ascii="arial" w:eastAsia="arial" w:hAnsi="arial" w:cs="arial"/>
          <w:color w:val="000000"/>
          <w:sz w:val="20"/>
          <w:lang w:val="en-US" w:eastAsia="en-US" w:bidi="ar-SA"/>
        </w:rPr>
        <w:t>, the RCMP came across a parked stolen car and planned to disable it before its occupants returned. However, the RCMP did not disable the car nor was a perimeter established around the vehicle. The occupants returned to the car and fled the scene. The RCMP then pursued the stolen car, which ran a stop sign and struck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614"/>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(iii)</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Non-pursuit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 </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situations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defendants argue that the RCMP did not owe a private law duty of care to the plaintiff in the circumstances of this case. At the very least, the defendants submit that the RCMP did not owe a private law duty of care prior to the initiation of the pursuit, which I have already found as fact to have taken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In support of this position the defendants cite several decisions which they say establishes that there is no private law duty of care owed by the RCMP for various acts or omissions committed in the exercise of their public responsibility to preserve the peace and prevent crime: </w:t>
      </w:r>
      <w:r>
        <w:rPr>
          <w:rFonts w:ascii="arial" w:eastAsia="arial" w:hAnsi="arial" w:cs="arial"/>
          <w:i/>
          <w:color w:val="000000"/>
          <w:sz w:val="20"/>
          <w:lang w:val="en-US" w:eastAsia="en-US" w:bidi="ar-SA"/>
        </w:rPr>
        <w:t>Burnett v. Moir</w:t>
      </w:r>
      <w:r>
        <w:rPr>
          <w:rFonts w:ascii="arial" w:eastAsia="arial" w:hAnsi="arial" w:cs="arial"/>
          <w:color w:val="000000"/>
          <w:sz w:val="20"/>
          <w:lang w:val="en-US" w:eastAsia="en-US" w:bidi="ar-SA"/>
        </w:rPr>
        <w:t xml:space="preserve">, </w:t>
      </w:r>
      <w:hyperlink r:id="rId913" w:history="1">
        <w:r>
          <w:rPr>
            <w:rFonts w:ascii="arial" w:eastAsia="arial" w:hAnsi="arial" w:cs="arial"/>
            <w:i/>
            <w:color w:val="0077CC"/>
            <w:sz w:val="20"/>
            <w:u w:val="single"/>
            <w:shd w:val="clear" w:color="auto" w:fill="FFFFFF"/>
            <w:lang w:val="en-US" w:eastAsia="en-US" w:bidi="ar-SA"/>
          </w:rPr>
          <w:t>2011 BCSC 1469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Callan v. Cooke</w:t>
      </w:r>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2012 BCSC 1589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Project 360 Investments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(Sound Emporium Nightclub) v. Toronto Police Services Board</w:t>
      </w:r>
      <w:r>
        <w:rPr>
          <w:rFonts w:ascii="arial" w:eastAsia="arial" w:hAnsi="arial" w:cs="arial"/>
          <w:color w:val="000000"/>
          <w:sz w:val="20"/>
          <w:lang w:val="en-US" w:eastAsia="en-US" w:bidi="ar-SA"/>
        </w:rPr>
        <w:t xml:space="preserve">, </w:t>
      </w:r>
      <w:hyperlink r:id="rId914" w:history="1">
        <w:r>
          <w:rPr>
            <w:rFonts w:ascii="arial" w:eastAsia="arial" w:hAnsi="arial" w:cs="arial"/>
            <w:i/>
            <w:color w:val="0077CC"/>
            <w:sz w:val="20"/>
            <w:u w:val="single"/>
            <w:shd w:val="clear" w:color="auto" w:fill="FFFFFF"/>
            <w:lang w:val="en-US" w:eastAsia="en-US" w:bidi="ar-SA"/>
          </w:rPr>
          <w:t>2009 CanLII 36380</w:t>
        </w:r>
      </w:hyperlink>
      <w:r>
        <w:rPr>
          <w:rFonts w:ascii="arial" w:eastAsia="arial" w:hAnsi="arial" w:cs="arial"/>
          <w:color w:val="000000"/>
          <w:sz w:val="20"/>
          <w:lang w:val="en-US" w:eastAsia="en-US" w:bidi="ar-SA"/>
        </w:rPr>
        <w:t xml:space="preserve"> (Ont. S.C.J.) [</w:t>
      </w:r>
      <w:r>
        <w:rPr>
          <w:rFonts w:ascii="arial" w:eastAsia="arial" w:hAnsi="arial" w:cs="arial"/>
          <w:i/>
          <w:color w:val="000000"/>
          <w:sz w:val="20"/>
          <w:lang w:val="en-US" w:eastAsia="en-US" w:bidi="ar-SA"/>
        </w:rPr>
        <w:t>Project 360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In all of these cases the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failed because a duty of care was found not to exist for a lack of proximity. I note that both </w:t>
      </w:r>
      <w:r>
        <w:rPr>
          <w:rFonts w:ascii="arial" w:eastAsia="arial" w:hAnsi="arial" w:cs="arial"/>
          <w:i/>
          <w:color w:val="000000"/>
          <w:sz w:val="20"/>
          <w:lang w:val="en-US" w:eastAsia="en-US" w:bidi="ar-SA"/>
        </w:rPr>
        <w:t>Callan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Project 360</w:t>
      </w:r>
      <w:r>
        <w:rPr>
          <w:rFonts w:ascii="arial" w:eastAsia="arial" w:hAnsi="arial" w:cs="arial"/>
          <w:color w:val="000000"/>
          <w:sz w:val="20"/>
          <w:lang w:val="en-US" w:eastAsia="en-US" w:bidi="ar-SA"/>
        </w:rPr>
        <w:t xml:space="preserve"> were successful applications to strike the pleadings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disclosing no cause of action. </w:t>
      </w:r>
      <w:r>
        <w:rPr>
          <w:rFonts w:ascii="arial" w:eastAsia="arial" w:hAnsi="arial" w:cs="arial"/>
          <w:i/>
          <w:color w:val="000000"/>
          <w:sz w:val="20"/>
          <w:lang w:val="en-US" w:eastAsia="en-US" w:bidi="ar-SA"/>
        </w:rPr>
        <w:t>Burnett</w:t>
      </w:r>
      <w:r>
        <w:rPr>
          <w:rFonts w:ascii="arial" w:eastAsia="arial" w:hAnsi="arial" w:cs="arial"/>
          <w:color w:val="000000"/>
          <w:sz w:val="20"/>
          <w:lang w:val="en-US" w:eastAsia="en-US" w:bidi="ar-SA"/>
        </w:rPr>
        <w:t>, on the other hand, is a trial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Burnett</w:t>
      </w:r>
      <w:r>
        <w:rPr>
          <w:rFonts w:ascii="arial" w:eastAsia="arial" w:hAnsi="arial" w:cs="arial"/>
          <w:color w:val="000000"/>
          <w:sz w:val="20"/>
          <w:lang w:val="en-US" w:eastAsia="en-US" w:bidi="ar-SA"/>
        </w:rPr>
        <w:t xml:space="preserve">, the plaintiff, Mr. Burnett, was assaulted at a night club by an unknown assailant and sustained a moderately severe brain injury. The nightclub had a history of violent incidents occurring on its premises that was known to the police. Mr. Burnett claimed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police for,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a failure to identify the night club as a nuisance to the public and take pre-emptive steps to adequately warn potential patrons of the possible danger. In order to succeed in the claim, Mr. Burnett sought to establish that the police owed him a private law duty of care for acts or omissions committed in the exercise of their public responsibility to preserve the peace and prevent crime.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In finding that the police did not owe Mr. Burnett a duty of care with respect to their failure to warn him of the potential risk posed by attending the night club, Cullen J. states at paras. 405, 410-414: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[405] The cases in which police failure to act, or negligent actions in connection with a potential victim have engaged a duty of care, in </w:t>
      </w:r>
      <w:r>
        <w:rPr>
          <w:rFonts w:ascii="arial" w:eastAsia="arial" w:hAnsi="arial" w:cs="arial"/>
          <w:i/>
          <w:color w:val="000000"/>
          <w:sz w:val="20"/>
          <w:lang w:val="en-US" w:eastAsia="en-US" w:bidi="ar-SA"/>
        </w:rPr>
        <w:t>Mooney, Jane Doe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Schacht,</w:t>
      </w:r>
      <w:r>
        <w:rPr>
          <w:rFonts w:ascii="arial" w:eastAsia="arial" w:hAnsi="arial" w:cs="arial"/>
          <w:color w:val="000000"/>
          <w:sz w:val="20"/>
          <w:lang w:val="en-US" w:eastAsia="en-US" w:bidi="ar-SA"/>
        </w:rPr>
        <w:t xml:space="preserve"> either involve specific ascertainable threats to specific ascertainable victims or specific ascertainable threats to a particular class of victim. ...There are thus clear distinctions to be drawn between the present case involving the plaintiff's membership in a large indeterminate pool of potential victims and a non-specific threat, which the evidence reveals, was not unique to the Cheers pub.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[410] ... It is objectively improbable that the plaintiff would have encountered a warning had one been issued, in respect of the Cheers pub, given his lack of connection to Delta and unfamiliarity with the Delta Defendants' website or any local news sources. Equally, it is objectively improbable that he would have heeded any such warning had he encountered it, given the evidence of his attendance at other bars or nightclubs with similar environments to Cheers, and his consumption of drugs that would tend to affect his judgment.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[411] The presence or absence of a close causal connection between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and the harm caused is a factor in determining proximity.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[412] Where, as here, the causal connection, insofar as the failure to warn is concerned, is remote and speculative rather than close, it cannot be said that the nexus between the parties is strong or compelling.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[413] For those reasons, while finding some limited evidence of a connection between the Delta Defendants and prospective Cheers patrons arising from the police corporate knowledge that a person entering Cheers was likely to be exposed to an environment involving some violent or turbulent circumstances, I am not satisfied the evidence reaches the level of establishing a close and direct relationship featuring the indicia of proximity identified by Chief Justice McLachlin in </w:t>
      </w:r>
      <w:r>
        <w:rPr>
          <w:rFonts w:ascii="arial" w:eastAsia="arial" w:hAnsi="arial" w:cs="arial"/>
          <w:i/>
          <w:color w:val="000000"/>
          <w:sz w:val="20"/>
          <w:lang w:val="en-US" w:eastAsia="en-US" w:bidi="ar-SA"/>
        </w:rPr>
        <w:t>Hill v. Hamilton Wentworth, supra,</w:t>
      </w:r>
      <w:r>
        <w:rPr>
          <w:rFonts w:ascii="arial" w:eastAsia="arial" w:hAnsi="arial" w:cs="arial"/>
          <w:color w:val="000000"/>
          <w:sz w:val="20"/>
          <w:lang w:val="en-US" w:eastAsia="en-US" w:bidi="ar-SA"/>
        </w:rPr>
        <w:t xml:space="preserve"> or manifested in other decisions such as </w:t>
      </w:r>
      <w:r>
        <w:rPr>
          <w:rFonts w:ascii="arial" w:eastAsia="arial" w:hAnsi="arial" w:cs="arial"/>
          <w:i/>
          <w:color w:val="000000"/>
          <w:sz w:val="20"/>
          <w:lang w:val="en-US" w:eastAsia="en-US" w:bidi="ar-SA"/>
        </w:rPr>
        <w:t>Jane Doe, Mooney,</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Schacht.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[414] I thus conclude the relationship at issue does not sustain sufficient proximity to found a duty of care. The plaintiff was but one of a large indeterminate pool of potential patrons of Cheers, rather than an identifiable potential victim of a specific threat.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Callan</w:t>
      </w:r>
      <w:r>
        <w:rPr>
          <w:rFonts w:ascii="arial" w:eastAsia="arial" w:hAnsi="arial" w:cs="arial"/>
          <w:color w:val="000000"/>
          <w:sz w:val="20"/>
          <w:lang w:val="en-US" w:eastAsia="en-US" w:bidi="ar-SA"/>
        </w:rPr>
        <w:t>, the plaintiff, Mr. Callan, alleged that he was sexually assaulted numerous times by Mr. Cooke, who was the assistant hockey coach of Mr. Callan's midget hockey team. Mr. Cooke was also an RCMP officer and Mr. Callan alleged that many of the sexual assaults took place while Mr. Cooke was acting in that professional capacity. The defendants applied to strike out the portions of Mr. Callan's pleadings that claimed against the RCMP for negligent investigation of Mr. Cooke. Specifically, Mr. Callan claimed that the RCMP was negligent in investigating complaints by others against Mr. Cooke and that this exacerbated the effect and impact of the alleged assaults on Mr. Callan.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In deciding to grant the defendant's application and strike the pleadings of negligent investigation against the RCMP, Arnold-Bailey J. states at paras. 63-68: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I find that the plaintiff is not sufficiently proximate in relation to the RCMP to give rise to a private law duty owed to him by the RCMP in negligent investigation. It is not reasonably foreseeable that the RCMP's negligent investigation of other complaints against Mr. Cooke would cause the type of harm alleged by the plaintiff. Without facts pleaded as to the nature of those other complaints there is no basis upon which to find a proximate relationship existed between the plaintiff and the RCMP. This is particularly so as the plaintiff made no complaints to the RCMP for ten years after the alleged sexual assaults of him ceased. His claim against Mr. Cooke was not known to the RCMP. Therefore, during the most relevant time period, the plaintiff was not within a discrete class of individuals reasonably known to be affected by the alleged failure to investigate by the RCMP.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[64] Not falling within the failure to warn exception, I find that as an alleged victim of a crime, based on </w:t>
      </w:r>
      <w:r>
        <w:rPr>
          <w:rFonts w:ascii="arial" w:eastAsia="arial" w:hAnsi="arial" w:cs="arial"/>
          <w:i/>
          <w:color w:val="000000"/>
          <w:sz w:val="20"/>
          <w:lang w:val="en-US" w:eastAsia="en-US" w:bidi="ar-SA"/>
        </w:rPr>
        <w:t>Wellington,</w:t>
      </w:r>
      <w:r>
        <w:rPr>
          <w:rFonts w:ascii="arial" w:eastAsia="arial" w:hAnsi="arial" w:cs="arial"/>
          <w:color w:val="000000"/>
          <w:sz w:val="20"/>
          <w:lang w:val="en-US" w:eastAsia="en-US" w:bidi="ar-SA"/>
        </w:rPr>
        <w:t xml:space="preserve"> the RCMP do not owe a private law duty of care to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[65] The plaintiff is also alleging that the RCMP owed him a private law duty to conduct an investigation of other complainants as to the conduct of Mr. Cook. In this regard, his position is similar to that of the father in </w:t>
      </w:r>
      <w:r>
        <w:rPr>
          <w:rFonts w:ascii="arial" w:eastAsia="arial" w:hAnsi="arial" w:cs="arial"/>
          <w:i/>
          <w:color w:val="000000"/>
          <w:sz w:val="20"/>
          <w:lang w:val="en-US" w:eastAsia="en-US" w:bidi="ar-SA"/>
        </w:rPr>
        <w:t>Thompson</w:t>
      </w:r>
      <w:r>
        <w:rPr>
          <w:rFonts w:ascii="arial" w:eastAsia="arial" w:hAnsi="arial" w:cs="arial"/>
          <w:color w:val="000000"/>
          <w:sz w:val="20"/>
          <w:lang w:val="en-US" w:eastAsia="en-US" w:bidi="ar-SA"/>
        </w:rPr>
        <w:t xml:space="preserve"> insofar as he is not sufficiently proximate to found a duty of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[66] In addition, as stated in </w:t>
      </w:r>
      <w:r>
        <w:rPr>
          <w:rFonts w:ascii="arial" w:eastAsia="arial" w:hAnsi="arial" w:cs="arial"/>
          <w:i/>
          <w:color w:val="000000"/>
          <w:sz w:val="20"/>
          <w:lang w:val="en-US" w:eastAsia="en-US" w:bidi="ar-SA"/>
        </w:rPr>
        <w:t>Burnett</w:t>
      </w:r>
      <w:r>
        <w:rPr>
          <w:rFonts w:ascii="arial" w:eastAsia="arial" w:hAnsi="arial" w:cs="arial"/>
          <w:color w:val="000000"/>
          <w:sz w:val="20"/>
          <w:lang w:val="en-US" w:eastAsia="en-US" w:bidi="ar-SA"/>
        </w:rPr>
        <w:t>, I find that the plaintiff's claim of negligent investigation is too speculative. There is nothing in the pleadings to support a finding that, but for a negligent investigation, the plaintiff would have not been harmed. Here the connection between the investigation and the harm is too speculative to support a cause of action. Likewise, the plaintiff's claim that the negligent investigation of Mr. Cooke aggravated or perpetuated the harm to him is also too speculative.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[68] Therefore, absent limited exceptions, the police, including the RCMP, do not generally owe a private duty of care to victims or potential victims with regards to their investigations. They owe a duty to the public to carry out proper criminal investigations. I do not see that duty abrogated in any way because the alleged wrongdoer in this case is a member of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Project 360</w:t>
      </w:r>
      <w:r>
        <w:rPr>
          <w:rFonts w:ascii="arial" w:eastAsia="arial" w:hAnsi="arial" w:cs="arial"/>
          <w:color w:val="000000"/>
          <w:sz w:val="20"/>
          <w:lang w:val="en-US" w:eastAsia="en-US" w:bidi="ar-SA"/>
        </w:rPr>
        <w:t xml:space="preserve">, the plaintiffs operated a nightclub. An individual entered the nightclub with a concealed firearm and ultimately shot a patron. The plaintiffs asserted that they suffered economic damages as a result of this incident and sought to claim against the police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plaintiffs argued that the individual was known to police as a gang member, as involved in firearms trafficking, as a person with a history of violent criminal behaviour, and as the subject of an undercover investigation. As such, the plaintiffs contended that the police should have prevented the individual from entering the nightclub that evening and/or warned the plaintiffs of the individual's intention to enter. The defendants sought to strike the portions of the plaintiffs' pleadings that were premised on the proposition that regardless of whether the police had any knowledge of a specific link between the individual and the plaintiffs, the police owed the plaintiffs a general duty of care and that by failing to arrest the individual they breached this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In finding that the pleadings at issue should be struck for disclosing no cause of action, MacDonnell J. states at paras. 19,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In my opinion, it is manifest from the statement of the principles governing the delivery of police services set forth in s. 1 of the </w:t>
      </w:r>
      <w:r>
        <w:rPr>
          <w:rFonts w:ascii="arial" w:eastAsia="arial" w:hAnsi="arial" w:cs="arial"/>
          <w:i/>
          <w:color w:val="000000"/>
          <w:sz w:val="20"/>
          <w:lang w:val="en-US" w:eastAsia="en-US" w:bidi="ar-SA"/>
        </w:rPr>
        <w:t>PSA</w:t>
      </w:r>
      <w:r>
        <w:rPr>
          <w:rFonts w:ascii="arial" w:eastAsia="arial" w:hAnsi="arial" w:cs="arial"/>
          <w:color w:val="000000"/>
          <w:sz w:val="20"/>
          <w:lang w:val="en-US" w:eastAsia="en-US" w:bidi="ar-SA"/>
        </w:rPr>
        <w:t xml:space="preserve">, the duties of police officers set forth in s. 42(1), and the common law powers and duties incorporated by s. 42(3), that the duty of the police is to the public as a whole and not to specific individuals. To paraphrase language used by the Supreme Court of Canada in </w:t>
      </w:r>
      <w:r>
        <w:rPr>
          <w:rFonts w:ascii="arial" w:eastAsia="arial" w:hAnsi="arial" w:cs="arial"/>
          <w:i/>
          <w:color w:val="000000"/>
          <w:sz w:val="20"/>
          <w:lang w:val="en-US" w:eastAsia="en-US" w:bidi="ar-SA"/>
        </w:rPr>
        <w:t>Edwards v. Law Society of Upper Canada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borrowed by the Court of Appeal in </w:t>
      </w:r>
      <w:r>
        <w:rPr>
          <w:rFonts w:ascii="arial" w:eastAsia="arial" w:hAnsi="arial" w:cs="arial"/>
          <w:i/>
          <w:color w:val="000000"/>
          <w:sz w:val="20"/>
          <w:lang w:val="en-US" w:eastAsia="en-US" w:bidi="ar-SA"/>
        </w:rPr>
        <w:t>Williams</w:t>
      </w:r>
      <w:r>
        <w:rPr>
          <w:rFonts w:ascii="arial" w:eastAsia="arial" w:hAnsi="arial" w:cs="arial"/>
          <w:color w:val="000000"/>
          <w:sz w:val="20"/>
          <w:lang w:val="en-US" w:eastAsia="en-US" w:bidi="ar-SA"/>
        </w:rPr>
        <w:t xml:space="preserve">, </w:t>
      </w:r>
      <w:hyperlink r:id="rId915" w:history="1">
        <w:r>
          <w:rPr>
            <w:rFonts w:ascii="arial" w:eastAsia="arial" w:hAnsi="arial" w:cs="arial"/>
            <w:i/>
            <w:color w:val="0077CC"/>
            <w:sz w:val="20"/>
            <w:u w:val="single"/>
            <w:shd w:val="clear" w:color="auto" w:fill="FFFFFF"/>
            <w:lang w:val="en-US" w:eastAsia="en-US" w:bidi="ar-SA"/>
          </w:rPr>
          <w:t>[2009] O.J. No. 1819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in fulfilling their duties the police are required to act in the general public interest and to balance "a myriad of competing interests the nature of which are inconsistent with the imposition of a private law duty of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As I suggested earlier, the focus of the Chief Justice in </w:t>
      </w:r>
      <w:r>
        <w:rPr>
          <w:rFonts w:ascii="arial" w:eastAsia="arial" w:hAnsi="arial" w:cs="arial"/>
          <w:i/>
          <w:color w:val="000000"/>
          <w:sz w:val="20"/>
          <w:lang w:val="en-US" w:eastAsia="en-US" w:bidi="ar-SA"/>
        </w:rPr>
        <w:t>Hill v. Hamilton-Wentworth Police Service Board</w:t>
      </w:r>
      <w:r>
        <w:rPr>
          <w:rFonts w:ascii="arial" w:eastAsia="arial" w:hAnsi="arial" w:cs="arial"/>
          <w:color w:val="000000"/>
          <w:sz w:val="20"/>
          <w:lang w:val="en-US" w:eastAsia="en-US" w:bidi="ar-SA"/>
        </w:rPr>
        <w:t xml:space="preserve">, and of Henry J., Moldaver J., and MacFarland J. in </w:t>
      </w:r>
      <w:r>
        <w:rPr>
          <w:rFonts w:ascii="arial" w:eastAsia="arial" w:hAnsi="arial" w:cs="arial"/>
          <w:i/>
          <w:color w:val="000000"/>
          <w:sz w:val="20"/>
          <w:lang w:val="en-US" w:eastAsia="en-US" w:bidi="ar-SA"/>
        </w:rPr>
        <w:t>Jane Doe</w:t>
      </w:r>
      <w:r>
        <w:rPr>
          <w:rFonts w:ascii="arial" w:eastAsia="arial" w:hAnsi="arial" w:cs="arial"/>
          <w:color w:val="000000"/>
          <w:sz w:val="20"/>
          <w:lang w:val="en-US" w:eastAsia="en-US" w:bidi="ar-SA"/>
        </w:rPr>
        <w:t xml:space="preserve">, on the specific aspects of the plaintiffs' situation </w:t>
      </w:r>
      <w:r>
        <w:rPr>
          <w:rFonts w:ascii="arial" w:eastAsia="arial" w:hAnsi="arial" w:cs="arial"/>
          <w:i/>
          <w:color w:val="000000"/>
          <w:sz w:val="20"/>
          <w:lang w:val="en-US" w:eastAsia="en-US" w:bidi="ar-SA"/>
        </w:rPr>
        <w:t>vis à vis</w:t>
      </w:r>
      <w:r>
        <w:rPr>
          <w:rFonts w:ascii="arial" w:eastAsia="arial" w:hAnsi="arial" w:cs="arial"/>
          <w:color w:val="000000"/>
          <w:sz w:val="20"/>
          <w:lang w:val="en-US" w:eastAsia="en-US" w:bidi="ar-SA"/>
        </w:rPr>
        <w:t xml:space="preserve"> the police that distinguished them from other members of the public would not have been necessary if there were a general private law duty of care owed by the police to individual members of the public. Accordingly, in order for the plaintiffs to maintain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police for their failure to arrest McCalla prior to October 5, 2002, they must plead facts on the basis of which it could be found that a special relationship of proximity existed prior to October 5, 2002. The Statement of Claim contains no facts of that nature. The plaintiffs have not pleaded that prior to October 5, 2002, the police had any knowledge that McCalla had any link whatsoever to the plaintiffs or their nightclub, that he had ever been there, or that he ever intended to go there. Further, the plaintiffs have not pleaded that the police had any relationship with them prior to October 5. Based on the facts pleaded in the Statement of Claim, prior to October 5 the plaintiffs were in the same position </w:t>
      </w:r>
      <w:r>
        <w:rPr>
          <w:rFonts w:ascii="arial" w:eastAsia="arial" w:hAnsi="arial" w:cs="arial"/>
          <w:i/>
          <w:color w:val="000000"/>
          <w:sz w:val="20"/>
          <w:lang w:val="en-US" w:eastAsia="en-US" w:bidi="ar-SA"/>
        </w:rPr>
        <w:t>vis à vis</w:t>
      </w:r>
      <w:r>
        <w:rPr>
          <w:rFonts w:ascii="arial" w:eastAsia="arial" w:hAnsi="arial" w:cs="arial"/>
          <w:color w:val="000000"/>
          <w:sz w:val="20"/>
          <w:lang w:val="en-US" w:eastAsia="en-US" w:bidi="ar-SA"/>
        </w:rPr>
        <w:t xml:space="preserve"> the police as every other member of the public.</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Analysis - Does a duty of care exist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In my opinion the RCMP owed a duty of care to the plaintiffs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The case law is clear that the police owe a duty of care to other users of the roadway when conducting a pursuit. The defendants concede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 am not persuaded by the defendants' argument that this duty of care only exists when the police engage in a pursuit that meets the technical definition of the word. Rather, I find that this duty of care exists anytime the police pursue or chase a suspect, within the ordinary meaning of those words. I have already found as fact that the RCMP's actions in this case constituted a 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This is in line with the view of the Saskatchewan Court of Queen's Bench in </w:t>
      </w:r>
      <w:r>
        <w:rPr>
          <w:rFonts w:ascii="arial" w:eastAsia="arial" w:hAnsi="arial" w:cs="arial"/>
          <w:i/>
          <w:color w:val="000000"/>
          <w:sz w:val="20"/>
          <w:lang w:val="en-US" w:eastAsia="en-US" w:bidi="ar-SA"/>
        </w:rPr>
        <w:t>Nygaard v. Sears Canada Inc.</w:t>
      </w:r>
      <w:r>
        <w:rPr>
          <w:rFonts w:ascii="arial" w:eastAsia="arial" w:hAnsi="arial" w:cs="arial"/>
          <w:color w:val="000000"/>
          <w:sz w:val="20"/>
          <w:lang w:val="en-US" w:eastAsia="en-US" w:bidi="ar-SA"/>
        </w:rPr>
        <w:t xml:space="preserve">, </w:t>
      </w:r>
      <w:hyperlink r:id="rId916" w:history="1">
        <w:r>
          <w:rPr>
            <w:rFonts w:ascii="arial" w:eastAsia="arial" w:hAnsi="arial" w:cs="arial"/>
            <w:i/>
            <w:color w:val="0077CC"/>
            <w:sz w:val="20"/>
            <w:u w:val="single"/>
            <w:shd w:val="clear" w:color="auto" w:fill="FFFFFF"/>
            <w:lang w:val="en-US" w:eastAsia="en-US" w:bidi="ar-SA"/>
          </w:rPr>
          <w:t>2002 SKQB 239</w:t>
        </w:r>
      </w:hyperlink>
      <w:r>
        <w:rPr>
          <w:rFonts w:ascii="arial" w:eastAsia="arial" w:hAnsi="arial" w:cs="arial"/>
          <w:color w:val="000000"/>
          <w:sz w:val="20"/>
          <w:lang w:val="en-US" w:eastAsia="en-US" w:bidi="ar-SA"/>
        </w:rPr>
        <w:t>. In that decision, Laing J. found that a Sears' store security officer owed a duty of care to the plaintiff, who was riding a bike when she collided with a suspect being pursued on foot by the security officer. Laing J. states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Previous Canadian case law amply establishes that persons authorized by law to pursue persons suspected of crime nevertheless owe a duty of care to members of the public placed at risk by such pursuit. This duty of care applies to police officers who have a duty to apprehend suspected criminals, and it follows the same duty rests on persons who are authorized by law to pursue a suspected criminal, but do not have a duty to do so. The duty of care exists because it is reasonably foreseeable that a person who is being pursued will take risks in an attempt to escape apprehension. It is recognized that carelessness on the part of a pursuer that could cause damage to a member of the public establishes the necessary proximity between the pursuer, and the members of the public who are placed 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The B.C. Court of Appeal decision in </w:t>
      </w:r>
      <w:r>
        <w:rPr>
          <w:rFonts w:ascii="arial" w:eastAsia="arial" w:hAnsi="arial" w:cs="arial"/>
          <w:i/>
          <w:color w:val="000000"/>
          <w:sz w:val="20"/>
          <w:lang w:val="en-US" w:eastAsia="en-US" w:bidi="ar-SA"/>
        </w:rPr>
        <w:t>Radke</w:t>
      </w:r>
      <w:r>
        <w:rPr>
          <w:rFonts w:ascii="arial" w:eastAsia="arial" w:hAnsi="arial" w:cs="arial"/>
          <w:color w:val="000000"/>
          <w:sz w:val="20"/>
          <w:lang w:val="en-US" w:eastAsia="en-US" w:bidi="ar-SA"/>
        </w:rPr>
        <w:t xml:space="preserve"> demonstrates that this duty of care comes into play at the point at which it is reasonably foreseeable that a pursuit could occur. As such, the knowledge, decisions, and actions of the police leading up to the initiation of a pursuit are relevant to determining whether the police breached the required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In this case I have found as fact that Constables Huff and Brand were both aware of the fact that Mr. Guliker was a flight risk at the time the BOLF was sent out. At this point, it was reasonably foreseeable that Mr. Guliker would flee when approached. The RCMP's additional knowledge that Mr. Guliker was suicidal and had stated an intention to jump into traffic only served to heighten the likelihood that Mr. Guliker would flee. Consequently, I find that the RCMP owed a duty of care to other persons using the roadway in their decisions and actions in relation to Mr. Guliker that preceded the actual 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 agree with the defendants that there is not a general or overarching private law duty owed by the police to individual members of the public. In my view, however, the cases cited by the defendants where no duty of care existed are distinguishable from the circumstances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Burnett</w:t>
      </w:r>
      <w:r>
        <w:rPr>
          <w:rFonts w:ascii="arial" w:eastAsia="arial" w:hAnsi="arial" w:cs="arial"/>
          <w:color w:val="000000"/>
          <w:sz w:val="20"/>
          <w:lang w:val="en-US" w:eastAsia="en-US" w:bidi="ar-SA"/>
        </w:rPr>
        <w:t xml:space="preserve">, Cullen J. found the plaintiff to be from a "large indeterminate pool of potential victims" at risk from "a non-specific threat" (para. 405). In </w:t>
      </w:r>
      <w:r>
        <w:rPr>
          <w:rFonts w:ascii="arial" w:eastAsia="arial" w:hAnsi="arial" w:cs="arial"/>
          <w:i/>
          <w:color w:val="000000"/>
          <w:sz w:val="20"/>
          <w:lang w:val="en-US" w:eastAsia="en-US" w:bidi="ar-SA"/>
        </w:rPr>
        <w:t>Project 360</w:t>
      </w:r>
      <w:r>
        <w:rPr>
          <w:rFonts w:ascii="arial" w:eastAsia="arial" w:hAnsi="arial" w:cs="arial"/>
          <w:color w:val="000000"/>
          <w:sz w:val="20"/>
          <w:lang w:val="en-US" w:eastAsia="en-US" w:bidi="ar-SA"/>
        </w:rPr>
        <w:t xml:space="preserve">, the threat was arguably more specific but the potential pool of victims was not. MacDonnell J. found the plaintiffs to be "in the same position </w:t>
      </w:r>
      <w:r>
        <w:rPr>
          <w:rFonts w:ascii="arial" w:eastAsia="arial" w:hAnsi="arial" w:cs="arial"/>
          <w:i/>
          <w:color w:val="000000"/>
          <w:sz w:val="20"/>
          <w:lang w:val="en-US" w:eastAsia="en-US" w:bidi="ar-SA"/>
        </w:rPr>
        <w:t>vis à vis</w:t>
      </w:r>
      <w:r>
        <w:rPr>
          <w:rFonts w:ascii="arial" w:eastAsia="arial" w:hAnsi="arial" w:cs="arial"/>
          <w:color w:val="000000"/>
          <w:sz w:val="20"/>
          <w:lang w:val="en-US" w:eastAsia="en-US" w:bidi="ar-SA"/>
        </w:rPr>
        <w:t xml:space="preserve"> the police as every other member of the public" (para. 28). In </w:t>
      </w:r>
      <w:r>
        <w:rPr>
          <w:rFonts w:ascii="arial" w:eastAsia="arial" w:hAnsi="arial" w:cs="arial"/>
          <w:i/>
          <w:color w:val="000000"/>
          <w:sz w:val="20"/>
          <w:lang w:val="en-US" w:eastAsia="en-US" w:bidi="ar-SA"/>
        </w:rPr>
        <w:t>Callan</w:t>
      </w:r>
      <w:r>
        <w:rPr>
          <w:rFonts w:ascii="arial" w:eastAsia="arial" w:hAnsi="arial" w:cs="arial"/>
          <w:color w:val="000000"/>
          <w:sz w:val="20"/>
          <w:lang w:val="en-US" w:eastAsia="en-US" w:bidi="ar-SA"/>
        </w:rPr>
        <w:t>, Arnold-Bailey J. found that the "plaintiff was not within a discrete class of individuals reasonably known to be affected by the alleged failure" of the police (para.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The findings in </w:t>
      </w:r>
      <w:r>
        <w:rPr>
          <w:rFonts w:ascii="arial" w:eastAsia="arial" w:hAnsi="arial" w:cs="arial"/>
          <w:i/>
          <w:color w:val="000000"/>
          <w:sz w:val="20"/>
          <w:lang w:val="en-US" w:eastAsia="en-US" w:bidi="ar-SA"/>
        </w:rPr>
        <w:t>Burnett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Project 360</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Callen</w:t>
      </w:r>
      <w:r>
        <w:rPr>
          <w:rFonts w:ascii="arial" w:eastAsia="arial" w:hAnsi="arial" w:cs="arial"/>
          <w:color w:val="000000"/>
          <w:sz w:val="20"/>
          <w:lang w:val="en-US" w:eastAsia="en-US" w:bidi="ar-SA"/>
        </w:rPr>
        <w:t xml:space="preserve"> are not helpful here. Rather, in the words of Cullen J. in </w:t>
      </w:r>
      <w:r>
        <w:rPr>
          <w:rFonts w:ascii="arial" w:eastAsia="arial" w:hAnsi="arial" w:cs="arial"/>
          <w:i/>
          <w:color w:val="000000"/>
          <w:sz w:val="20"/>
          <w:lang w:val="en-US" w:eastAsia="en-US" w:bidi="ar-SA"/>
        </w:rPr>
        <w:t>Burnett</w:t>
      </w:r>
      <w:r>
        <w:rPr>
          <w:rFonts w:ascii="arial" w:eastAsia="arial" w:hAnsi="arial" w:cs="arial"/>
          <w:color w:val="000000"/>
          <w:sz w:val="20"/>
          <w:lang w:val="en-US" w:eastAsia="en-US" w:bidi="ar-SA"/>
        </w:rPr>
        <w:t>, there is in this case a "specific ascertainable [threat] to a particular class of victim" (para. 405).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xml:space="preserve">  As soon as it became clear to the RCMP that Mr. Guliker was a flight risk, he constituted a specific ascertainable threat to other users of the roadway, a determinate class of victim to whom it is already established that a duty of care is owed by the police in certain situations: e.g. </w:t>
      </w:r>
      <w:r>
        <w:rPr>
          <w:rFonts w:ascii="arial" w:eastAsia="arial" w:hAnsi="arial" w:cs="arial"/>
          <w:i/>
          <w:color w:val="000000"/>
          <w:sz w:val="20"/>
          <w:lang w:val="en-US" w:eastAsia="en-US" w:bidi="ar-SA"/>
        </w:rPr>
        <w:t>O'Rourke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Radke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Doern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In other words, because Mr. Guliker constituted a flight risk, the relationship between the RCMP and other users of the roadway was sufficiently close and direct that the RCMP ought to have them in mind as potentially harmed by their actions taken in respect of Mr. Guliker.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defendants submit that the following policy considerations should act to negate any duty of care in this case: (1) conflicting obligations, and (2) indeterminate liability. I address these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McLachlin C.J. found "the potential for conflict between a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other duties owed by police" to be an unconvincing reason for rejecting a duty of care on police to a suspect under investigation (para. 48). I conclude similarly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It seems doubtful that incompatible obligations will result from recognizing that the police owe a duty of care to users of the roadway when dealing with an individual who is a known flight risk. Even if a conflict can reasonably be posited, it must give rise to a real potential for negative policy consequences. I see no such potential on the evidence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defendants submit that recognizing a duty of care in this case will expose the RCMP to indeterminate liability as the duty would extend to anyone who is hurt by a person who sees the police and flees.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First, I have no evidence before me as to how large a class of potential claimants this is. Second, I have already stated that the duty is limited to situations where the police are aware that a suspect is flight risk. Third, this argument ignores the important filtering role played by the standard of care analysis in police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For liability to ensue, the police must undertake action or inaction that falls outside the behaviour of a reasonable police officer in the circumstances. With all these considerations in mind, I fail to see any spectre of indeterminate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Standard of care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614"/>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(i)</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Principles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The standard of care to which a police officer will be held is that of a reasonable police officer, acting reasonably and within the statutory powers imposed upon him or her, according to the circumstances of the case: </w:t>
      </w:r>
      <w:r>
        <w:rPr>
          <w:rFonts w:ascii="arial" w:eastAsia="arial" w:hAnsi="arial" w:cs="arial"/>
          <w:i/>
          <w:color w:val="000000"/>
          <w:sz w:val="20"/>
          <w:lang w:val="en-US" w:eastAsia="en-US" w:bidi="ar-SA"/>
        </w:rPr>
        <w:t>Doern</w:t>
      </w:r>
      <w:r>
        <w:rPr>
          <w:rFonts w:ascii="arial" w:eastAsia="arial" w:hAnsi="arial" w:cs="arial"/>
          <w:color w:val="000000"/>
          <w:sz w:val="20"/>
          <w:lang w:val="en-US" w:eastAsia="en-US" w:bidi="ar-SA"/>
        </w:rPr>
        <w:t xml:space="preserve"> (BCSC.) at para. 68, </w:t>
      </w:r>
      <w:r>
        <w:rPr>
          <w:rFonts w:ascii="arial" w:eastAsia="arial" w:hAnsi="arial" w:cs="arial"/>
          <w:i/>
          <w:color w:val="000000"/>
          <w:sz w:val="20"/>
          <w:lang w:val="en-US" w:eastAsia="en-US" w:bidi="ar-SA"/>
        </w:rPr>
        <w:t>Doern</w:t>
      </w:r>
      <w:r>
        <w:rPr>
          <w:rFonts w:ascii="arial" w:eastAsia="arial" w:hAnsi="arial" w:cs="arial"/>
          <w:color w:val="000000"/>
          <w:sz w:val="20"/>
          <w:lang w:val="en-US" w:eastAsia="en-US" w:bidi="ar-SA"/>
        </w:rPr>
        <w:t xml:space="preserve"> (B.C.C.A.) at para. 13. That standard was applied in </w:t>
      </w:r>
      <w:r>
        <w:rPr>
          <w:rFonts w:ascii="arial" w:eastAsia="arial" w:hAnsi="arial" w:cs="arial"/>
          <w:i/>
          <w:color w:val="000000"/>
          <w:sz w:val="20"/>
          <w:lang w:val="en-US" w:eastAsia="en-US" w:bidi="ar-SA"/>
        </w:rPr>
        <w:t>Radke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Burbank</w:t>
      </w:r>
      <w:r>
        <w:rPr>
          <w:rFonts w:ascii="arial" w:eastAsia="arial" w:hAnsi="arial" w:cs="arial"/>
          <w:color w:val="000000"/>
          <w:sz w:val="20"/>
          <w:lang w:val="en-US" w:eastAsia="en-US" w:bidi="ar-SA"/>
        </w:rPr>
        <w:t>, which were both affirmed on appeal. This is the standard that I apply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xml:space="preserve">  Chief Justice McLachlin elaborates on this standard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 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[73] I conclude that the appropriate standard of care is the overarching standard of a reasonable police officer in similar circumstances. This standard should be applied in a manner that gives due recognition to the discretion inherent in police investigation. Like other professionals, police officers are entitled to exercise their discretion as they see fit, provided that they stay within the bounds of reasonableness. The standard of care is not breached because a police officer exercises his or her discretion in a manner other than that deemed optimal by the reviewing court. A number of choices may be open to a police officer investigating a crime, all of which may fall within the range of reasonableness. So long as discretion is exercised within this range, the standard of care is not breached. The standard is not perfection, or even the optimum, judged from the vantage of hindsight. It is that of a reasonable officer, judged in the circumstances prevailing at the time the decision was made -- circumstances that may include urgency and deficiencies of information.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does not require perfection of professionals; nor does it guarantee desired results (...). Rather, it accepts that police officers, like other professionals, may make minor errors or errors in judgment which cause unfortunate results, without breaching the standard of care. The law distinguishes between unreasonable mistakes breaching the standard of care and mere "errors in judgment" which any reasonable professional might have made and therefore, which do not breach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Radke</w:t>
      </w:r>
      <w:r>
        <w:rPr>
          <w:rFonts w:ascii="arial" w:eastAsia="arial" w:hAnsi="arial" w:cs="arial"/>
          <w:color w:val="000000"/>
          <w:sz w:val="20"/>
          <w:lang w:val="en-US" w:eastAsia="en-US" w:bidi="ar-SA"/>
        </w:rPr>
        <w:t>, Bennett J. held that when examining the decisions and actions of the police in relation to the pursuit of a suspect "the primary and overriding principle is public safety" (para. 77). The legislation and RCMP policies governing police pursuits are relevant to determining the standard of care. Justice Bennett states at paras. 71-77: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[71] The statutes and policy provisions provide the context within which to assess whether there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police].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[72] I add that no expert evidence was provided on the issue of how a reasonable police officer would conduct himself or herself. However, while not saying expert evidence would be inadmissible, in this case, given the facts, the statutes, the policy and case law, I do not need expert evidence to assess whether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existed.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[73] In assessing the conduct of [the police] it is necessary to determine whether he complied with the policy.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In </w:t>
      </w:r>
      <w:r>
        <w:rPr>
          <w:rFonts w:ascii="arial" w:eastAsia="arial" w:hAnsi="arial" w:cs="arial"/>
          <w:i/>
          <w:color w:val="000000"/>
          <w:sz w:val="20"/>
          <w:lang w:val="en-US" w:eastAsia="en-US" w:bidi="ar-SA"/>
        </w:rPr>
        <w:t>Noel (Committee of) v. Botkin</w:t>
      </w:r>
      <w:r>
        <w:rPr>
          <w:rFonts w:ascii="arial" w:eastAsia="arial" w:hAnsi="arial" w:cs="arial"/>
          <w:color w:val="000000"/>
          <w:sz w:val="20"/>
          <w:lang w:val="en-US" w:eastAsia="en-US" w:bidi="ar-SA"/>
        </w:rPr>
        <w:t xml:space="preserve">, </w:t>
      </w:r>
      <w:hyperlink r:id="rId909" w:history="1">
        <w:r>
          <w:rPr>
            <w:rFonts w:ascii="arial" w:eastAsia="arial" w:hAnsi="arial" w:cs="arial"/>
            <w:i/>
            <w:color w:val="0077CC"/>
            <w:sz w:val="20"/>
            <w:u w:val="single"/>
            <w:shd w:val="clear" w:color="auto" w:fill="FFFFFF"/>
            <w:lang w:val="en-US" w:eastAsia="en-US" w:bidi="ar-SA"/>
          </w:rPr>
          <w:t>(1995), 9 B.C.L.R. (3d) 21</w:t>
        </w:r>
      </w:hyperlink>
      <w:r>
        <w:rPr>
          <w:rFonts w:ascii="arial" w:eastAsia="arial" w:hAnsi="arial" w:cs="arial"/>
          <w:color w:val="000000"/>
          <w:sz w:val="20"/>
          <w:lang w:val="en-US" w:eastAsia="en-US" w:bidi="ar-SA"/>
        </w:rPr>
        <w:t xml:space="preserve">, </w:t>
      </w:r>
      <w:hyperlink r:id="rId909" w:history="1">
        <w:r>
          <w:rPr>
            <w:rFonts w:ascii="arial" w:eastAsia="arial" w:hAnsi="arial" w:cs="arial"/>
            <w:i/>
            <w:color w:val="0077CC"/>
            <w:sz w:val="20"/>
            <w:u w:val="single"/>
            <w:shd w:val="clear" w:color="auto" w:fill="FFFFFF"/>
            <w:lang w:val="en-US" w:eastAsia="en-US" w:bidi="ar-SA"/>
          </w:rPr>
          <w:t>[1995] 7 W.W.R. 479</w:t>
        </w:r>
      </w:hyperlink>
      <w:r>
        <w:rPr>
          <w:rFonts w:ascii="arial" w:eastAsia="arial" w:hAnsi="arial" w:cs="arial"/>
          <w:color w:val="000000"/>
          <w:sz w:val="20"/>
          <w:lang w:val="en-US" w:eastAsia="en-US" w:bidi="ar-SA"/>
        </w:rPr>
        <w:t xml:space="preserve"> (S.C.), Clancy J. summed up the approach in this way, at para. 65: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summary, the question to be asked in assessing the conduct of police officers during pursuit is whether they, viewed objectively from the viewpoint of a reasonable police officer, acted reasonably and within the statutory powers conferred upon them. In considering that question, the Court must take into account that officers will be expected to perform the duties imposed on them by statute and to comply with policies adopted by the force to which they belong. A failure to comply with policy will not necessarily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nor will an error in judgment. Officers are exempted from compliance with certain traffic rules, provided they meet they meet the requirements of s. 118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There must be a recognition that officers are required to exercise judgment in balancing the competing interests of arresting wrongdoers and protecting citizens.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[75] Therefore, [the police officer's] compliance or non-compliance with the pursuit policy is a factor, albeit an important factor, in determining whether he was negligent. See also </w:t>
      </w:r>
      <w:r>
        <w:rPr>
          <w:rFonts w:ascii="arial" w:eastAsia="arial" w:hAnsi="arial" w:cs="arial"/>
          <w:i/>
          <w:color w:val="000000"/>
          <w:sz w:val="20"/>
          <w:lang w:val="en-US" w:eastAsia="en-US" w:bidi="ar-SA"/>
        </w:rPr>
        <w:t>Doern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69; </w:t>
      </w:r>
      <w:r>
        <w:rPr>
          <w:rFonts w:ascii="arial" w:eastAsia="arial" w:hAnsi="arial" w:cs="arial"/>
          <w:i/>
          <w:color w:val="000000"/>
          <w:sz w:val="20"/>
          <w:lang w:val="en-US" w:eastAsia="en-US" w:bidi="ar-SA"/>
        </w:rPr>
        <w:t>Doern v. Phillips Estate</w:t>
      </w:r>
      <w:r>
        <w:rPr>
          <w:rFonts w:ascii="arial" w:eastAsia="arial" w:hAnsi="arial" w:cs="arial"/>
          <w:color w:val="000000"/>
          <w:sz w:val="20"/>
          <w:lang w:val="en-US" w:eastAsia="en-US" w:bidi="ar-SA"/>
        </w:rPr>
        <w:t xml:space="preserve"> </w:t>
      </w:r>
      <w:hyperlink r:id="rId907" w:history="1">
        <w:r>
          <w:rPr>
            <w:rFonts w:ascii="arial" w:eastAsia="arial" w:hAnsi="arial" w:cs="arial"/>
            <w:i/>
            <w:color w:val="0077CC"/>
            <w:sz w:val="20"/>
            <w:u w:val="single"/>
            <w:shd w:val="clear" w:color="auto" w:fill="FFFFFF"/>
            <w:lang w:val="en-US" w:eastAsia="en-US" w:bidi="ar-SA"/>
          </w:rPr>
          <w:t>(1997), 43 B.C.L.R. (3d) 53</w:t>
        </w:r>
      </w:hyperlink>
      <w:r>
        <w:rPr>
          <w:rFonts w:ascii="arial" w:eastAsia="arial" w:hAnsi="arial" w:cs="arial"/>
          <w:color w:val="000000"/>
          <w:sz w:val="20"/>
          <w:lang w:val="en-US" w:eastAsia="en-US" w:bidi="ar-SA"/>
        </w:rPr>
        <w:t xml:space="preserve">, </w:t>
      </w:r>
      <w:hyperlink r:id="rId907" w:history="1">
        <w:r>
          <w:rPr>
            <w:rFonts w:ascii="arial" w:eastAsia="arial" w:hAnsi="arial" w:cs="arial"/>
            <w:i/>
            <w:color w:val="0077CC"/>
            <w:sz w:val="20"/>
            <w:u w:val="single"/>
            <w:shd w:val="clear" w:color="auto" w:fill="FFFFFF"/>
            <w:lang w:val="en-US" w:eastAsia="en-US" w:bidi="ar-SA"/>
          </w:rPr>
          <w:t>2 P.L.R. 108</w:t>
        </w:r>
      </w:hyperlink>
      <w:r>
        <w:rPr>
          <w:rFonts w:ascii="arial" w:eastAsia="arial" w:hAnsi="arial" w:cs="arial"/>
          <w:color w:val="000000"/>
          <w:sz w:val="20"/>
          <w:lang w:val="en-US" w:eastAsia="en-US" w:bidi="ar-SA"/>
        </w:rPr>
        <w:t xml:space="preserve"> (C.A.), at para. 15-16.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[76] When assessing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context of a police pursuit a balancing of interests must occur. Society accepts that in exercising lawful duties, police may at times interfere with innocent bystanders: See </w:t>
      </w:r>
      <w:r>
        <w:rPr>
          <w:rFonts w:ascii="arial" w:eastAsia="arial" w:hAnsi="arial" w:cs="arial"/>
          <w:i/>
          <w:color w:val="000000"/>
          <w:sz w:val="20"/>
          <w:lang w:val="en-US" w:eastAsia="en-US" w:bidi="ar-SA"/>
        </w:rPr>
        <w:t>Blaz</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50. It is important not to lose sight of the fact that police officers are exercising judgement often quickly and in highly stressful circumstances. One must not to analyze the circumstances, from the relative calm of a courtroom, without keeping this in mind.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[77] At the risk of over-simplification, the following principle factors may be derived from the relevant statutes and policy relating to police pursuit:</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primary and overriding principle is public safety.</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pursuit may only be initiated when other alternatives are not available.</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risk assessment in terms of the public safety before a pursuit is initiated.</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risk assessment is ongoing throughout the pursuit.</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factors to consider in the risk assessment include:</w:t>
      </w:r>
    </w:p>
    <w:p>
      <w:pPr>
        <w:numPr>
          <w:numId w:val="6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seriousness of the offence;</w:t>
      </w:r>
    </w:p>
    <w:p>
      <w:pPr>
        <w:numPr>
          <w:numId w:val="6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driving conditions;</w:t>
      </w:r>
    </w:p>
    <w:p>
      <w:pPr>
        <w:numPr>
          <w:numId w:val="6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volume and nature of pedestrian and vehicular traffic that is or might be reasonably expected;</w:t>
      </w:r>
    </w:p>
    <w:p>
      <w:pPr>
        <w:numPr>
          <w:numId w:val="6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suspect can be identified by other means;</w:t>
      </w:r>
    </w:p>
    <w:p>
      <w:pPr>
        <w:numPr>
          <w:numId w:val="6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likelihood of fatalities, injury and;</w:t>
      </w:r>
    </w:p>
    <w:p>
      <w:pPr>
        <w:numPr>
          <w:numId w:val="6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 to property.</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In addition to the evidence of the RCMP officers and lay witnesses, the plaintiffs tendered a retired police officer, Orville A. Nickel, as an expert witness. He was tendered as an expert on the standard of care expected of reasonable police officers relating to incident investigation, management, and intervention. The defendants objected to the admissibility of Mr. Nickel's report, primarily based on his dated qualifications.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xml:space="preserve">  I marked Mr. Nickel's report as an exhibit with the proviso that I would hear his evidence and cross-examination and reserve on the question of admissibility. It was suggested that there are conflicting decisions on whether such a report is necessary and therefore admissible: </w:t>
      </w:r>
      <w:r>
        <w:rPr>
          <w:rFonts w:ascii="arial" w:eastAsia="arial" w:hAnsi="arial" w:cs="arial"/>
          <w:i/>
          <w:color w:val="000000"/>
          <w:sz w:val="20"/>
          <w:lang w:val="en-US" w:eastAsia="en-US" w:bidi="ar-SA"/>
        </w:rPr>
        <w:t>Doern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Radke, Burbank</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Camaso Estate v. Saanich (District)</w:t>
      </w:r>
      <w:r>
        <w:rPr>
          <w:rFonts w:ascii="arial" w:eastAsia="arial" w:hAnsi="arial" w:cs="arial"/>
          <w:color w:val="000000"/>
          <w:sz w:val="20"/>
          <w:lang w:val="en-US" w:eastAsia="en-US" w:bidi="ar-SA"/>
        </w:rPr>
        <w:t xml:space="preserve">, </w:t>
      </w:r>
      <w:hyperlink r:id="rId917" w:history="1">
        <w:r>
          <w:rPr>
            <w:rFonts w:ascii="arial" w:eastAsia="arial" w:hAnsi="arial" w:cs="arial"/>
            <w:i/>
            <w:color w:val="0077CC"/>
            <w:sz w:val="20"/>
            <w:u w:val="single"/>
            <w:shd w:val="clear" w:color="auto" w:fill="FFFFFF"/>
            <w:lang w:val="en-US" w:eastAsia="en-US" w:bidi="ar-SA"/>
          </w:rPr>
          <w:t>2013 BCCA 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xml:space="preserve">  I agree with the defendants that Mr. Nickel's credentials are dated on the subject matter he is tendered as an expert in, and therefore his opinions are of limited value. However, in my view expert evidence is not necessary to decide the issues in this case, as was also found to be the case in both </w:t>
      </w:r>
      <w:r>
        <w:rPr>
          <w:rFonts w:ascii="arial" w:eastAsia="arial" w:hAnsi="arial" w:cs="arial"/>
          <w:i/>
          <w:color w:val="000000"/>
          <w:sz w:val="20"/>
          <w:lang w:val="en-US" w:eastAsia="en-US" w:bidi="ar-SA"/>
        </w:rPr>
        <w:t>Radke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Burbank</w:t>
      </w:r>
      <w:r>
        <w:rPr>
          <w:rFonts w:ascii="arial" w:eastAsia="arial" w:hAnsi="arial" w:cs="arial"/>
          <w:color w:val="000000"/>
          <w:sz w:val="20"/>
          <w:lang w:val="en-US" w:eastAsia="en-US" w:bidi="ar-SA"/>
        </w:rPr>
        <w:t xml:space="preserve">. The matter here is not similar to the situation in </w:t>
      </w:r>
      <w:r>
        <w:rPr>
          <w:rFonts w:ascii="arial" w:eastAsia="arial" w:hAnsi="arial" w:cs="arial"/>
          <w:i/>
          <w:color w:val="000000"/>
          <w:sz w:val="20"/>
          <w:lang w:val="en-US" w:eastAsia="en-US" w:bidi="ar-SA"/>
        </w:rPr>
        <w:t>Camaso</w:t>
      </w:r>
      <w:r>
        <w:rPr>
          <w:rFonts w:ascii="arial" w:eastAsia="arial" w:hAnsi="arial" w:cs="arial"/>
          <w:color w:val="000000"/>
          <w:sz w:val="20"/>
          <w:lang w:val="en-US" w:eastAsia="en-US" w:bidi="ar-SA"/>
        </w:rPr>
        <w:t xml:space="preserve">, which concerned a police officer's firearm use. Given the facts, the applicable statutes and policy, and the case law, I do not need expert evidence to determine whether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existed in this case. As such, I have not considered Mr. Nickel's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5"/>
        <w:gridCol w:w="2398"/>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(iii)</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Analysis - Did the RCMP breach the required standard of care?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xml:space="preserve">  The relevant statutory and policy provisions provide the context within which to assess whether the RCMP officers were negligent. Section 122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grants an exemption to police conducting a pursuit from the rules governing the operation of motor vehicles. In this case the RCMP officers exceeded the speed limits and proceeded through a stop sign without stopping when chasing Mr. Guliker.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xml:space="preserve">  In my opinion the chase of Mr. Guliker by the RCMP officers constituted a pursuit within the definition of the </w:t>
      </w:r>
      <w:r>
        <w:rPr>
          <w:rFonts w:ascii="arial" w:eastAsia="arial" w:hAnsi="arial" w:cs="arial"/>
          <w:i/>
          <w:color w:val="000000"/>
          <w:sz w:val="20"/>
          <w:lang w:val="en-US" w:eastAsia="en-US" w:bidi="ar-SA"/>
        </w:rPr>
        <w:t>Emergency Vehicle Driving Regulation.</w:t>
      </w:r>
      <w:r>
        <w:rPr>
          <w:rFonts w:ascii="arial" w:eastAsia="arial" w:hAnsi="arial" w:cs="arial"/>
          <w:color w:val="000000"/>
          <w:sz w:val="20"/>
          <w:lang w:val="en-US" w:eastAsia="en-US" w:bidi="ar-SA"/>
        </w:rPr>
        <w:t xml:space="preserve"> They were exercising the privileges granted by s. 122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as described above, for the purpose of apprehending Mr. Guliker who was clearly attempting to evade apprehension. The </w:t>
      </w:r>
      <w:r>
        <w:rPr>
          <w:rFonts w:ascii="arial" w:eastAsia="arial" w:hAnsi="arial" w:cs="arial"/>
          <w:i/>
          <w:color w:val="000000"/>
          <w:sz w:val="20"/>
          <w:lang w:val="en-US" w:eastAsia="en-US" w:bidi="ar-SA"/>
        </w:rPr>
        <w:t>Emergency Vehicle Driving Regulation</w:t>
      </w:r>
      <w:r>
        <w:rPr>
          <w:rFonts w:ascii="arial" w:eastAsia="arial" w:hAnsi="arial" w:cs="arial"/>
          <w:color w:val="000000"/>
          <w:sz w:val="20"/>
          <w:lang w:val="en-US" w:eastAsia="en-US" w:bidi="ar-SA"/>
        </w:rPr>
        <w:t xml:space="preserve"> required the RCMP to activate their emergency lights and siren during this pursuit, which they did not do. However, this does not negate the fact that it was still a pursuit. In deciding to both initiate or continue a pursuit, the RCMP were required by the </w:t>
      </w:r>
      <w:r>
        <w:rPr>
          <w:rFonts w:ascii="arial" w:eastAsia="arial" w:hAnsi="arial" w:cs="arial"/>
          <w:i/>
          <w:color w:val="000000"/>
          <w:sz w:val="20"/>
          <w:lang w:val="en-US" w:eastAsia="en-US" w:bidi="ar-SA"/>
        </w:rPr>
        <w:t>Emergency Vehicle Driving Regulation</w:t>
      </w:r>
      <w:r>
        <w:rPr>
          <w:rFonts w:ascii="arial" w:eastAsia="arial" w:hAnsi="arial" w:cs="arial"/>
          <w:color w:val="000000"/>
          <w:sz w:val="20"/>
          <w:lang w:val="en-US" w:eastAsia="en-US" w:bidi="ar-SA"/>
        </w:rPr>
        <w:t xml:space="preserve"> to weigh the seriousness of the offence and the need for immediate apprehension against the risk posed by the pursuit to public safety. A pursuit may only be initiated and continued when the seriousness of the situation and the necessity of immediate apprehension outweigh the risk to public safety created by the pursuit.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xml:space="preserve">  The principles governing the duty of care relating to police pursuit, as articulated in </w:t>
      </w:r>
      <w:r>
        <w:rPr>
          <w:rFonts w:ascii="arial" w:eastAsia="arial" w:hAnsi="arial" w:cs="arial"/>
          <w:i/>
          <w:color w:val="000000"/>
          <w:sz w:val="20"/>
          <w:lang w:val="en-US" w:eastAsia="en-US" w:bidi="ar-SA"/>
        </w:rPr>
        <w:t>Radke</w:t>
      </w:r>
      <w:r>
        <w:rPr>
          <w:rFonts w:ascii="arial" w:eastAsia="arial" w:hAnsi="arial" w:cs="arial"/>
          <w:color w:val="000000"/>
          <w:sz w:val="20"/>
          <w:lang w:val="en-US" w:eastAsia="en-US" w:bidi="ar-SA"/>
        </w:rPr>
        <w:t xml:space="preserve"> (BCSC) at para. 77, include this risk assessment. The primary and overriding principle is public safety and pursuits should only be initiated when other alternatives are not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Mr. Guliker was alleged to have breached a no-contact order by being present at the family church. He was also known to be suicidal, to have stated an intention to jump into traffic, and to be a flight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The RCMP officers said they were unfamiliar with the area. The roads were not highways. They were single lane roads in a rural area with a default speed limit of 50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There were at least three other officers available to assist with Mr. Guliker, four if you include Constable Labbee, who Constable Huff later radioed to request a spike belt. Following the meeting at the Chilliwack Motor Inn where the initial plan was formed, these three officers were deployed in the direction of the two other likely avenues of escape for Mr. Guliker from his location on Bustin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However, after their deployment Constable Huff never established their locations before approaching Mr. Guliker. The only evidence of communication with the other officers regarding the plan for dealing with Mr. Guliker is Constable Huff's instruction to Constable Wilson to "hang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Thus having enlisted the assistance of these officers, Constable Huff met with them at the Chilliwack Motor Inn, and strategically deployed them in relation to Mr. Guliker's known location, Constable Huff then proceeded not to involve them in the planned approach of Mr. Guliker along Bustin Road. Had Constables Huff and Brand conducted a proper risk assessment at this point, they would have realised that a likely outcome, if not the most likely outcome, of their approach along Bustin Road was Mr. Guliker fleeing in his vehicle. They would also have realised that they had no clear plan in the case of this eventuality.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While all matters involving suicidal individuals are somewhat time sensitive, it should have been clear to Constables Huff and Brand that time was not "of the essence", to use a colloquial expression, at the time of their approach. They knew Mr. Guliker was parked and waiting to speak with Wendy Guliker, who he believed to be on the way to meet him. They also knew since at least 12:15 p.m. that morning that Mr. Guliker was suicidal, and had been on occasion in the past too, and nothing untoward had transpired in the hour and a half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There was time for Constables Huff and Brand to discuss the information they'd gleaned from Wendy Guliker and Mr. Struys, establish the location of the other officers they'd deployed to assist with Mr. Guliker, and conduct a proper risk assessment, recognising the likelihood that Mr. Guliker would flee upon seeing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xml:space="preserve">  At this point, I note the B.C. Court of Appeal's recognition of the significant risk to public safety posed by the possibility of an individual in a fragile or unstable mental state operating a motor vehicle: </w:t>
      </w:r>
      <w:r>
        <w:rPr>
          <w:rFonts w:ascii="arial" w:eastAsia="arial" w:hAnsi="arial" w:cs="arial"/>
          <w:i/>
          <w:color w:val="000000"/>
          <w:sz w:val="20"/>
          <w:lang w:val="en-US" w:eastAsia="en-US" w:bidi="ar-SA"/>
        </w:rPr>
        <w:t>Camaso</w:t>
      </w:r>
      <w:r>
        <w:rPr>
          <w:rFonts w:ascii="arial" w:eastAsia="arial" w:hAnsi="arial" w:cs="arial"/>
          <w:color w:val="000000"/>
          <w:sz w:val="20"/>
          <w:lang w:val="en-US" w:eastAsia="en-US" w:bidi="ar-SA"/>
        </w:rPr>
        <w:t xml:space="preserve"> at para.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Instead, Constables Huff and Brand approached Mr. Guliker without knowing the location of the other officers available to assist them and aware that Mr. Guliker would see them approaching and was likely to flee. I can reach no other reasonable conclusion than that the RCMP plan at that moment was captured by words "if he runs, we'll chase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Once Mr. Guliker accelerated down Bustin Road, it was obvious to the RCMP officers that Mr. Guliker's sighting of their vehicles precipitated his flight. A proper risk assessment at this point would have alerted the officers to the significant public safety risk of chasing a suicidal individual who is determined to evade apprehension down unfamiliar rural roads at high rates of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Nevertheless, the officers commenced and continued a pursuit of Mr. Guliker up to the point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To summarize, in my opinion Constables Huff and Brand failed to conduct a proper risk assessment at two critical times: (1) before deciding to proceed down Bustin Road without a plan in place that recognised the likelihood of Mr. Guliker fleeing in his vehicle, and (2) after proceeding down Bustin Road toward Mr. Guliker's location and seeing him accelerate away. A proper first risk assessment would have precipitated the development of a plan to address the likelihood of Mr. Guliker fleeing. A proper second risk assessment would have called off the chase and considered other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I find that Constables Huff and Brand did not act within the standard of a reasonable police officer, acting reasonably and within the statutory powers imposed upon them in the circumstances of this case. In the result, the RCMP officers breached their duty of care owed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Causation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The defendants submit that even if the RCMP breached a duty of care owed to the plaintiffs, the RCMP did not cause the collision. Their submissions in this regard are premised on the proposition that the RCMP were not pursuing Mr. Guliker.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I have found as fact that the RCMP officers were chasing Mr. Guliker when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xml:space="preserve">  The test for causation is the "but for" test, as articulated by the Supreme Court of Canada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[2012] 2 S.C.R. 181</w:t>
        </w:r>
      </w:hyperlink>
      <w:r>
        <w:rPr>
          <w:rFonts w:ascii="arial" w:eastAsia="arial" w:hAnsi="arial" w:cs="arial"/>
          <w:color w:val="000000"/>
          <w:sz w:val="20"/>
          <w:lang w:val="en-US" w:eastAsia="en-US" w:bidi="ar-SA"/>
        </w:rPr>
        <w:t>, at paras. 8-11.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xml:space="preserve">  In the circumstances of this case, I would adopt the conclusion of Lowry J.A. in </w:t>
      </w:r>
      <w:r>
        <w:rPr>
          <w:rFonts w:ascii="arial" w:eastAsia="arial" w:hAnsi="arial" w:cs="arial"/>
          <w:i/>
          <w:color w:val="000000"/>
          <w:sz w:val="20"/>
          <w:lang w:val="en-US" w:eastAsia="en-US" w:bidi="ar-SA"/>
        </w:rPr>
        <w:t>Burbank</w:t>
      </w:r>
      <w:r>
        <w:rPr>
          <w:rFonts w:ascii="arial" w:eastAsia="arial" w:hAnsi="arial" w:cs="arial"/>
          <w:color w:val="000000"/>
          <w:sz w:val="20"/>
          <w:lang w:val="en-US" w:eastAsia="en-US" w:bidi="ar-SA"/>
        </w:rPr>
        <w:t xml:space="preserve"> at para. 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[86] ... The Supreme Court of Canada recently affirmed,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20-28, what is referred to as the "but for" test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Where, as here, it can be applied, the test leads to a finding of causation if it can be said that but for the impugned conduct the injury that is the subject of the claim would not have been suffered. I do not see how it could be said that this collision would have occurred if no pursuit had been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In my opinion, but for the RCMP's chase or pursuit of Mr. Guliker, the Collision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VI.</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Apportionment of Liability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legal principles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xml:space="preserve">  Where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two or more persons caused the plaintiff harm, the court must determine the degree to which each person is at fault. The apportionment of liability is governed by ss. 1, 4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Apportionment of liability for damages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(1) If by the fault of 2 or more persons damage or loss is caused to one or more of them, the liability to make good the damage or loss is in proportion to the degree to which each person was at fault.</w:t>
      </w:r>
    </w:p>
    <w:p>
      <w:pPr>
        <w:numPr>
          <w:numId w:val="6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if, having regard to all the circumstances of the case, it is not possible to establish different degrees of fault, the liability must be apportioned equally.</w:t>
      </w:r>
    </w:p>
    <w:p>
      <w:pPr>
        <w:numPr>
          <w:numId w:val="6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operates to make a person liable for damage or loss to which the person's fault has not contributed.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Liability and right of contribution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(1) If damage or loss has been caused by the fault of 2 or more persons, the court must determine the degree to which each person was at fault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xml:space="preserve">  The apportionment of liability is done on the basis of the degree to which each person was at fault, not on the extent to which each person's fault caused plaintiff's harm: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at para. 24; </w:t>
      </w:r>
      <w:r>
        <w:rPr>
          <w:rFonts w:ascii="arial" w:eastAsia="arial" w:hAnsi="arial" w:cs="arial"/>
          <w:i/>
          <w:color w:val="000000"/>
          <w:sz w:val="20"/>
          <w:lang w:val="en-US" w:eastAsia="en-US" w:bidi="ar-SA"/>
        </w:rPr>
        <w:t>Chambers v. Goertz</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2009 BCCA 358</w:t>
        </w:r>
      </w:hyperlink>
      <w:r>
        <w:rPr>
          <w:rFonts w:ascii="arial" w:eastAsia="arial" w:hAnsi="arial" w:cs="arial"/>
          <w:color w:val="000000"/>
          <w:sz w:val="20"/>
          <w:lang w:val="en-US" w:eastAsia="en-US" w:bidi="ar-SA"/>
        </w:rPr>
        <w:t xml:space="preserve"> at para.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In this case I must apportion liability between Mr. Guliker and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xml:space="preserve">  In assessing the relative degrees of fault, a number of factors may be considered. These factors were summarized by Groves J. in </w:t>
      </w:r>
      <w:r>
        <w:rPr>
          <w:rFonts w:ascii="arial" w:eastAsia="arial" w:hAnsi="arial" w:cs="arial"/>
          <w:i/>
          <w:color w:val="000000"/>
          <w:sz w:val="20"/>
          <w:lang w:val="en-US" w:eastAsia="en-US" w:bidi="ar-SA"/>
        </w:rPr>
        <w:t>Aberdeen v. Langley (Township)</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2007 BCSC 993</w:t>
        </w:r>
      </w:hyperlink>
      <w:r>
        <w:rPr>
          <w:rFonts w:ascii="arial" w:eastAsia="arial" w:hAnsi="arial" w:cs="arial"/>
          <w:color w:val="000000"/>
          <w:sz w:val="20"/>
          <w:lang w:val="en-US" w:eastAsia="en-US" w:bidi="ar-SA"/>
        </w:rPr>
        <w:t>. This summary has been consistently relied as a synopsis of the general legal principles to apply in determining relative degrees of fault for the purpose of apportioning liability. The defendants did not take issue with this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xml:space="preserve">  Justice Groves states in </w:t>
      </w:r>
      <w:r>
        <w:rPr>
          <w:rFonts w:ascii="arial" w:eastAsia="arial" w:hAnsi="arial" w:cs="arial"/>
          <w:i/>
          <w:color w:val="000000"/>
          <w:sz w:val="20"/>
          <w:lang w:val="en-US" w:eastAsia="en-US" w:bidi="ar-SA"/>
        </w:rPr>
        <w:t>Aberdeen</w:t>
      </w:r>
      <w:r>
        <w:rPr>
          <w:rFonts w:ascii="arial" w:eastAsia="arial" w:hAnsi="arial" w:cs="arial"/>
          <w:color w:val="000000"/>
          <w:sz w:val="20"/>
          <w:lang w:val="en-US" w:eastAsia="en-US" w:bidi="ar-SA"/>
        </w:rPr>
        <w:t xml:space="preserve"> at paras. 62-65: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Thus, fault is to be determined by assessing the nature and extent of the departure from the standard of care of each of the parties. Relevant factors that courts have considered in assessing relative degrees of fault were summarized by the Alberta Court of Appeal in </w:t>
      </w:r>
      <w:r>
        <w:rPr>
          <w:rFonts w:ascii="arial" w:eastAsia="arial" w:hAnsi="arial" w:cs="arial"/>
          <w:i/>
          <w:color w:val="000000"/>
          <w:sz w:val="20"/>
          <w:lang w:val="en-US" w:eastAsia="en-US" w:bidi="ar-SA"/>
        </w:rPr>
        <w:t>Heller v. Martens</w:t>
      </w:r>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[2002] A.J. No. 638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paragraph 34 as follows:</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duty owed by the tortfeasor to the injured person ...</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number of acts of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committed by a person at fault ...</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timing of the various negligent acts. For example, the party who first commits a negligent act will usually be more at fault than the party whose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comes as a result of the initial fault ...</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conduct held to amount to fault. For example, indifference to the results of the conduct may be more blameworthy ...Similarly, a deliberate departure from safety rules may be more blameworthy than an imperfect reaction to a crisis...</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conduct breaches statutory requirements. For example, in a motor vehicle collision, the driver of the vehicle with the right of way may be less blameworthy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[63] Many of the above-noted factors are discussed in Chiefetz, </w:t>
      </w:r>
      <w:r>
        <w:rPr>
          <w:rFonts w:ascii="arial" w:eastAsia="arial" w:hAnsi="arial" w:cs="arial"/>
          <w:i/>
          <w:color w:val="000000"/>
          <w:sz w:val="20"/>
          <w:lang w:val="en-US" w:eastAsia="en-US" w:bidi="ar-SA"/>
        </w:rPr>
        <w:t>Apportionment of Fault in Tort, supra</w:t>
      </w:r>
      <w:r>
        <w:rPr>
          <w:rFonts w:ascii="arial" w:eastAsia="arial" w:hAnsi="arial" w:cs="arial"/>
          <w:color w:val="000000"/>
          <w:sz w:val="20"/>
          <w:lang w:val="en-US" w:eastAsia="en-US" w:bidi="ar-SA"/>
        </w:rPr>
        <w:t>, at pp. 102-104. Considering that, I conclude it would be appropriate to add the following as relevant factors:</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gravity of the risk created;</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opportunity to avoid or prevent the accident or the damage;</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conduct in question was deliberate, or unusual or unexpected; and</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knowledge one person had or should have had of the conduct of another person at fault.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[65] ... the fact that the fault results from an active versus a passive act of a party should not impact on the assessment of the degree of relative fault.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position of the parties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The plaintiffs defer to ICBC's submissions on the apportionment of liability between Mr. Guliker and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xml:space="preserve">  ICBC submits the following table regarding how each factor from </w:t>
      </w:r>
      <w:r>
        <w:rPr>
          <w:rFonts w:ascii="arial" w:eastAsia="arial" w:hAnsi="arial" w:cs="arial"/>
          <w:i/>
          <w:color w:val="000000"/>
          <w:sz w:val="20"/>
          <w:lang w:val="en-US" w:eastAsia="en-US" w:bidi="ar-SA"/>
        </w:rPr>
        <w:t>Aberdeen</w:t>
      </w:r>
      <w:r>
        <w:rPr>
          <w:rFonts w:ascii="arial" w:eastAsia="arial" w:hAnsi="arial" w:cs="arial"/>
          <w:color w:val="000000"/>
          <w:sz w:val="20"/>
          <w:lang w:val="en-US" w:eastAsia="en-US" w:bidi="ar-SA"/>
        </w:rPr>
        <w:t xml:space="preserve"> should be applied in the context of this case:</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12" type="#_x0000_t75" style="width:393.05pt;height:586.58pt">
            <v:imagedata r:id="rId918" o:title=""/>
          </v:shape>
        </w:pict>
      </w:r>
      <w:r>
        <w:rPr>
          <w:rFonts w:ascii="arial" w:eastAsia="arial" w:hAnsi="arial" w:cs="arial"/>
          <w:sz w:val="20"/>
          <w:lang w:val="en-US" w:eastAsia="en-US" w:bidi="ar-SA"/>
        </w:rPr>
        <w:t xml:space="preserve">  </w:t>
      </w:r>
      <w:r>
        <w:pict>
          <v:shape id="_x0000_i1213" type="#_x0000_t75" style="width:432.06pt;height:551.33pt">
            <v:imagedata r:id="rId919" o:title=""/>
          </v:shape>
        </w:pic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xml:space="preserve">  ICBC further submits that while Mr. Guliker clearly shares in the blame for the accident, he was also a victim on August 10, 2008. Mr. Guliker was brain injured, suicidal, and in a poor state of mind. Rightly or wrongly, Mr. Guliker made it evident he viewed </w:t>
      </w:r>
      <w:r>
        <w:rPr>
          <w:rFonts w:ascii="arial" w:eastAsia="arial" w:hAnsi="arial" w:cs="arial"/>
          <w:i/>
          <w:color w:val="000000"/>
          <w:sz w:val="20"/>
          <w:lang w:val="en-US" w:eastAsia="en-US" w:bidi="ar-SA"/>
        </w:rPr>
        <w:t>any</w:t>
      </w:r>
      <w:r>
        <w:rPr>
          <w:rFonts w:ascii="arial" w:eastAsia="arial" w:hAnsi="arial" w:cs="arial"/>
          <w:color w:val="000000"/>
          <w:sz w:val="20"/>
          <w:lang w:val="en-US" w:eastAsia="en-US" w:bidi="ar-SA"/>
        </w:rPr>
        <w:t xml:space="preserve"> approach by the police as an attack and a threat, something the officers failed to properly take into account at critical times. ICBC says that the defendants should shoulder most of the blame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xml:space="preserve">  The defendants argue that the jurisprudence in British Columbia establishes a range from 10% to 25% in cases of motor vehicle accidents resulting from negligent police pursuits. The defendants further submit that RCMP liability, if found, should be at the low end of this range. They argue that Mr. Guliker's erratic driving arose on the mere approach of the RCMP vehicles, thus any errors made by the RCMP officers were minor compared to Mr. Guliker's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Relevant jurisprudence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Radke,</w:t>
      </w:r>
      <w:r>
        <w:rPr>
          <w:rFonts w:ascii="arial" w:eastAsia="arial" w:hAnsi="arial" w:cs="arial"/>
          <w:color w:val="000000"/>
          <w:sz w:val="20"/>
          <w:lang w:val="en-US" w:eastAsia="en-US" w:bidi="ar-SA"/>
        </w:rPr>
        <w:t xml:space="preserve"> an RCMP officer came across a stolen car while en route to a call. Over a 20 minute period before three teenagers returned to the car and drove away, the RCMP officer failed to disable the vehicle or set-up a perimeter around it. At first the RCMP just followed the vehicle, which was initially travelling under the speed limit. Upon the RCMP activating lights and sirens, however, the stolen vehicle accelerated away, ultimately entering an intersection and colliding with Mr. Radke's vehicle. The entire pursuit lasted just 46 seconds and took place along residential streets. Bennett J. apportioned liability 85% to the vehicle driver and 15% to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Burbank,</w:t>
      </w:r>
      <w:r>
        <w:rPr>
          <w:rFonts w:ascii="arial" w:eastAsia="arial" w:hAnsi="arial" w:cs="arial"/>
          <w:color w:val="000000"/>
          <w:sz w:val="20"/>
          <w:lang w:val="en-US" w:eastAsia="en-US" w:bidi="ar-SA"/>
        </w:rPr>
        <w:t xml:space="preserve"> an RCMP officer noticed a vehicle 'whip out' of a laneway without stopping and then fail to stop at a stop sign. Based on that driving pattern, the RCMP officer suspected the driver could be impaired. The RCMP officer followed the vehicle and ran the licence plate. This search flagged the vehicle as the focus of previous police interest but gave no information as to why. The RCMP officer then activated the emergency lights but not the siren. The vehicle being pursued stopped almost immediately but then quickly accelerated away again. The RCMP officer then gave chase with both lights and siren on but shortly after decided to terminate the pursuit. However, before the RCMP officer could disengage the siren the vehicle being pursued entered an intersection and collided with the Burbank family vehicle. Maczko J. apportioned liability 85% to the vehicle driver and 15% to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Doern,</w:t>
      </w:r>
      <w:r>
        <w:rPr>
          <w:rFonts w:ascii="arial" w:eastAsia="arial" w:hAnsi="arial" w:cs="arial"/>
          <w:color w:val="000000"/>
          <w:sz w:val="20"/>
          <w:lang w:val="en-US" w:eastAsia="en-US" w:bidi="ar-SA"/>
        </w:rPr>
        <w:t xml:space="preserve"> police officers in an unmarked vehicle noticed a slow-moving "ratty, unkempt and shoddy" car that looked like it was weighed down by something in the trunk. They moved up behind the vehicle, which then turned onto another street and increased its speed. The police followed for several blocks, at which point they decided to pull the car over and thus activated their lights and sirens. The car started to pull over in apparent compliance. However, just as it pulled over the vehicle sped away again at high speed. The officers lost sight of the vehicle after two minutes of pursuit. However, within seconds officers in another unmarked police car spotted the vehicle and picked up the pursuit. Shortly thereafter the pursuit was taken over by a marked police car. This police car also lost sight of the vehicle but nonetheless continued with its lights and sirens on in the direction the officer believed the vehicle had gone. This officer later regained visual contact with the vehicle being pursued. In total, the pursuit occurred from Vancouver to Burnaby over a period of about eight minutes and a distance of 14 kilometres, and involved five different police units. Kirkpatrick J., as she then was, found that the pursuit was conducted in a manner that violated police pursuit policy in a number of respects. Ultimately, the vehicle being pursued ran a red light and hit Mr. Doern's car. Kirkpatrick J. apportioned liability 75% to the vehicle driver and 25% to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McVea,</w:t>
      </w:r>
      <w:r>
        <w:rPr>
          <w:rFonts w:ascii="arial" w:eastAsia="arial" w:hAnsi="arial" w:cs="arial"/>
          <w:color w:val="000000"/>
          <w:sz w:val="20"/>
          <w:lang w:val="en-US" w:eastAsia="en-US" w:bidi="ar-SA"/>
        </w:rPr>
        <w:t xml:space="preserve"> an RCMP officer parked in an unmarked police car was passed by a vehicle fitting the description of a reported stolen car. The RCMP officer decided to follow the vehicle and observed it run a stop sign. While following the vehicle, the RCMP officer activated the emergency lights to navigate an intersection but then turned them off again. When the vehicle began to accelerate away, however, the officer engaged the emergency lights and sirens in pursuit. The pursuit lasted just over a minute, occurred over a distance of 2.5 kilometres, and involved speeds of up to 130 kph. Just as the RCMP officer decided to terminate the pursuit because the vehicle being pursued was pulling away, the vehicle ran a stop sign and collided with the McVea vehicle. Pitfield J. apportioned liability 90% to the vehicle driver and 10% to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Apportionment in this case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xml:space="preserve">  In determining the apportionment of liability in this case, I find the observations of Finch J.A., as he was then, in </w:t>
      </w:r>
      <w:r>
        <w:rPr>
          <w:rFonts w:ascii="arial" w:eastAsia="arial" w:hAnsi="arial" w:cs="arial"/>
          <w:i/>
          <w:color w:val="000000"/>
          <w:sz w:val="20"/>
          <w:lang w:val="en-US" w:eastAsia="en-US" w:bidi="ar-SA"/>
        </w:rPr>
        <w:t>Doern</w:t>
      </w:r>
      <w:r>
        <w:rPr>
          <w:rFonts w:ascii="arial" w:eastAsia="arial" w:hAnsi="arial" w:cs="arial"/>
          <w:color w:val="000000"/>
          <w:sz w:val="20"/>
          <w:lang w:val="en-US" w:eastAsia="en-US" w:bidi="ar-SA"/>
        </w:rPr>
        <w:t xml:space="preserve"> (B.C.C.A.) at para. 18 to be instructive: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Every one must recognize that the members of our police forces should not be unduly hampered in the discharge of their difficult and often dangerous work. The police vehicle pursuit policy is a guideline for officers which attempts to balance the public interest in the apprehension of suspected criminals, with the need to maintain reasonable levels of safety for the police and the public as the police discharge their duties. Whether particular police conduct departs so far from the guidelines and from the standard of care imposed by law, as to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 heavily fact dependent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In my view, like the question of whether police conduct departs from the standard of care imposed by law, the question of apportionment is also "a heavily fact dependent question". Notwithstanding the very able submissions of counsel, in my opinion the RCMP's degree of culpability falls within the range of police culpability in the cases I've just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xml:space="preserve">  I find that the RCMP officers in this case were slightly less culpable than the police were in </w:t>
      </w:r>
      <w:r>
        <w:rPr>
          <w:rFonts w:ascii="arial" w:eastAsia="arial" w:hAnsi="arial" w:cs="arial"/>
          <w:i/>
          <w:color w:val="000000"/>
          <w:sz w:val="20"/>
          <w:lang w:val="en-US" w:eastAsia="en-US" w:bidi="ar-SA"/>
        </w:rPr>
        <w:t>Doern</w:t>
      </w:r>
      <w:r>
        <w:rPr>
          <w:rFonts w:ascii="arial" w:eastAsia="arial" w:hAnsi="arial" w:cs="arial"/>
          <w:color w:val="000000"/>
          <w:sz w:val="20"/>
          <w:lang w:val="en-US" w:eastAsia="en-US" w:bidi="ar-SA"/>
        </w:rPr>
        <w:t xml:space="preserve"> where the pursuit was lengthy and involved the violation of police policy in numerous ways by several different officers and their supervisors.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xml:space="preserve">  On the other hand, the RCMP in this case possessed knowledge of the risk posed by Mr. Guliker which was not evident in relation to the culpable drivers in </w:t>
      </w:r>
      <w:r>
        <w:rPr>
          <w:rFonts w:ascii="arial" w:eastAsia="arial" w:hAnsi="arial" w:cs="arial"/>
          <w:i/>
          <w:color w:val="000000"/>
          <w:sz w:val="20"/>
          <w:lang w:val="en-US" w:eastAsia="en-US" w:bidi="ar-SA"/>
        </w:rPr>
        <w:t>Bolton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Radke</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McVea</w:t>
      </w:r>
      <w:r>
        <w:rPr>
          <w:rFonts w:ascii="arial" w:eastAsia="arial" w:hAnsi="arial" w:cs="arial"/>
          <w:color w:val="000000"/>
          <w:sz w:val="20"/>
          <w:lang w:val="en-US" w:eastAsia="en-US" w:bidi="ar-SA"/>
        </w:rPr>
        <w:t>. For this reason, I find the RCMP here to be slightly more culpable than the police in those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As such, I apportion liability 20% to the RCMP and 80% to Mr. Guliker.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VII.</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In the result, the plaintiffs are entitled to judgment against the Minister of Justice and Attorney General of British Columbia, in accordance with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If the parties are unable to agree on costs, they may set the matter for determination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J.E.D. SAVAGE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4"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20"/>
          <w:headerReference w:type="default" r:id="rId921"/>
          <w:footerReference w:type="even" r:id="rId922"/>
          <w:footerReference w:type="default" r:id="rId923"/>
          <w:headerReference w:type="first" r:id="rId924"/>
          <w:footerReference w:type="first" r:id="rId92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26" w:history="1">
        <w:r>
          <w:rPr>
            <w:rFonts w:ascii="arial" w:eastAsia="arial" w:hAnsi="arial" w:cs="arial"/>
            <w:b/>
            <w:bCs/>
            <w:i/>
            <w:color w:val="0077CC"/>
            <w:kern w:val="32"/>
            <w:sz w:val="28"/>
            <w:szCs w:val="32"/>
            <w:u w:val="single"/>
            <w:shd w:val="clear" w:color="auto" w:fill="FFFFFF"/>
            <w:lang w:val="en-US" w:eastAsia="en-US" w:bidi="ar-SA"/>
          </w:rPr>
          <w:t>Bingham v. BMO Nesbitt Burns Inc., [2006] B.C.J. No. 419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Macaulay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20,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22,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01/4848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419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304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51 B.C.L.R. (4th) 394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147 A.C.W.S. (3d) 206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457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Heather Bingham, plaintiff, and BMO Nesbitt Burns Inc. and Stephen Somerset, defendants, and Brian Howe and Odlum Brown Limited,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5"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9" w:name="Keywords_37"/>
      <w:bookmarkEnd w:id="269"/>
      <w:r>
        <w:rPr>
          <w:rFonts w:ascii="arial" w:eastAsia="arial" w:hAnsi="arial" w:cs="arial"/>
          <w:b/>
          <w:color w:val="000000"/>
          <w:sz w:val="20"/>
          <w:lang w:val="en-US" w:eastAsia="en-US" w:bidi="ar-SA"/>
        </w:rPr>
        <w:t>Civil procedure — Pleadings — Striking out pleadings or allegations — Grounds — Failure to disclose a cause of action or defence — Application by third parties to strike defendants' third party notices allowed — Third parties owed no duty to defendants — Defendants' defence could be asserted without any legal finding against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Tortfeasors — Concurrent tortfeasors — Application by third parties to strike defendants' third party notices allowed — Any liability was consecutive rather than concurrent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 s. 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0" w:name="Case Summary_36"/>
            <w:bookmarkEnd w:id="27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third party stockbroker, Howe, and his employer, Odlum Brown, to strike third party notices filed by the defendant stockbroker, Somerset, and his employer, BMO Nesbitt Burns, for failure to disclose a reasonable cause of action -- Plaintiff, Bingham, initially made her investments through the defendants -- She transferred her portfolio in kind to the third parties and retained certain technology stocks purchased by the defendants that proved to be poor investments when the technology sector entered a steep decline -- Her claim for damages included losses that were incurred after she transferred her account to the third parties, but in respect of investments made by the defendants -- Defendants denied liability and alternatively submitted that plaintiff failed to mitigate her damages -- Defendants' third party notices relied on s. 4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and alleged that the plaintiff's damages and losses were caused by,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third parties -- Defendants thus claimed entitlement to indemnification -- Third parties argued that investments were managed pursuant to separate contracts and defendants were not entitled to claim against them for plaintiff's alleged failure to mitigate -- Third parties further argued that they had no obligation to minimize plaintiff's damages suffered as a result of investment decisions made by defendants -- HELD: Application allowed -- There was no allegation of any duty owed by third parties to defendants -- Any alleged duty by third parties owed to plaintiff arose after transfer of accounts --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third parties occurred consecutive to that of the defendants, rather than concurrently -- Thus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had no application -- Third parties were no more than agents of the plaintiff -- Failure to mitigate was sole responsibility of plaintiff, and was a defence that could be asserted without any legal finding against third parties -- Third party notices accordingly struck for failure to disclose a reasonable cause of action.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1" w:name="Legislation Cited_27"/>
      <w:bookmarkEnd w:id="27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6"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927" w:history="1">
        <w:r>
          <w:rPr>
            <w:rFonts w:ascii="arial" w:eastAsia="arial" w:hAnsi="arial" w:cs="arial"/>
            <w:i/>
            <w:color w:val="0077CC"/>
            <w:sz w:val="20"/>
            <w:u w:val="single"/>
            <w:shd w:val="clear" w:color="auto" w:fill="FFFFFF"/>
            <w:lang w:val="en-US" w:eastAsia="en-US" w:bidi="ar-SA"/>
          </w:rPr>
          <w:t>R.S.B.C.1996 c. 333, s. 4</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2" w:name="Counsel_38"/>
      <w:bookmarkEnd w:id="27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7" style="position:absolute;z-index:251800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Plaintiff/Respondent: Heather Bingham: R.P. Helme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Defendants/Respondents: BMO Nesbitt Burns Inc. and Stephen Somerset: H. Craig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Party/Applicant: Brian Howe and Odlum Brown Limited: D.H. Prince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3" w:name="Judgment_38"/>
      <w:bookmarkEnd w:id="273"/>
      <w:r>
        <w:pict>
          <v:line id="_x0000_s1218" style="position:absolute;z-index:2518507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4" w:name="MACAULAY J."/>
            <w:bookmarkEnd w:id="274"/>
            <w:r>
              <w:rPr>
                <w:rFonts w:ascii="arial" w:eastAsia="arial" w:hAnsi="arial" w:cs="arial"/>
                <w:b/>
                <w:color w:val="000000"/>
                <w:sz w:val="30"/>
                <w:lang w:val="en-US" w:eastAsia="en-US" w:bidi="ar-SA"/>
              </w:rPr>
              <w:t>MACAULAY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third parties, Odlum Brown Limited ("Odlum") and Brian Howe, apply under Supreme Court Rule 19(24) to strike the third party notices filed by the defendants, BMO Nesbitt Burns Inc. ("BMO") and Stephen Somerset, on the basis that they disclose no reasonable cause of action. Both Odlum and BMO are investment dealers. Mr. Howe and Mr. Somerset are both stockbrokers; Odlum employs Mr. Howe and BMO employs Mr. Somerset.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Heather Bingham, began investing in securities at BMO in January 2000. Mr. Somerset was her stockbroker. She remained a client of the defendants until in or about December 2000 or January 2001 when she transferred her investment portfolio in kind to Odlum where Mr. Howe took over as her stockbroker.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After transferring her account Ms. Bingham retained, in her portfolio, certain technology stocks that the defendants had purchased for her. The plaintiff alleges, in her statement of claim, that the defendants purchased the stocks for her account in breach of the terms of her investment agreement; were negligent in their dealings with her investments; and breached their fiduciary duties owed to her. She claims, among other things, damages for loss of investment income and opportunities as well as for the losses incurred on the sale of securities purchased for her by the defendants. The plaintiff specifically claims that she continues to suffer damages, losses and expenses. It is clear from the foregoing that Ms. Bingham's claim for damages includes losses suffered after she had transferred her account to the third parties but respecting investments made for her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McNaughton v. Baker </w:t>
      </w:r>
      <w:hyperlink r:id="rId928"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(C.A.), the Court of Appeal said that before a pleading will be struck on the basis that it discloses no reasonable cause of action the case must be perfectly clear. The Court also set out the approach to be taken in deciding whether to set aside a third party notice. The Court said that when determining whether to strike a claim on the basis that it discloses no reasonable cause of action the Court must assume for the purposes of the application that:</w:t>
      </w:r>
      <w:r>
        <w:rPr>
          <w:rFonts w:ascii="arial" w:eastAsia="arial" w:hAnsi="arial" w:cs="arial"/>
          <w:sz w:val="20"/>
          <w:lang w:val="en-US" w:eastAsia="en-US" w:bidi="ar-SA"/>
        </w:rPr>
        <w:cr/>
      </w:r>
    </w:p>
    <w:p>
      <w:pPr>
        <w:numPr>
          <w:numId w:val="2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will be successful in obtaining judgment against the defendant on the cause of action advanced in the statement of claim; and</w:t>
      </w:r>
    </w:p>
    <w:p>
      <w:pPr>
        <w:numPr>
          <w:numId w:val="2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allegations of fact in the third party notice are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have accordingly assumed that the plaintiff will succeed on her claims as set out above and, on the same basis, I turn next to the allegations in the third party notices which effectively mirror each other and which I also assume to be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defendants each filed a statement of defence denying liability and in the alternative, alleging that the plaintiff failed to mitigate her damages. They then issued the third party notices. In the latter, the defendants allege that the plaintiff's damages and losses were caused by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third parties and claim entitlement to indemnification. In particular, the defendants allege that the third parties owed a duty of care to the plaintiff that was breached by:</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advise the plaintiff as to the change in suitability of the securities transferred in from BMO;</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the securities held in the plaintiff's accounts at Odlum were suitable and appropriate for the plaintiff to continue to hold having regard to change in the risks associated with the securities;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exposing the plaintiff's investment capital to unnecessary risk by allowing her to continue to hold those securities which were not in keeping with her investment objective and desired risk factors;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properly diversify the investments of the plaintiff so as to reduce her exposure to losses arising from the volatility of and decline in the technology sector in 2001;</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recognize that the technology sector of the financial markets was extremely volatile and in a state of steep decline in value commencing in February of 2001;</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any or all reasonable steps to reduce the losses being suffered by the plaintiff on her accounts;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any or all competent reasonable investment advice to the plaintiff at any material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find two aspects of the allegations in the third party notices significant. First, there is no allegation of any duty owed by the third parties to the defendants. Second, the alleged duty owed to the plaintiff arose only after the transfer of the accounts in kind. Both have significance for the defendants' claim for indemnification to which I will return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third parties contend that the third party notices disclose no reasonable claim or cause of action. They argue that the situation is similar to that in Adams v. Thompson, Berwick Pratt &amp; Partners </w:t>
      </w:r>
      <w:hyperlink r:id="rId929" w:history="1">
        <w:r>
          <w:rPr>
            <w:rFonts w:ascii="arial" w:eastAsia="arial" w:hAnsi="arial" w:cs="arial"/>
            <w:i/>
            <w:color w:val="0077CC"/>
            <w:sz w:val="20"/>
            <w:u w:val="single"/>
            <w:shd w:val="clear" w:color="auto" w:fill="FFFFFF"/>
            <w:lang w:val="en-US" w:eastAsia="en-US" w:bidi="ar-SA"/>
          </w:rPr>
          <w:t>(1987), 15 B.C.L.R. (2d) 51</w:t>
        </w:r>
      </w:hyperlink>
      <w:r>
        <w:rPr>
          <w:rFonts w:ascii="arial" w:eastAsia="arial" w:hAnsi="arial" w:cs="arial"/>
          <w:color w:val="000000"/>
          <w:sz w:val="20"/>
          <w:lang w:val="en-US" w:eastAsia="en-US" w:bidi="ar-SA"/>
        </w:rPr>
        <w:t xml:space="preserve"> (C.A.), and that, based on the principles set out in that decision, the third party notices should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Adams, the Court of Appeal set a limit on the entitlement to add a third party when a plaintiff contracts with two different parties. The Court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where a plaintiff contracts with two separate parties ... and later sues one of them, the one sued cannot claim contribution or indemnity from the other on the ground that the other failed to properly execute his duties, where the substance of the third party claim can be raised against the plaintiff by way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third party claim will not lie against another person with respect to an obligation belonging to the plaintiff which the defendant can raise directly against the plaintiff by way of defence. Where the only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against the third party is attributable to the plaintiff, there is no need for third party proceedings since the defendant has his full remedy against the plaintiff. On the other hand, where the pleadings and the alleged facts raise the possibility of a claim against the third party for which the plaintiff may not be responsible, the third party claim should be allowed to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third parties argue that they and the defendants had separate contracts with the plaintiff, at different times, to manage her investments and that the defendants are not entitled to claim against them for the plaintiff's alleged failure to mitigate. Absent any duty owed to the defendants, the third parties further submit that they did not have an obligation to minimize any damages the plaintiff may have suffered as a result of investment decisions made by the defendants on her behalf before the accounts were transferred. If there was any failure to take action to minimize the losses on the investment account after the transfer, that is entirely attributable to the plaintiff and the defendant can raise the failure to mitigate in response to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defendants oppose the striking of the third party notices. They argue that the issues raised against the third parties differ from the mitigation issue raised against the plaintiff. To paraphrase the statements of defence, they deny that the plaintiff suffered any loss or that they did anything that was the direct or proximate cause of any loss, or contributed towards any loss. The defendants contend that these pleadings bring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[R.S.B.C. 1996] c. 333 into play. That section, in its entirety, reads: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damage or loss has been caused by the fault of 2 or more persons, the court must determine the degree to which each person was at fault.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provided in section 5 if 2 or more persons are found at fault</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jointly and severally liable to the person suffering the damage or loss, and</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themselves, in the absence of a contract express or implied, they are liable to contribute to and indemnify each other in the degree to which they are respectively found to have been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As a result, the defendants say in their written argument that, if they are liable to the plaintiff, "they should be entitled to seek contribution and indemnity from the Third Parties for any portion of the loss to which the court may find both the Defendants and the Third Parties contributed". They say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third parties is unrelated to the mitigation issue and not attributable to the plaintiff. As a result, they argue that the third party claims should not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principal cases relied on by the defendants are Alysworth v. Richardson Greenshields of Canada Ltd. </w:t>
      </w:r>
      <w:hyperlink r:id="rId930" w:history="1">
        <w:r>
          <w:rPr>
            <w:rFonts w:ascii="arial" w:eastAsia="arial" w:hAnsi="arial" w:cs="arial"/>
            <w:i/>
            <w:color w:val="0077CC"/>
            <w:sz w:val="20"/>
            <w:u w:val="single"/>
            <w:shd w:val="clear" w:color="auto" w:fill="FFFFFF"/>
            <w:lang w:val="en-US" w:eastAsia="en-US" w:bidi="ar-SA"/>
          </w:rPr>
          <w:t>(1987), 21 B.C.L.R. (2d) 49</w:t>
        </w:r>
      </w:hyperlink>
      <w:r>
        <w:rPr>
          <w:rFonts w:ascii="arial" w:eastAsia="arial" w:hAnsi="arial" w:cs="arial"/>
          <w:color w:val="000000"/>
          <w:sz w:val="20"/>
          <w:lang w:val="en-US" w:eastAsia="en-US" w:bidi="ar-SA"/>
        </w:rPr>
        <w:t xml:space="preserve"> (C.A.), Cardar Investments Ltd. v. Thorne Riddell </w:t>
      </w:r>
      <w:hyperlink r:id="rId931" w:history="1">
        <w:r>
          <w:rPr>
            <w:rFonts w:ascii="arial" w:eastAsia="arial" w:hAnsi="arial" w:cs="arial"/>
            <w:i/>
            <w:color w:val="0077CC"/>
            <w:sz w:val="20"/>
            <w:u w:val="single"/>
            <w:shd w:val="clear" w:color="auto" w:fill="FFFFFF"/>
            <w:lang w:val="en-US" w:eastAsia="en-US" w:bidi="ar-SA"/>
          </w:rPr>
          <w:t>(1989), 71 O.R. (2d) 29</w:t>
        </w:r>
      </w:hyperlink>
      <w:r>
        <w:rPr>
          <w:rFonts w:ascii="arial" w:eastAsia="arial" w:hAnsi="arial" w:cs="arial"/>
          <w:color w:val="000000"/>
          <w:sz w:val="20"/>
          <w:lang w:val="en-US" w:eastAsia="en-US" w:bidi="ar-SA"/>
        </w:rPr>
        <w:t xml:space="preserve"> (Div. Ct.), and Cooper v. Hobart, </w:t>
      </w:r>
      <w:hyperlink r:id="rId932" w:history="1">
        <w:r>
          <w:rPr>
            <w:rFonts w:ascii="arial" w:eastAsia="arial" w:hAnsi="arial" w:cs="arial"/>
            <w:i/>
            <w:color w:val="0077CC"/>
            <w:sz w:val="20"/>
            <w:u w:val="single"/>
            <w:shd w:val="clear" w:color="auto" w:fill="FFFFFF"/>
            <w:lang w:val="en-US" w:eastAsia="en-US" w:bidi="ar-SA"/>
          </w:rPr>
          <w:t>[1999] B.C.J. No. 844</w:t>
        </w:r>
      </w:hyperlink>
      <w:r>
        <w:rPr>
          <w:rFonts w:ascii="arial" w:eastAsia="arial" w:hAnsi="arial" w:cs="arial"/>
          <w:color w:val="000000"/>
          <w:sz w:val="20"/>
          <w:lang w:val="en-US" w:eastAsia="en-US" w:bidi="ar-SA"/>
        </w:rPr>
        <w:t>, 1999 Carswell BC 807 (B.C.S.C.). In my view, each of those decisions is distinguishable.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Aylsworth, the Court of Appeal refused leave to appeal the chambers judge's decision not to strike a third party notice, in part, on the basis that striking the third party claim could affect the apportionment of losses. It is helpful to briefly review the allegations so that they may be contrasted to those made in the present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plaintiff in Aylsworth purchased mutual funds through the services of one of the defendants. The plaintiff claimed, in part, that the defendants participated in a conspiracy to manipulate the market price of shares and engaged in fraud to induce the purchase. The plaintiff also alleged breach of fiduciary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some defendants. The third party notice alleged that another broker participated in the conspiracy and the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third party in Aylsworth contended unsuccessfully that the Adams principle applied because the defendants and the third party all had separate contracts with the plaintiff. The live issue in that regard however was whether the alleged participation in the conspiracy and fraud by the third party could be attributable to the plaintiff as a result of an agency relationship and the chambers judge apparently concluded that it could not. On this point, the result in Aylsworth is, in my view, consistent with the test in Adams as Adams does not allow for the striking of a third party notice where the conduct may not be attributable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also argued that Cardar is applicable. There, the Ontario Divisional Court interpreted Adams to mean: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if the fault alleged against the plaintiff's solicitor is something that the plaintiff is responsible for in any event, then there is no need to add the solicitor as a third party since the defendant is able to raise the fault of the solicitor as a defence in the main action for such fault rests on the shoulders of the plaintiff. I accept that proposition. Where a plaintiff is under an absolute obligation to do something, he does not escape that obligation by giving it to his solicitor or someone else to do. In such circumstances the failure of the solicitor to perform the obligation will be treated as if the plaintiff failed to perform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went on to conclude that the defendants had a right under ss. 2 and 6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R.S.O. 1980, to add the third parties independent of the Rules. Section 6 is described as providing "in effect that if it appears that a person not already party may be found liable under s. 2 of the Act to contribute to the plaintiff's damages such person may be made a third party 'in the manner prescribed in by the rules of practise for adding third parties'" (para.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Section 2 (now s. 1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R.S.O. 1990) and s. 6 (now s. 5) read as follows: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damages have been caused or contributed to by the fault or neglect of two or more persons, the court shall determine the degree in which each of such persons is at fault or negligent, and, where two or more persons are found at fault or negligent, they are jointly and severally liable to the person suffering loss or damage for such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as between themselves, in the absence of any contract express or implied, each is liable to make contribution and indemnify each other in the degree in which they are respectively found to be at fault or negligent. </w:t>
      </w:r>
      <w:hyperlink r:id="rId933" w:history="1">
        <w:r>
          <w:rPr>
            <w:rFonts w:ascii="arial" w:eastAsia="arial" w:hAnsi="arial" w:cs="arial"/>
            <w:i/>
            <w:color w:val="0077CC"/>
            <w:sz w:val="20"/>
            <w:u w:val="single"/>
            <w:shd w:val="clear" w:color="auto" w:fill="FFFFFF"/>
            <w:lang w:val="en-US" w:eastAsia="en-US" w:bidi="ar-SA"/>
          </w:rPr>
          <w:t>R.S.O. 1990, c. N.1, s. 1</w:t>
        </w:r>
      </w:hyperlink>
      <w:r>
        <w:rPr>
          <w:rFonts w:ascii="arial" w:eastAsia="arial" w:hAnsi="arial" w:cs="arial"/>
          <w:color w:val="000000"/>
          <w:sz w:val="20"/>
          <w:lang w:val="en-US" w:eastAsia="en-US" w:bidi="ar-SA"/>
        </w:rPr>
        <w: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Wherever it appears that a person not already a party to an action is or may be wholly or partly responsible for the damages claimed, such person may be added as a party defendant to the action upon such terms as are considered just or may be made a third party to the action in the manner prescribed by the rules of court for adding third parties. </w:t>
      </w:r>
      <w:hyperlink r:id="rId934" w:history="1">
        <w:r>
          <w:rPr>
            <w:rFonts w:ascii="arial" w:eastAsia="arial" w:hAnsi="arial" w:cs="arial"/>
            <w:i/>
            <w:color w:val="0077CC"/>
            <w:sz w:val="20"/>
            <w:u w:val="single"/>
            <w:shd w:val="clear" w:color="auto" w:fill="FFFFFF"/>
            <w:lang w:val="en-US" w:eastAsia="en-US" w:bidi="ar-SA"/>
          </w:rPr>
          <w:t>R.S.O. 1990, c. N.1, s. 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is some parallel between the wording of s. 2 (now s. 1) of the Ontario legislation and s. 4 of the British Columbia legislation. There is, however, no provision in the British Columbia legislation similar to s. 6 (now s. 5) of the Ontario legislation perhaps capable of over-riding the applicable rules of court. For that reason alone, I would be very cautious in applying the reasoning in Cardar.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 respectfully decline to apply Cardar. Even if it is correct and, as I set out below, there is some lingering question of that, it also appears that the allegations in the statement of claim and in the third party proceeding related to concurrent rather than consecutive faults. Section 4 of our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applies to concurrent fault rather than consecutive fault. See Brown v. Cole, </w:t>
      </w:r>
      <w:hyperlink r:id="rId935" w:history="1">
        <w:r>
          <w:rPr>
            <w:rFonts w:ascii="arial" w:eastAsia="arial" w:hAnsi="arial" w:cs="arial"/>
            <w:i/>
            <w:color w:val="0077CC"/>
            <w:sz w:val="20"/>
            <w:u w:val="single"/>
            <w:shd w:val="clear" w:color="auto" w:fill="FFFFFF"/>
            <w:lang w:val="en-US" w:eastAsia="en-US" w:bidi="ar-SA"/>
          </w:rPr>
          <w:t>(1995), 14 B.C.L.R. (3d) 53</w:t>
        </w:r>
      </w:hyperlink>
      <w:r>
        <w:rPr>
          <w:rFonts w:ascii="arial" w:eastAsia="arial" w:hAnsi="arial" w:cs="arial"/>
          <w:color w:val="000000"/>
          <w:sz w:val="20"/>
          <w:lang w:val="en-US" w:eastAsia="en-US" w:bidi="ar-SA"/>
        </w:rPr>
        <w:t xml:space="preserve"> (C.A.), at paras. 21 and 30 as well as the discussion in Cooper v. Hobart, 1999 Carswell BC 807 (B.C.S.C.), at paras. 10-17.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court in Cooper was unable to determine whether the claim against the third party was consecutive or concurrent and was also unable to determine if the third party acted within the scope of an agency relationship. On the relatively simple pleadings before me, I am able to conclude that the claim against the third party is consecutive and that the third party acted as an agent of the plaintiff. In the latter regard, I consider it significant that, in Cooper, the defendant alleged fraud, in part, against the third party thus rendering that case closer on the facts to Aylsworth.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Master Patterson declined to apply Cardar in Loewen v. Seaboard Life Insurance Co., </w:t>
      </w:r>
      <w:hyperlink r:id="rId936" w:history="1">
        <w:r>
          <w:rPr>
            <w:rFonts w:ascii="arial" w:eastAsia="arial" w:hAnsi="arial" w:cs="arial"/>
            <w:i/>
            <w:color w:val="0077CC"/>
            <w:sz w:val="20"/>
            <w:u w:val="single"/>
            <w:shd w:val="clear" w:color="auto" w:fill="FFFFFF"/>
            <w:lang w:val="en-US" w:eastAsia="en-US" w:bidi="ar-SA"/>
          </w:rPr>
          <w:t>[1999] B.C.J. No. 2625</w:t>
        </w:r>
      </w:hyperlink>
      <w:r>
        <w:rPr>
          <w:rFonts w:ascii="arial" w:eastAsia="arial" w:hAnsi="arial" w:cs="arial"/>
          <w:color w:val="000000"/>
          <w:sz w:val="20"/>
          <w:lang w:val="en-US" w:eastAsia="en-US" w:bidi="ar-SA"/>
        </w:rPr>
        <w:t xml:space="preserve"> (S.C.). There, the defendant contended, based on Cardar, that the third party notice should not be struck. The Master stated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What has to be determined in this case is whether the situation fits within the exception stated by McLachlin J.A. in Adams, i.e., whether the claim in the third party notice is one for which the plaintiff might not be responsible. In Cardar, O'Leary J. draws a fine line by saying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only be attributed to the plaintiffs if they were under an obligation to make such a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 addition, although counsel before me did not refer to the decisions, there is also some question whether Cardar is the law in Ontario. See Tate Andale Canada Ltd. v. Diclemente, </w:t>
      </w:r>
      <w:hyperlink r:id="rId937" w:history="1">
        <w:r>
          <w:rPr>
            <w:rFonts w:ascii="arial" w:eastAsia="arial" w:hAnsi="arial" w:cs="arial"/>
            <w:i/>
            <w:color w:val="0077CC"/>
            <w:sz w:val="20"/>
            <w:u w:val="single"/>
            <w:shd w:val="clear" w:color="auto" w:fill="FFFFFF"/>
            <w:lang w:val="en-US" w:eastAsia="en-US" w:bidi="ar-SA"/>
          </w:rPr>
          <w:t>[1994] O.J. No. 1627</w:t>
        </w:r>
      </w:hyperlink>
      <w:r>
        <w:rPr>
          <w:rFonts w:ascii="arial" w:eastAsia="arial" w:hAnsi="arial" w:cs="arial"/>
          <w:color w:val="000000"/>
          <w:sz w:val="20"/>
          <w:lang w:val="en-US" w:eastAsia="en-US" w:bidi="ar-SA"/>
        </w:rPr>
        <w:t xml:space="preserve"> (General Division) and Brampton Hydro-Electric Commission v. B.C. Polygrinders Ltd. </w:t>
      </w:r>
      <w:hyperlink r:id="rId938" w:history="1">
        <w:r>
          <w:rPr>
            <w:rFonts w:ascii="arial" w:eastAsia="arial" w:hAnsi="arial" w:cs="arial"/>
            <w:i/>
            <w:color w:val="0077CC"/>
            <w:sz w:val="20"/>
            <w:u w:val="single"/>
            <w:shd w:val="clear" w:color="auto" w:fill="FFFFFF"/>
            <w:lang w:val="en-US" w:eastAsia="en-US" w:bidi="ar-SA"/>
          </w:rPr>
          <w:t>(1993), 12 O.R. (3d) 625</w:t>
        </w:r>
      </w:hyperlink>
      <w:r>
        <w:rPr>
          <w:rFonts w:ascii="arial" w:eastAsia="arial" w:hAnsi="arial" w:cs="arial"/>
          <w:color w:val="000000"/>
          <w:sz w:val="20"/>
          <w:lang w:val="en-US" w:eastAsia="en-US" w:bidi="ar-SA"/>
        </w:rPr>
        <w:t xml:space="preserve"> Ontario Court (General 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It is apparent from the pleadings in the case at bar that the assumed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third parties necessarily occurred consecutive to the assumed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I do not accept that there is any live issue about the potential application of s. 4 of the British Columbia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its core, the claim of the defendants is that the plaintiff's losses were caused by her failure to mitigate. Mitigation is solely the responsibility of the plaintiff. There is no suggestion on the pleadings that the third parties were anything other than agents of Ms. Bingham. Failure to mitigate is, of course, a defence that BMO and Mr. Somerset can raise in the plaintiff's action without requiring any participation or finding against Odlum or Mr. Howe. As a result, the third party notices are struck as disclosing no reasonable cause of action pursuant to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third parties sought special costs pursuant to Rule 19(24). While the rule permits such an order, the court usually limits awards of special costs to circumstances where a party engages in conduct that is frivolous, scandalous, outrageous or otherwise worthy of rebuke. While I have found that the third party notices disclose no reasonable cause of action and should be struck under Rule 19(24), there has been no conduct by the defendants that warrants an order of special costs. The third parties are entitled to their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MACAULAY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9"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39"/>
          <w:headerReference w:type="default" r:id="rId940"/>
          <w:footerReference w:type="even" r:id="rId941"/>
          <w:footerReference w:type="default" r:id="rId942"/>
          <w:headerReference w:type="first" r:id="rId943"/>
          <w:footerReference w:type="first" r:id="rId94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45" w:history="1">
        <w:r>
          <w:rPr>
            <w:rFonts w:ascii="arial" w:eastAsia="arial" w:hAnsi="arial" w:cs="arial"/>
            <w:b/>
            <w:bCs/>
            <w:i/>
            <w:color w:val="0077CC"/>
            <w:kern w:val="32"/>
            <w:sz w:val="28"/>
            <w:szCs w:val="32"/>
            <w:u w:val="single"/>
            <w:shd w:val="clear" w:color="auto" w:fill="FFFFFF"/>
            <w:lang w:val="en-US" w:eastAsia="en-US" w:bidi="ar-SA"/>
          </w:rPr>
          <w:t>Boyes (Litigation guardian of) v. Wong, [2016] B.C.J. No. 1229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Young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14-18 and 21-23,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14,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S115846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1229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1085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Cora Rachelle Boyes, an Infant, and Ellen Boyes, Litigation Guardian, Plaintiff, and Johnny Ho Cheung Wong, Kit Bing Lai, Kenneth Wayne Starr, Sandra May Cusack (nee Starr), Peter Franz Bachmann, Carmel Philomena Bachmann, Doris Wong, ABC Company, Candice Searcy, David Boyes, Jennifer Searcy and Golden Leaf Electrical Services Ltd., Defendants, and Johnny Ho Cheung Wong, Kit Bing Lai, Sandra May Ryckman (formerly Cusack and Starr), Doris Wong, Candice Searcy and David Boyes,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(398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0"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5" w:name="Keywords_38"/>
      <w:bookmarkEnd w:id="275"/>
      <w:r>
        <w:rPr>
          <w:rFonts w:ascii="arial" w:eastAsia="arial" w:hAnsi="arial" w:cs="arial"/>
          <w:b/>
          <w:color w:val="000000"/>
          <w:sz w:val="20"/>
          <w:lang w:val="en-US" w:eastAsia="en-US" w:bidi="ar-SA"/>
        </w:rPr>
        <w:t xml:space="preserve">Landlord and tenant law — Residential tenancies — Landlord's obligations — Inspection of premises — Ruling regarding liability in action by infant Boyes for damages for injuries sustained — Boyes experienced electrical burns at ten months of age when she came into contact with electrified end of extension cord under built-in cabinet in rental premises — Mr. Wong and Lai owned property, and Ms. Wong managed property — Ms. Wong, Mr. Wong and Lai did not meet standard of care expected of landlord/property manager — Extension cord caused damage to Boyes — But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Ms. Wong, Mr. Wong and Lai, injuries would not have occurred — Third party actions against Boyes' father and previous owner were dismissed — Occupiers' Liability Act, s. 6(3)(c); Residential Tenancy Act, s. 32.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Standard of care — Causation — Ruling regarding liability in action by infant Boyes for damages for injuries sustained — Boyes experienced electrical burns at ten months of age when she came into contact with electrified end of extension cord under built-in cabinet in rental premises — Mr. Wong and Lai owned property, and Ms. Wong managed property — Ms. Wong, Mr. Wong and Lai did not meet standard of care expected of landlord/property manager — Extension cord caused damage to Boyes — But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Ms. Wong, Mr. Wong and Lai, injuries would not have occurred — Third party actions against Boyes' father and previous owner were dismissed — Occupiers' Liability Act, s. 6(3)(c); Residential Tenancy Act, s. 32.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Occupiers' liability — Dangerous premises — Landlord and tenant — Ruling regarding liability in action by infant Boyes for damages for injuries sustained — Boyes experienced electrical burns at ten months of age when she came into contact with electrified end of extension cord under built-in cabinet in rental premises — Mr. Wong and Lai owned property, and Ms. Wong managed property — Ms. Wong, Mr. Wong and Lai did not meet standard of care expected of landlord/ property manager — Extension cord caused damage to Boyes — But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Ms. Wong, Mr. Wong and Lai, injuries would not have occurred — Third party actions against Boyes' father and previous owner were dismissed — Occupiers' Liability Act, s. 6(3)(c); Residential Tenancy Act, s. 32.</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6" w:name="Case Summary_37"/>
            <w:bookmarkEnd w:id="27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Ruling regarding liability in action by infant Boyes for damages for injuries sustained. Boyes experienced electrical burns at ten months of age when she came into contact with the electrified end of an extension cord under a built-in cabinet in a rental premises. The defendants were the current owners, one past owner of the premises, and the property manager. It was not known who installed the electrified extension cord. At the time of the incident, Mr. Wong and Lai owned the property. The Bachmans owned the property from 1963 to 1969. Starr and Ryckman owned the property from 1969 to 1979, and Ryckman from 1979 to 1992. Wong and Lai owned the property from 1992 onward. The cabinet was constructed at some point during the early to mid-1980s. Ms. Wong acted as the property manager/landlord. Boyes was being babysat by Searcy at the time of the incident. The cabinet revealed two electrical receptacles that were unprofessionally installed. Boyes commenced an action against Mr. Wong, Ms. Wong, and Lai. Third party actions were commenced against Mr. Boyes, Boyes' father, and Ryckman.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7" w:name="Holdings of Court_36"/>
            <w:bookmarkEnd w:id="277"/>
            <w:r>
              <w:rPr>
                <w:rFonts w:ascii="arial" w:eastAsia="arial" w:hAnsi="arial" w:cs="arial"/>
                <w:color w:val="000000"/>
                <w:sz w:val="20"/>
                <w:lang w:val="en-US" w:eastAsia="en-US" w:bidi="ar-SA"/>
              </w:rPr>
              <w:t>HELD: It was determined that Mr.</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Wong, Ms. Wong, and Lai were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Liability was apportioned equally among the three of them. The third party actions against Mr. Boyes and Ryckman were dismissed. The owners of the premises, Mr. Wong and Lai, owed a duty to tenants who occupied the premises pursuant to s. 32 of the Residential Tenancy Act ("RTA") and s. 6(3)(c) of the Occupiers Liability Act ("OLA"). Ryckman did not owe a duty to Boyes under the OLA. There were no provisions in the OLA to trace occupier's duties back to previous owners. The standard of care owed by a landlord or property manager was to perform a detailed inspection of the property prior to a tenant moving in and out, and on an annual basis. In the current situation, this would have included opening the cupboard. Given that cabinet revealed the back of two electrical receptacles that were unprofessionally installed, the minimum standard required further investigation by the property manager. Ms. Wong did not meet the standard of care required for a property manager. The Cabinet was a fixture and became the property of Wong and Lai. Wong's inspections were superficial. Little, if any, consideration was given to hazards that might exist in the premises. The inspections were not carried out as frequently as they should have been. A reasonable property manager would have requested an overall electrical inspection at that time knowing that the electrical system was likely over 45 years old. Ms. Wong has no policy for regular maintenance or inspections. She waited for complaints. Wong had an obligation to inspect the property for hazards even if they were not drawn to her attention. Mr. Wong and Lai did not meet the standard of care expected of a landlord. Mr. Wong and Lai were owners who delegated all of their authority with respect to the property to their agent Ms. Wong. They were vicariously liable for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 addition liable directly under s. 32 of the RTA for their failure to provide and maintain a residential property in a state of decoration and repair that complied with health and safety standards required by law in regard to the age, character and location of the rental unit to make it suitable for occupation by a tenant. The extension cord caused the damage to Boyes.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Wong, Mr. Wong and Lai, the injuries would not have occurred. With respect to Ryckman, there was no evidence that she withheld information by way of the disclosure statement, and there was no allegation of misrepresentation. With respect to Mr. Boyes, there was no evidence that the hazard was apparent upon ordinary visual observation during his brief tenancy.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8" w:name="Legislation Cited_28"/>
      <w:bookmarkEnd w:id="27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1"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927" w:history="1">
        <w:r>
          <w:rPr>
            <w:rFonts w:ascii="arial" w:eastAsia="arial" w:hAnsi="arial" w:cs="arial"/>
            <w:i/>
            <w:color w:val="0077CC"/>
            <w:sz w:val="20"/>
            <w:u w:val="single"/>
            <w:shd w:val="clear" w:color="auto" w:fill="FFFFFF"/>
            <w:lang w:val="en-US" w:eastAsia="en-US" w:bidi="ar-SA"/>
          </w:rPr>
          <w:t>R.S.B.C. 1996 c. 333, s. 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hyperlink r:id="rId946" w:history="1">
        <w:r>
          <w:rPr>
            <w:rFonts w:ascii="arial" w:eastAsia="arial" w:hAnsi="arial" w:cs="arial"/>
            <w:i/>
            <w:color w:val="0077CC"/>
            <w:sz w:val="20"/>
            <w:u w:val="single"/>
            <w:shd w:val="clear" w:color="auto" w:fill="FFFFFF"/>
            <w:lang w:val="en-US" w:eastAsia="en-US" w:bidi="ar-SA"/>
          </w:rPr>
          <w:t>R.S.B.C. 1996, c. 337, s. 1</w:t>
        </w:r>
      </w:hyperlink>
      <w:r>
        <w:rPr>
          <w:rFonts w:ascii="arial" w:eastAsia="arial" w:hAnsi="arial" w:cs="arial"/>
          <w:color w:val="000000"/>
          <w:sz w:val="20"/>
          <w:lang w:val="en-US" w:eastAsia="en-US" w:bidi="ar-SA"/>
        </w:rPr>
        <w:t>, s. 3, s. 6(1), s. 6(3)(c)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Residential Tenancy Act, </w:t>
      </w:r>
      <w:hyperlink r:id="rId947" w:history="1">
        <w:r>
          <w:rPr>
            <w:rFonts w:ascii="arial" w:eastAsia="arial" w:hAnsi="arial" w:cs="arial"/>
            <w:i/>
            <w:color w:val="0077CC"/>
            <w:sz w:val="20"/>
            <w:u w:val="single"/>
            <w:shd w:val="clear" w:color="auto" w:fill="FFFFFF"/>
            <w:lang w:val="en-US" w:eastAsia="en-US" w:bidi="ar-SA"/>
          </w:rPr>
          <w:t>S.B.C. 2002, c. 78, s. 23</w:t>
        </w:r>
      </w:hyperlink>
      <w:r>
        <w:rPr>
          <w:rFonts w:ascii="arial" w:eastAsia="arial" w:hAnsi="arial" w:cs="arial"/>
          <w:color w:val="000000"/>
          <w:sz w:val="20"/>
          <w:lang w:val="en-US" w:eastAsia="en-US" w:bidi="ar-SA"/>
        </w:rPr>
        <w:t>, s. 32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9" w:name="Counsel_39"/>
      <w:bookmarkEnd w:id="27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2" style="position:absolute;z-index:251801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M. Elliott, J. 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David Boyes, Jennifer Searcy and David Boyes as Third Party: K. Gourlay.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and Third Party, Sandra May Cusack (nee Starr) and Sandra May Ryckman (formerly Cusack and Starr): A. Bookman.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and Third Parties, Kit Bing Lai and Johnny Ho Cheung Wong: J. Morin, A. MacCallum.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and Third Party, Doris Wong: C. Rhone, A. Greenwood.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0" w:name="Judgment_39"/>
      <w:bookmarkEnd w:id="280"/>
      <w:r>
        <w:pict>
          <v:line id="_x0000_s1223" style="position:absolute;z-index:2518517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AGREED STATEMENT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HISTORY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CABINET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was the Cabinet Created or Modified?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Evidence</w:t>
      </w:r>
    </w:p>
    <w:p>
      <w:pPr>
        <w:numPr>
          <w:numId w:val="2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Sandra Ryckman</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Nadine Paul</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Ken Starr</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David Little</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Doris Wong</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Johnny Wong and Kit Bing Lai</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Heinz Beigeinzein</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Kirk Gower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Decision on When the Cabinet Was Created and Modified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Who Owed A Duty of Care to the Plaintiff?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Statutory Law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What Standard of Care Was Owed by the Defendants and Has it Been Met?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Expert Evidence on the Standard of Care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 Martin Coles, Electrical Engineer</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Brent Murphy, Electrician</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Richard van Leeuwen, Electrical Engineer</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Scott Ullrich, Property Management Expert</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Garth Cambrey, Property Management Expert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Decision on the Standard of Care Owed by a Landlord or Property Manager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Was the Standard of Care Met?</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Doris Wong</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Johnny Ho Cheung Wong</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Kit Bing Lai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Analysis and Decision on Whether the Standard of Care Was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Martin Coles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Analysis of Causation and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APPORTIONMENT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THIRD PARTY CLAIMS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Third Party Claim Against Mr. Boyes Brought by Ms. Wong, Mr. Wong and Ms. Lai</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Parties' Positions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Analysis and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Third Party Action Against Sandra Ryckman Brought By Ms. Wong, Mr. Wong and Ms. Lai</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Parties' Positions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Analysis and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1" w:name="B.M. YOUNG J."/>
            <w:bookmarkEnd w:id="281"/>
            <w:r>
              <w:rPr>
                <w:rFonts w:ascii="arial" w:eastAsia="arial" w:hAnsi="arial" w:cs="arial"/>
                <w:b/>
                <w:color w:val="000000"/>
                <w:sz w:val="30"/>
                <w:lang w:val="en-US" w:eastAsia="en-US" w:bidi="ar-SA"/>
              </w:rPr>
              <w:t>B.M. YOUNG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decision deals with liability only for the electrical burns suffered by an infant who came into contact with the electrified end of an extension cord under a built-in cabinet in a rental premises (the "Incident"). The defendants are the current owners, one past owner of the premises and the property manager. Liability under the </w:t>
      </w:r>
      <w:r>
        <w:rPr>
          <w:rFonts w:ascii="arial" w:eastAsia="arial" w:hAnsi="arial" w:cs="arial"/>
          <w:i/>
          <w:color w:val="000000"/>
          <w:sz w:val="20"/>
          <w:lang w:val="en-US" w:eastAsia="en-US" w:bidi="ar-SA"/>
        </w:rPr>
        <w:t>Residential Tenancy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78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are considered. It is not known who installed the electrified extension cord. In order to determine who owed a duty of care to the infant plaintiff, it was necessary to determine when the electrified extension cord was installed and who owned the house at that time. The main issue is whether the owner and property manager exercised reasonable care in inspecting the property. The issue in the third party action is whether the previous owner and a tenant had a duty to warn the new owners and the property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AGREED STATEMENT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action results from the infant plaintiff's allegations that on August 24, 2007, she was electrocuted while a resident at 961 Broadview Drive, North Vancouver, British Columbia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home on the Property is comprised of two self-contained suites. The infant plaintiff lived in the upstairs suite (the "Premises") from May 1, 2007 until late August 2007 with her mother Jennifer Searcy and her father David Boyes ("Mr. Boyes").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time of the Incident, the defendants Johnny Ho Cheung Wong ("Mr. Wong") and Kit Bing Lai (Ms. Lai) owned the Property. The history of the ownership of the Property is as follows: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Peter Franz Bachman ("Mr. Bachman") and Carmel Philomena Bachman ("Ms. Bachman") from August 15, 1963 to May 5, 1969;</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Kenneth Wayne Starr ("Mr. Starr") and Sandra May Ryckman (formerly Cusak and Starr) ("Ms. Ryckman") from May 6, 1969 to November 27, 1979;</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Ryckman from November 28, 1979 to July 8, 1992; and</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Wong and Ms. Lai from July 9, 1992 to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cabinet was constructed at some point during the early to mid-1980s.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time of the Incident and since the Premises were first rented, the defendant Doris Wong ("Ms. Wong") acted as the property manager and/or landlord (role to be determined at trial) for the Premises and the downstairs suite.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were prior tenants in the Premises. The tenants included the following:</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24" type="#_x0000_t75" style="width:397.5pt;height:264pt">
            <v:imagedata r:id="rId948"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was no written application or agreement with the first tenant, James Martin.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two suites in the home on the Property have generated on average $2,000 in gross monthly rental income for the owners from 1992 to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cost of terminating the junction box underneath the cabinet was $101.76.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HISTORY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 notice of civil claim was filed by the plaintiff on September 1, 2011 naming a number of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filed notices of discontinuance against Mr. Starr (now deceased), Sandra May Cusack (now Ms. Ryckman), Mr. Bachmann, Ms. Bachmann and Golden Leaf Electrical Services Ltd. ("Golden Leaf") on August 8,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filed a notice of discontinuance against Ms. Ryckman because Ms. Ryckman swore an affidavit which stated that no entertainment unit had been installed on the Premises during the time that she owned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March 26, 2014, the plaintiff successfully applied to have the issue of quantum and liability severed.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March 24, 2015 the defendants Ms. Wong, Mr. Wong, and Ms. Lai applied to add Ms. Ryckman, Mr. Boyes, Candice Searcy and Golden Leaf as third parties to the action. The defendants were successful with regards to their applications adding Ms. Ryckman, Mr. Boyes, and Jennifer Searcy but unsuccessful in their application adding Golden Leaf.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part of her application response materials, Ms. Ryckman swore a new affidavit which stated that she was not aware that the "entertainment unit" referenced in her previous affidavit was in fact the cabinet in question. Ms. Ryckman's new affidavit confirmed that the cabinet was built during her ownership of the Premises. Ms. Ryckman was then re-added as a defendant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 Sandra May Cusack (nee Starr) is the same person as the third party Sandra May Ryckman (formerly Cusak and Starr) and I order that the style of cause be amended to change the defendant's name to Sandra May Ryckman (formerly Cusak and Starr).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the first week of March of 2016, the plaintiff and the defendants Ms. Wong, Mr. Wong and Ms. Lai filed notices of discontinuances against Jennifer Searcy releasing her from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March 14, 2016, a court order was made dismissing the action against Mr. Boyes and Jennifer Searcy as defendants. Mr. Boyes remains as a third party to this action and Jennifer Searcy is now released from this action entirely.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Ryckman, who owned the Property jointly from May 6, 1969 to November 27, 1979 and exclusively from November 28, 1979 to July 8, 1992, sold the Property to Mr. Wong and Ms. Lai on July 9,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Wong and Ms. Lai have owned the Property continuously to present date. They have never set foot inside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Wong is the Mr. Wong's sister. She has been the property manager or landlord from approximately 1992 to present, including at the time of the Incident. She had exclusive control over the Property for approximately 15 years prior to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Jennifer Searcy, Mr. Boyes, Jaidlynn Searcy (the infant plaintiff's sister), and the infant plaintiff began their tenancy on approximately May 1, 2007. Jaidlynn was six years old at the commencement of the tenancy and the infant plaintiff was six months old. They had been living in the Premises for just under four months at the time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CABINET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living room of the Premises there was a built-in cabinet that had been built to act as an entertainment unit to house a television, VCR, cable box, record player and stereo equipment (the "Cabinet").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After the Incident the Cabinet was taken apart by a mechanical engineer, Mr. David Little ("Mr. Little") and it was then learned that the Cabinet had an electrical junction box and receptacles installed within. The electrical junction box ("Receptacle #1") was wired directly into the electrical system of the house. There were two interior receptacles ("Receptacles #2 and #3) which were soldered into the wood of the Cabinet.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was a brown electrical extension cord installed in the Cabinet as well which had been constructed to have two male ends (the "Extension Cord"). One male end was plugged and taped into Receptacle #1 underneath the Cabinet. The other end was energized and protruded out from underneath the Cabinet between the wall and Cabinet. The Extension Cord may have been plugged into Receptacle # 2 at the beginning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following diagram was created by electrical engineer Martin Coles and the names and numbers assigned to the three electrical devices have been adopted by all parties and used in these proceedings. I have therefore reproduced Mr. Coles diagram in these reasons for ease of reference:</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25" type="#_x0000_t75" style="width:374.25pt;height:245.25pt">
            <v:imagedata r:id="rId949" o:title=""/>
          </v:shape>
        </w:pict>
      </w:r>
      <w:r>
        <w:rPr>
          <w:rFonts w:ascii="arial" w:eastAsia="arial" w:hAnsi="arial" w:cs="arial"/>
          <w:sz w:val="20"/>
          <w:lang w:val="en-US" w:eastAsia="en-US" w:bidi="ar-SA"/>
        </w:rPr>
        <w:t xml:space="preserve">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Diagram of the Cabinet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infant plaintiff was ten months old at the time of the Incident. She is nine years old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August 24, 2007, the infant plaintiff was being babysat by her aunt, Candice Searcy.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infant plaintiff's father, Mr. Boyes, was having a nap in the bedroom at the time of the Incident as he worked shift work. The infant plaintiff's mother, Jennifer Searcy, was on a shopping trip with her other daughter and not present at the Premises at time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the time of the Incident, the infant plaintiff was playing a game of peek-a-boo with her aunt beside the family couch and near the right hand corner of the Cabinet. The infant plaintiff and her aunt would take turns ducking behind the corners of the couch and then reappear. At some point, the infant plaintiff ducked behind the couch and did not reappear. Her aunt looked around the corner of the couch and found the infant plaintiff face down on the ground. The infant plaintiff had placed the energized male end of the Extension Cord in her mouth.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When Candice Searcy picked the infant plaintiff up from the ground she saw the Extension Cord lying underneath the infant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infant plaintiff sustained severe electrical burns to her face, mouth, lips, gums, palate, teeth and throat. There was an exit burn wound from the electrical current on her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Candice Searcy began administering first aid to the infant plaintiff immediately. An ambulance was called. The infant plaintiff was placed in a medically induced coma for a period of time. She was kept in the ICU at Children's Hospital for three weeks. It is agreed that the infant plaintiff's injuries are profound and that the Incident has changed her life forever.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was the Cabinet created or modified?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owed a duty of care to the infant plaintiff and what was the standard of care?</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standard of care met?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a failure to meet the standard of care result in harm to the infant plaintiff and was the harm foreseeable?</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How is Liability to be apportioned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defendants are liable were the third parties also at fault?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When was the Cabinet Created or Modified?</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Evidence</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Sandra Ryckman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Ryckman owned the Premises from 1969 to 1992. Initially the Property was registered in her name and in the name of her former spouse Mr. Starr (who is now deceased). Sometime in 1978 the title was transferred into her name because Mr. Starr was self-employed and wished to protect the Property from any liability arising from his business. Ms. Ryckman stayed home and raised children while Mr. Starr provided financial support for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Sometime between 1980 and 1984, Ms. Ryckman and Mr. Starr modified a pony wall which had contained a planter box in the entranceway of the Property. Ms. Ryckman believes that the pony wall was capped and that the Cabinet was built and pushed up against the pony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Cabinet was designed to be a central feature in the living room to house a television and video recorder. Mr. Starr made all of the arrangements for the Cabinet. Ms. Ryckman had nothing to do with the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From the day the Cabinet was completed until Ms. Ryckman sold the Property in July 1992 to Mr. Wong and Ms. Lai, Ms. Ryckman used the Cabinet to watch television. She did not turn her mind to how the television worked or from where it received electrical power. All she knew is that when she went to turn it on it worked.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Ryckman does not recall who constructed the Cabinet. It was someone Mr. Starr dealt with directly and it was likely that he traded work at his auto repair shop in return for constructing the Cabinet. She did not observe the Cabinet being built. She did not know that the Cabinet was on a base or that it replaced the pony wall. She was not consulted about the construction. The tradesmen arrived at the home and started building the Cabinet without any prior notice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Ryckman did not know that the Cabinet was affixed to the Premises but thought it was so heavy that it could not be 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Ryckman has very few memories of the Cabinet. She remembers that the large open space in the middle of the Cabinet housed the television and that there was a VCR machine underneath the television in the space below it. She was unsure whether the cable box sat within the space below the television or sat on top of the television. She does not remember a record player in the Cabinet at all. The open spaces at either end of the Cabinet were covered with a black cloth material from the time the Cabinet was installed until Ms. Ryckman moved out of the Property in July 1992. We now know that the spaces with the black cloth housed speakers. Ms. Ryckman never saw those openings at either end of the Cabinet uncovered.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When she moved out of the Property, Ms. Ryckman used the services of a professional moving company. The moving company disconnected her television, VCR and cable box and moved them to her new premises. She did not see how the movers did this. She does not recall inspecting the Cabinet when she left the Property. She does not recall opening drawers to make sure items were not left behind. She does not remember ever seeing the record player.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Ryckman was questioned about the electrical supply to the Cabinet. She believed that there was an electrical receptacle in behind the Cabinet and that the TV plugged into that receptacle because again, she believed that the pony wall was still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Ryckman was shown a photograph in Exhibit 6, tab 4, photograph 11 which shows the Extension Cord underneath the right open space in the Cabinet. She does not recall ever seeing the Extension Cord. She believes that she would have noticed it if it had been there because she vacuumed the living room frequently including cleaning in corners and she believes that this cord would have been in the way of her vacuum cleaner.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Ryckman does not recall ever seeing an electrical receptacle under the Cabinet. She never did see the Cabinet up off its base and did not know that it had been on a base.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When shown more recent photographs of the Cabinet, Ms. Ryckman was asked what had changed. Ms. Ryckman said that the black cloth which had covered the end compartments had been removed and she had never seen them uncovered. She also said that there was no marble patterned adhesive paper covering the back of the television compartment when she last saw the Cabinet.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Prior to completing the purchase of the Property, Mr. Wong and Ms. Lai commissioned a home inspection. Ms. Ryckman was not there when the inspection was done and assumed that her realtor must have allowed the inspector into the Property. Ms. Ryckman does not remember the inspector coming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Ryckman says, and I have no reason to doubt her, that she and her husband were safety conscious and that she would not knowingly allow an electrical hazard to exist in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cross-examination, Ms. Ryckman was shown an affidavit she swore on May 12, 2013 saying that there was no entertainment unit installed in the Premises. As a result of the statement contained in that affidavit, the action was dismissed against Ms. Ryckman. She was subsequently served with an application in support of filing a third party notice against her. Attached to the supporting affidavit material were photographs of the Cabinet. Prior to seeing the exhibited photographs she had no recollection of an entertainment unit. After seeing the exhibited photographs, she recalled that the Cabinet was built during the time she owned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Ryckman says that she has had memory problems. She is now 69 years of age. She has been to a doctor about her memory problems and has some concern about her job security because of her memory problems. She moved out of the Property in 1992 and wasn't aware of any problems until she was served in 2013 so there was a 21-year gap where she was not required to turn her mind to the existence of this Cabinet.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assessing Ms. Ryckman' s credibility I find that she does have a poor memory of the Cabinet which is understandable given the large passage of time between a fairly uneventful sale of her Property and being served with a notice of civil claim. There was no reason to specifically recall the details of this Cabinet because during her ownership nothing went wrong with the Cabinet to draw her attention to it. I find that she made her best efforts to give honest and full testimony.</w:t>
      </w:r>
      <w:r>
        <w:rPr>
          <w:rFonts w:ascii="arial" w:eastAsia="arial" w:hAnsi="arial" w:cs="arial"/>
          <w:sz w:val="20"/>
          <w:lang w:val="en-US" w:eastAsia="en-US" w:bidi="ar-SA"/>
        </w:rPr>
        <w:cr/>
      </w:r>
    </w:p>
    <w:p>
      <w:pPr>
        <w:numPr>
          <w:numId w:val="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Nadine Paul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Nadine Paul is the eldest daughter of Ms. Ryckman and Mr. Starr. She moved into the Property when she was an infant and lived there until 1988 when she moved out to get married. She and her husband moved back into the Property for about a year after they were married. She confirmed the roles that her parents played during her upbringing. Her mother stayed home to take care of the home and children and her father earned the money. Her father was not handy but would hire someone to come and work on the Property if needed. If there were any purchases of electronics it would have been her father who would be responsible for the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Nadine Paul identified a photograph of the Cabinet at Exhibit 6, tab 5 which was taken during her occupancy of the Property. She recalls the Cabinet was added to the living room while they lived there. She would have been a young teenager at the time and she has no memory of it being built.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What she remembers of the Cabinet is that it housed a television, a VCR and a record player. She remembers playing a red covered record album on the record player and she remembers that the speakers were built into either end of the Cabinet. Those compartments were always enclosed. She does not recall any difficulty with the Cabinet. When she went to turn the television on it worked. She does not remember seeing any electrical cords extending outside of the Cabinet.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Paul reviewed a number of photographs of the Cabinet. She had never seen the Extension Cord under the right speaker compartment. She recalls that she spent many hours lying on the floor playing board games and does not recall ever seeing the Extension Cord or Receptacle #2 under the Cabinet.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Paul had never seen Receptacle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Paul had never seen the shiny grey and black marble patterned adhesive paper on the back of the television compartment in the Cabinet. On cross-examination Ms. Paul admitted that she'd never seen the television compartment empty.</w:t>
      </w:r>
      <w:r>
        <w:rPr>
          <w:rFonts w:ascii="arial" w:eastAsia="arial" w:hAnsi="arial" w:cs="arial"/>
          <w:sz w:val="20"/>
          <w:lang w:val="en-US" w:eastAsia="en-US" w:bidi="ar-SA"/>
        </w:rPr>
        <w:cr/>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Ken Starr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Ken Starr is the youngest child of Ms. Ryckman and Mr. Starr. I will refer to him as Ken Starr throughout to differentiate him from his father. He grew up on the Property and lived there for the first 19 years of his life. He recalls the Cabinet being constructed. A tradesman came in and took measurements around the wall and left. He came back and built the base of the Cabinet. Ken Starr was watching that part of the construction for a while before he went to his friend's house. When he came back, the Cabinet was installed on top of the base. The Cabinet housed the TV, VCR, a cable box, a record player and an amplifier which contained a tape player and speakers.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He identified the Cabinet in Exhibit 6, tab 5. He believed the television depicted in that photograph is the second television the family owned. He believes that they had three televisions over the time he lived in the house after the Cabinet was built. He remembers getting a new television and taking the old television out and putting it in his room. Before doing so he had no idea where the power source was in the Cabinet. Once he removed the old television he saw that there was a power bar and a cable connection in the Cabinet laying behind where the television sat. He unplugged the old television from the power bar and plugged in the new one. He believes that the new television had a built-in cable box.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Below the television was a space for a VCR. To the right of the television, the top drawer contained the record player. In the space below the record player drawer was a cassette player and amplifier. To the far right and far left were large openings for speakers. During the time Ken Starr resided in the Premises speakers were in those spaces. Records and cassette tapes were stored below the amplifier. Some videotapes were stored below the television in the space where the VCR was. He is uncertain what was stored in the drawers above the speakers.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When he pulled the old television out to replace it he remembers trying to pull out the power bar so he could replace it at the same time. He could not get his fingers through the hole at the back of the television compartment so he gave up and did not replace the power bar. The power bar sat behind the television along the back wall of the Cabinet. A cord disappeared down the hole in the back of the television compartment. He always assumed that the power cord was plugged into the wall behind the Cabinet.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Ken Starr is certain that the marble patterned adhesive paper in the back of the TV compartment was never there when he lived in the Premises and he did see that compartment empty.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To the best of Ken Starr's recollection, the record player was plugged into the same power bar as the television was. There was space behind the record player drawer to pass a power cord through.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Ken Starr never saw the front or back of Receptacles #2 and #3. There was a speaker in that lower right-hand space and so he would not have been able to see the back of the receptacles. He does not remember any cord coming underneath the Cabinet. He spent years lying on the floor in front of the television and believes that he would have seen the Extension Cord if it had been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He looked at Exhibit 6, tab 2, photograph 26 which is a photograph of the record player. He did not recognize the brown cord but he speculated that the grey cord likely went into the back of the amplifier in the space below the record player drawer.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Ken Starr looked at the audiovisual plugs at Exhibit 6, tab 2, photograph #25. He is sure they were not there when he lived there. There was nothing for them to connect to because the record player connected to the back of the amplifier as did the speakers. There was no game machine that would require a video cable during the time he resided in the Premises and that is the only reason he thinks that there would be audiovisual plugs in that compartment. After moving from the Property Ken Starr spent 16 years working in the film industry and says that he has had a lot of experience hooking up audiovisual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cross-examination there were many details which Ken Starr could no longer remember. For example he couldn't remember the colour or shape of the power bar although he believes that there were five plug receptacles in the power bar. He did not remember the make of the television. He disagreed that the space where the amplifier was so small that he might not have noticed Receptacle #3. He is quite certain Receptacle #3 was not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He had a very clear recollection that the stairwell wall at the entrance to the house always had drywall and that it was not wood paneled. I believe he is mistaken with that recollection. It appears that the upper sheet of drywall was removed when the pony wall was removed and the Cabinet was installed. The Cabinet formed the upper half of the stairwell wall and the Cabinet was constructed using wood panelling. The lower half of the stairwell wall was still made of dry wall. Both Ken Starr and Ms. Ryckman were incorrect about this fact. I do not believe this discredits the remainder of their evidence. I found Ken Starr's evidence about removing the television and finding the power bar behind the television reliable and believable. I accept the fact that Ms. Ryckman, Ms. Paul and Ken Starr do not remember ever seeing the Extension Cord. That evidence is not sufficient by itself to prove that the Extension Cord did not exist. It is possible that it was there and that they have no memory of it.</w:t>
      </w:r>
      <w:r>
        <w:rPr>
          <w:rFonts w:ascii="arial" w:eastAsia="arial" w:hAnsi="arial" w:cs="arial"/>
          <w:sz w:val="20"/>
          <w:lang w:val="en-US" w:eastAsia="en-US" w:bidi="ar-SA"/>
        </w:rPr>
        <w:cr/>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David Little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Little is a mechanical engineer who has worked for Baker Engineering since 1986. Mr. Little gave evidence of the current configuration of the Cabinet. He attended at the Premises on August 30, 2007 with Al Searcy who is the grandfather of the infant plaintiff. He had been told that an infant had been injured by an electrical cord and he was asked to identify the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Although Mr. Little did prepare a report, it was not relied on at trial. By consent of all parties he was called as a lay witness to give evidence of his observations. Mr. Little was the only person to see the Cabinet shortly after the Incident and he was the witness who deconstructed the Cabinet to determine how it was wired. His evidence was tendered as lay opinion evidence based on his own observation. He is a witness who had an opportunity for personal observation in a position to give the court real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Little took photographs during his initial inspection of the Property on August 30, 2007 and some photographs the following day. His photographs are contained in Exhibit 6, tab 2. He attended a video deposition shortly before trial and a DVD of his testimony was entered as Exhibit 5b.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Little identified the Extension Cord and tested it to see if it was in fact live. He confirmed that the male end of the Extension Cord extending out from under the right bottom corner of the Cabinet was electrified.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order to determine where the Extension Cord was coming from, Mr. Little tried to pick up the Cabinet and could not do it by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He went to the ground level of the Property immediately below the Premises and cut drywall out of the ceiling. He saw a green cable heading up into the Premises but no brown 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With the help of Al Searcy, they were able to rotate the right end of the Cabinet off its base thereby exposing the hidden junction box and the unexposed end of the Extension Cord. This junction box has been labelled Receptacle #1 for the purpose of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Little photographed the Cabinet immediately after the right end of it was lifted off its base and rotated forward exposing three sides of the base as well as the stairwell at the front entrance of the Property below. The kick plate at the front of the Cabinet appeared to have been stapled and nailed to the base prior to Mr. Searcy and Mr. Little yanking the Cabinet off the base. The kick plate stayed attached to the bottom front of the Cabinet.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back of the Cabinet formed part of the wall of the entrance hall so that when the Cabinet was rotated off its base the entrance hall and front door were visible. This clearly shows that the pony wall had been removed and the Cabinet formed part of the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Mr. Little's photographs 7 and 9, the Extension Cord is clearly visible under the right-hand corner of the Cabinet. In photograph 10, Mr. Little had plugged the end of the Extension Cord into Receptacle #2 which is how he believed it was initially configured. He gave evidence that it was the only place where this plug could 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Photographs 14 and 15 show a coaxial cable receptacle under the same right-hand corner of the Cabinet.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Photograph 17 shows two things. First it shows the Extension Cord is pinched between the Cabinet base and the Cabinet itself. There was a notch cut into the base for a cable or cord to sit but the Extension Cord was sitting on the top of the base and was not resting in the notch. Secondly, it shows that the white faceplate for Receptacle #2 is also pinched between the Cabinet and the base.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Little removed all of the toys and games that had been stored in the right speaker compartment of the Cabinet and this exposed the back of Receptacles #2 and #3. In photograph 8, the back of Receptacle #2 is depicted. Photograph 21 shows a similar receptacle backing for Receptacle #3 at the top of the right speaker compartment.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Photograph 23 shows a white faceplate for electrical Receptacle #3 which is in the compartment to the left of the right speaker compartment directly below the record player drawer. It shows a white faceplate for an electrical receptacle (Receptacle #3) on the right side of the compartment and on the left side there is a hole cut in the wall with three jacks. Photograph 25 shows a close-up of the three jacks which Mr. Little refers to as RCA jacks. An RCA jack or connector is a type of electrical connector commonly used to carry audio and video signals. The connectors are also sometimes referred to as audiovisual jacks. Ken Starr identified these as audiovisual jacks.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Photograph 26 shows the drawer containing the record player and containing a plug and a cable with two audio plugs. In photograph 27, Mr. Little plugged the record player into Receptacle #3 and plugged the two audio plugs into the two audio RCA jacks leaving one jack receptacle empty. There was no power coming to Receptacle #3 so the record player did not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Photograph 28 shows the centre space in the Cabinet where the television had been installed in the past. This space was being used (in August 2007) to store video cassettes. After emptying this compartment, Mr. Little could see a white coaxial cable in the compartment underneath the television compartment that fed up through a hole cut in the bottom of the television compartment in the back left-hand corner.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Photograph 41 is the view of the base of the Cabinet immediately after the Cabinet had been removed from its base. The entire Extension Cord is visible. One male end is plugged into Receptacle #1 and taped in place with electrician tape so that it could not pull out on its own. Mr. Little noted the notches cut in the base of the Cabinet for wiring to travel through. The other male end of the Extension Cord extended to the far right side of the Cabinet and was exposed.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Feeding electricity to the junction box at Receptacle #1 was a thick green cable which Mr. Little had traced from downstairs as part of the household wiring. It is 110v wiring. 110v would emanate from the junction box and from the Extension 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Receptacle #1 has two female receptacles. When the black electrician tape was in place, the second female receptacle could not be accessed.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Extension Cord was not a sealed factory made unit but was adapted by pulling the removable plastic cover off the male end of the Extension Cord and splicing wires by removing the insulation around the wire and connecting them to either of the prongs of the plug and then sliding the cover back over. This is how Mr. Little believes that this Extension Cord with two male ends was created by a handyman.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He found the end of the Extension Cord to be cracked and dull so it has certainly 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This was the first Extension Cord with two male ends that Mr. Little had ever seen in his 30 years working as an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Little was asked how he thought the wiring was supposed to work in the Cabinet. He said it is his belief that by using the double male ended Extension Cord, power would travel from Receptacle #1 to Receptacle #2. In order to get power to Receptacle #3, wires would have to be plugged into the back of Receptacle #2 connecting up to the back of Receptacle #3. That would provide two accessible female receptacles in Receptacle #3 and one extra accessible receptacle in Receptacle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Little said that there was no sign that the kick plate had been taken off the bottom of the Cabinet and replaced sometime after installation. He qualified his answer by saying that someone could have taken it apart and put it back together the same way and that he would not know. He didn't see evidence of pry bars or anything to indicate that someone had tried to take it apart but it is possible. There is no indication a nail was removed and replaced or the staples were removed and replaced.</w:t>
      </w:r>
      <w:r>
        <w:rPr>
          <w:rFonts w:ascii="arial" w:eastAsia="arial" w:hAnsi="arial" w:cs="arial"/>
          <w:sz w:val="20"/>
          <w:lang w:val="en-US" w:eastAsia="en-US" w:bidi="ar-SA"/>
        </w:rPr>
        <w:cr/>
      </w:r>
    </w:p>
    <w:p>
      <w:pPr>
        <w:numPr>
          <w:numId w:val="3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Doris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Ms. Wong did not give evidence at the trial and so counsel for the plaintiff read in excerpts of her examination for discovery with the consent of the defendants and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Ms. Wong was the property manager for the Premises at the time of the Incident. She looked after the Property for her brother Mr. Wong and his wife Ms. Lai.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When her brother first purchased the Property, it was vacant. She remembers the Cabinet on the Property. She opened up the drawers and looked inside. She has also seen it between tenancies when it has been emptied of personal possessions.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Ms. Wong was shown a photograph of the big black patch in the right speaker compartment which is the back of Receptacle #2 (Exhibit 6, tab 2, photograph 18). She does not recall seeing that black patch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She does not recall noticing the black mark on the right-hand side of the Cabinet during the move-in inspection. Ms. Wong did not see any liner or wallpaper or anything lining the bottom of the right speaker compartment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After the Incident, Ms. Wong went to the Property to take a look at the Cabinet. Prior to that, she had not been aware of any wires that existed inside the Cabinet or under the Cabinet. She denies ever seeing the Extension Cord prior to the Incident. She did inspect the Extension Cord after the Incident by looking underneath the Cabinet. She does not recall looking under the Cabinet prior to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all the years she has managed the Property, nobody has reported seeing the Extension 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She saw the outlet (Receptacle #2) where she was told the Extension Cord was likely plugged into. She never saw Receptacle #2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Ms. Wong was aware that there was a record player in the Cabinet. She does not know whether it was functional at the time of the Incident or at any time during the time period since her brother has owned the Property. She is not aware of tenants using the record player. She is not aware of tenants installing electrical devices like a computer or television or a stereo in the Cabinet at any time. She is not aware of any work done by her tenants to rewire the Cabinet for any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Cabinet had never been moved and Ms. Wong believed that it was built-in.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Ms. Wong identified the marble patterned plastic on the back of the television compartment. She does not remember when that was installed but she does remember seeing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She does not recall seeing any sort of electrical plug, power bar or extension cord in the open area in front of the marble patterned plastic.</w:t>
      </w:r>
      <w:r>
        <w:rPr>
          <w:rFonts w:ascii="arial" w:eastAsia="arial" w:hAnsi="arial" w:cs="arial"/>
          <w:sz w:val="20"/>
          <w:lang w:val="en-US" w:eastAsia="en-US" w:bidi="ar-SA"/>
        </w:rPr>
        <w:cr/>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Johnny Wong and Kit Bing Lai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Wong and Ms. Lai have never set foot in the Premises so they have nothing to add to the discussion about the Cabinet.</w:t>
      </w:r>
      <w:r>
        <w:rPr>
          <w:rFonts w:ascii="arial" w:eastAsia="arial" w:hAnsi="arial" w:cs="arial"/>
          <w:sz w:val="20"/>
          <w:lang w:val="en-US" w:eastAsia="en-US" w:bidi="ar-SA"/>
        </w:rPr>
        <w:cr/>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Heinz Beigeinzein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Heinz Beigeinzein painted the Premises before the Boyes/Searcy family moved in. He has no recollection of seeing the Extension Cord or the Receptacles.</w:t>
      </w:r>
      <w:r>
        <w:rPr>
          <w:rFonts w:ascii="arial" w:eastAsia="arial" w:hAnsi="arial" w:cs="arial"/>
          <w:sz w:val="20"/>
          <w:lang w:val="en-US" w:eastAsia="en-US" w:bidi="ar-SA"/>
        </w:rPr>
        <w:cr/>
      </w:r>
    </w:p>
    <w:p>
      <w:pPr>
        <w:numPr>
          <w:numId w:val="3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Kirk Gower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Kirk Gower lived in the Premises between August 2006 and March 2007 when he was 18 years of age. He remembers the Cabinet and he remembers the record player and the Extension Cord on the right side of the bottom of the Cabinet. He thought the record player looked unusual. The Extension Cord was plugged into Receptacle #2 when he last saw it. He remembers seeing it when he was walking through the Premises before moving in. He bent down fairly close to the floor so he could look at it. He never touched the Extension 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Gower confirmed that the photograph at Exhibit 3, tab 2, photograph 11 accurately depicts the Extension Cord in the position when he saw it (it is plugged into Receptacle #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When he lived in the Premises, the speaker compartments were empty and they were not covered by shelf paper or fabric. Mr. Gower confirmed that Exhibit 6, tab 3, photograph 17 looks like the Cabinet did when he lived there. He and his roommates did not like the look of the Cabinet so they pushed their couch up against it for the remainder of their tenancy.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No other tenants gave evidence at this trial.</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Decision on When the Cabinet Was Created and Modified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accept the evidence of Ms. Ryckman, Ms. Paul and Ken Starr that the Cabinet was constructed during the time that Ms. Ryckman owned the Property and it housed a television, cable box, a VCR, a record player and an amplifier with a tape deck and two speakers.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accept the evidence of Ken Starr that a power bar was located behind the television and that the appliances were plugged into the power bar. I accept his evidence that there were no audiovisual jacks on the side of the compartment beneath the record player drawer because there was no need for them. Record player cables were fed into the amplifier which sat in the space below the record player drawer.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accept Ken Starr's evidence that the power bar cable was fed through a hole at the back of the television compartment.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Ken Starr was unaware of the existence of Receptacle #1 and thought that the power bar plugged into the wall behind the Cabinet. I find that it is more likely than not that the power bar plugged into Receptacle #1 and that Receptacle #1 was installed at the time the Cabinet was constructed.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Having found that, I therefore find that the electrical supply to this Cabinet was altered after Ms. Ryckman sold the Property. I rely on the following additional evidence in making this finding:</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wiring for Receptacle#1 is building wiring and it is more likely than not that the person constructing the Cabinet dropped the existing junction box from the pony wall down into the base of the Cabinet and nailed it down.</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series of holes were made in the Cabinet to allow for the routing of power cables in the manner which I have accepted.</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power bar sat behind the television and a hole was cut in the shelf upon which the television sat.</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Another hole was cut in the Cabinet frame to allow the Extension Cord for the power bar and the coaxial cable to be fed up to the television (Exhibit 6, tab 10, photos 12 and 23).</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room to feed electrical cables behind the record player drawer or over top of the left side of the record player drawer. A groove has been cut into the record player drawer to accommodate a wire coming from the record player to the power bar (Exhibit 6, tab 7, top photograph at page 6).</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Obvious alterations were made to the Cabinet after the Ryckmans moved out. The marble adhesive paper was applied to the back of the television Cabinet. The power bar from the back of the television Cabinet was removed. The speakers from either end of the Cabinet were removed. These alterations are not controversial.</w:t>
      </w:r>
    </w:p>
    <w:p>
      <w:pPr>
        <w:numPr>
          <w:numId w:val="4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Cabinet either had to be lifted up or the kick plate had to be removed in order to unplug the power bar. This is a possible explanation that contradicts the argument that anyone modifying the Cabinet had to know the junction box (Receptacle #1) was there. In fact they may not have known that Receptacle #1 was there until they attempted to remove the power bar and traced the cord to the hole in the base of the Cabinet. At that point they may have determined that either the Cabinet needed to be lifted or the kick plate removed. Perhaps by the time the double ended male Extension Cord was installed, the handyman had already determined that the receptacle was under the base.</w:t>
      </w:r>
    </w:p>
    <w:p>
      <w:pPr>
        <w:numPr>
          <w:numId w:val="4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Cabinet was swung off its base revealing Receptacle #1, the Extension Cord was taped using electrician tape to hold it in place in Receptacle #1. The electrician tape covered the other female receptacle so that no power bar could have been plugged into Receptacle #1 at the same time if this tape was in place and the Extension Cord was in place. Given that I have found that a power bar provided power to the Ryckmans' appliances and that the power bar was plugged into Receptacle #1, this Extension Cord and electrician tape had to be an alteration to the original electrical plan.</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Ryckmans' ownership there was no need for power outlets at the right end of the Cabinet. I have concluded that the alterations were made by a tenant after Ms. Ryckman sold the Property.</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Extension Cord remained pinched between the Cabinet base and the Cabinet and was not inserted in the notch cut in the frame for wires. This suggests that the Extension Cord was not installed by the original cabinet maker but was installed later. Perhaps that the Cabinet was lifted up at one end but not fully removed in order to pull the Extension Cord to the right end of the Cabinet.</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white faceplate to Receptacle #2 is wedged between the kick plate and the base of the Cabinet suggesting that it was not installed by the original cabinet maker but was installed later.</w:t>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Three witnesses who lived in the home for many years after the Cabinet was constructed have no memory of seeing the Extension 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defendants submit that it is unbelievable that a tenant would go to such great lengths to remove a large structure such as the Cabinet which formed a wall to the stairwell. In response, I see it as a possibility that this sloppy wiring and tape job could have been done by removing the kick plate, plugging in the Extension Cord and taping it into place and then with assistance of one other person jacking up the right end of the Cabinet a few inches to pull the Extension Cord through to the far right end. This would explain the sloppy job in pinching the Extension Cord and the faceplate to Receptacle #2. Apparently the kick plate is now attached to the Cabinet, however, it is not clear when it was attached. It may have been attached by the tenant after altering the electrical wiring.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Alternatively, a tenant could do what Mr. Little and Mr. Searcy did. He could swing the Cabinet off of the base to expose the power source.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This could explain the shoddy job of installing Receptacles #2 and #3. If these receptacles were installed without removing the Cabinet then this can explain the uneven sloppy cuts in the wood and the caulking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Clearly these alterations were done by an unskilled handyman who took no pride in the appearance of the work or in fact, the safety of the work but wanted additional power to the far right end of the Cabinet. This is inconsistent with the overall construction of this Cabinet which appears to have been done by skilled craftsmen. We will never know with scientific certainty but on a balance of probabilities, I find that these alterations were more likely than not done by tenants who occupied the Property during the time Mr. Wong and Ms. Lai owned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Ms. Wong was unaware of renovations to the Cabinet. Her counsel argues it is improbable that any tenant made a structural change of this nature including properly finishing the carpentry around and under the Cabinet to match the existing carpentry. In response to this I suggest that this rewiring of the Cabinet could have been done in an afternoon and the existing nails and the kick plate tapped back in place. This is not a major structural change to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placed little weight on the age of the wiring in making this decision. I accept the submissions of counsel for Ms. Ryckman that handymen are known to have a stash of hardware and wiring odds and ends in their garages or shops. It is quite possible that the handyman who rewired this Cabinet had old supplies in his stash.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Counsel for Mr. Wong and Ms. Lai submits that it makes no logical sense that a tenant would go to the trouble of installing an electrical device to the bottom of the Cabinet. I reject that argument because of the limited number of power sources in the room and the fact that the configuration of the Cabinet was no longer suitable for the number or size of common entertainment devices currently used. It is likely that the tenant's television was either located on top of the Cabinet or where the Boyes had their TV in front of the window. If the tenant had a stereo, VCR, DVD player, a cable box and a gaming console as many houses now do, there were not enough electrical outlets in that room to accommodate all these devices. A handyman tenant may have taken this as a challenge to find an additional power source.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Who Owed A Duty of Care to the Plaintiff?</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Statutory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infant plaintiff argues that the defendants each owed her a duty of care that required them to ensure that she would be reasonably safe in using the premises. This included maintaining the Premises in a manner that complied with appropriate health, safety and housing standards including the applicable codes.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At common law, no duty of care was owed by a landlord to his or her tenant. To rectify this situation, a statutory duty was created by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MacLeod v Yong</w:t>
      </w:r>
      <w:r>
        <w:rPr>
          <w:rFonts w:ascii="arial" w:eastAsia="arial" w:hAnsi="arial" w:cs="arial"/>
          <w:color w:val="000000"/>
          <w:sz w:val="20"/>
          <w:lang w:val="en-US" w:eastAsia="en-US" w:bidi="ar-SA"/>
        </w:rPr>
        <w:t xml:space="preserve">, </w:t>
      </w:r>
      <w:hyperlink r:id="rId950" w:history="1">
        <w:r>
          <w:rPr>
            <w:rFonts w:ascii="arial" w:eastAsia="arial" w:hAnsi="arial" w:cs="arial"/>
            <w:i/>
            <w:color w:val="0077CC"/>
            <w:sz w:val="20"/>
            <w:u w:val="single"/>
            <w:shd w:val="clear" w:color="auto" w:fill="FFFFFF"/>
            <w:lang w:val="en-US" w:eastAsia="en-US" w:bidi="ar-SA"/>
          </w:rPr>
          <w:t>1999 BCCA 249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defines "landlord"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"landlord"</w:t>
      </w:r>
      <w:r>
        <w:rPr>
          <w:rFonts w:ascii="arial" w:eastAsia="arial" w:hAnsi="arial" w:cs="arial"/>
          <w:color w:val="000000"/>
          <w:sz w:val="20"/>
          <w:lang w:val="en-US" w:eastAsia="en-US" w:bidi="ar-SA"/>
        </w:rPr>
        <w:t>, in relation to a rental unit, includes any of the following:</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 of the rental unit, the owner's agent or another person who, on behalf of the landlord,</w:t>
      </w:r>
    </w:p>
    <w:p>
      <w:pPr>
        <w:numPr>
          <w:numId w:val="4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permits occupation of the rental unit under a tenancy agreement, or</w:t>
      </w:r>
    </w:p>
    <w:p>
      <w:pPr>
        <w:numPr>
          <w:numId w:val="4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exercises powers and performs duties under this Act, the tenancy agreement or a service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Section 32 of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requires a landlord to maintain residential property in a state of repair and specifically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(1) A landlord must provide and maintain residential property in a state of decoration and repair that</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complies with the health, safety and housing standards required by law, and</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regard to the age, character and location of the rental unit, makes it suitable for occupation by a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In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Section 1, an "occupier" is defined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"occupier"</w:t>
      </w:r>
      <w:r>
        <w:rPr>
          <w:rFonts w:ascii="arial" w:eastAsia="arial" w:hAnsi="arial" w:cs="arial"/>
          <w:color w:val="000000"/>
          <w:sz w:val="20"/>
          <w:lang w:val="en-US" w:eastAsia="en-US" w:bidi="ar-SA"/>
        </w:rPr>
        <w:t xml:space="preserve"> means a person who</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in physical possession of premises, or</w:t>
      </w:r>
    </w:p>
    <w:p>
      <w:pPr>
        <w:numPr>
          <w:numId w:val="5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responsibility for, and control over, the condition of premises, the activities conducted on those premises and the persons allowed to enter those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for this Act, there may be more than one occupier of the same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Section 3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sets out the duty of care of an occupier: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Section 6(1)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makes it clear that duties established under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are applicable to tenancy relationships: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If premises are occupied or used under a tenancy under which a landlord is responsible for the maintenance or repair of the premises, it is the duty of the landlord to show toward any person who, or whose property, may be on the premises the same care in respect of risks arising from failure on the landlord's part in carrying out the landlord's responsibility, as is required by this Act to be shown by an occupier of premises toward persons entering on or using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Section 6(3)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further expands on the liability of a landlord and provides:</w:t>
      </w:r>
      <w:r>
        <w:rPr>
          <w:rFonts w:ascii="arial" w:eastAsia="arial" w:hAnsi="arial" w:cs="arial"/>
          <w:sz w:val="20"/>
          <w:lang w:val="en-US" w:eastAsia="en-US" w:bidi="ar-SA"/>
        </w:rPr>
        <w:cr/>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this section</w:t>
      </w:r>
    </w:p>
    <w:p>
      <w:pPr>
        <w:numPr>
          <w:numId w:val="5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landlord is not in default of the landlord's duty under subsection (1) unless the default would be actionable at the suit of the occupier,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nothing relieves a landlord of a duty the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landlord may have apart from this section, and</w:t>
      </w:r>
      <w:r>
        <w:rPr>
          <w:rFonts w:ascii="arial" w:eastAsia="arial" w:hAnsi="arial" w:cs="arial"/>
          <w:sz w:val="20"/>
          <w:lang w:val="en-US" w:eastAsia="en-US" w:bidi="ar-SA"/>
        </w:rPr>
        <w:cr/>
      </w:r>
    </w:p>
    <w:p>
      <w:pPr>
        <w:numPr>
          <w:numId w:val="5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obligations imposed by an enactment in respect of a tenancy are deemed to be imposed by the tenancy.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Section 32 of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imposes a duty on the landlord to make repairs to ensure that the demised premises meet safety standards required by law. Section 6(3)(c)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incorporates this statutory duty into the tenancy agreement. Thus, the landlord, with respect to residential property, has the responsibility to make repairs relating to safety. This is a duty he owes the occupier of the premises. A default in this duty gives rise to an action in tort by the tenant against the landlord, pursuant to s. 6(1)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Zavaglia v. Maq Holdings Ltd.</w:t>
      </w:r>
      <w:r>
        <w:rPr>
          <w:rFonts w:ascii="arial" w:eastAsia="arial" w:hAnsi="arial" w:cs="arial"/>
          <w:color w:val="000000"/>
          <w:sz w:val="20"/>
          <w:lang w:val="en-US" w:eastAsia="en-US" w:bidi="ar-SA"/>
        </w:rPr>
        <w:t xml:space="preserve"> </w:t>
      </w:r>
      <w:hyperlink r:id="rId951" w:history="1">
        <w:r>
          <w:rPr>
            <w:rFonts w:ascii="arial" w:eastAsia="arial" w:hAnsi="arial" w:cs="arial"/>
            <w:i/>
            <w:color w:val="0077CC"/>
            <w:sz w:val="20"/>
            <w:u w:val="single"/>
            <w:shd w:val="clear" w:color="auto" w:fill="FFFFFF"/>
            <w:lang w:val="en-US" w:eastAsia="en-US" w:bidi="ar-SA"/>
          </w:rPr>
          <w:t>(1983), 50 B.C.L.R. 204</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Zavaglia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It is therefore clear that the owners of the Premises, Mr. Wong and Ms. Lai, owed a duty to tenants who occupied the Premises pursuant to s. 32 of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and section 6(3)(c) of the </w:t>
      </w:r>
      <w:r>
        <w:rPr>
          <w:rFonts w:ascii="arial" w:eastAsia="arial" w:hAnsi="arial" w:cs="arial"/>
          <w:i/>
          <w:color w:val="000000"/>
          <w:sz w:val="20"/>
          <w:lang w:val="en-US" w:eastAsia="en-US" w:bidi="ar-SA"/>
        </w:rPr>
        <w:t>OTA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Relying on the definition of "landlord" in s. 32 of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which includes the owners, agent or person who acted on behalf of the landlord, it is clear that Ms. Wong fits the definition of "landlord" under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and owed a duty to the infant plaintiff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Ms. Wong was acting as agent of Mr. Wong and Ms. Lai. She had exclusive responsibility for the Property for over 15 years prior to the Incident. The evidence will show she entered into tenancy agreements for the Premises with tenants including Mr. Boyes and Jennifer Searcy. She exercised powers under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including interviewing, approving tenants, collecting rent, preparing and maintaining the Property. As such she is a landlord and bound by s. 32 of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defines an occupier as a person who "has responsibility for, and control over the condition of the premises, the activities conducted on the premises and the persons allowed to enter the premises." The tenancy agreement signed by Ms. Wong, Mr. Boyes and Jennifer Searcy says that the landlord will be responsible for repairing the Premises during the tenancy according to statutory standards. Ms. Wong would be an occupier under s. 6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Ms. Ryckman did not owe a duty to the infant plaintiff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There are no provisions in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to trace occupier's duties back to previous owner: </w:t>
      </w:r>
      <w:r>
        <w:rPr>
          <w:rFonts w:ascii="arial" w:eastAsia="arial" w:hAnsi="arial" w:cs="arial"/>
          <w:i/>
          <w:color w:val="000000"/>
          <w:sz w:val="20"/>
          <w:lang w:val="en-US" w:eastAsia="en-US" w:bidi="ar-SA"/>
        </w:rPr>
        <w:t>Giant Tiger Stores Ltd. v. 697781 Ontario Ltd.</w:t>
      </w:r>
      <w:r>
        <w:rPr>
          <w:rFonts w:ascii="arial" w:eastAsia="arial" w:hAnsi="arial" w:cs="arial"/>
          <w:color w:val="000000"/>
          <w:sz w:val="20"/>
          <w:lang w:val="en-US" w:eastAsia="en-US" w:bidi="ar-SA"/>
        </w:rPr>
        <w:t xml:space="preserve"> </w:t>
      </w:r>
      <w:hyperlink r:id="rId952" w:history="1">
        <w:r>
          <w:rPr>
            <w:rFonts w:ascii="arial" w:eastAsia="arial" w:hAnsi="arial" w:cs="arial"/>
            <w:i/>
            <w:color w:val="0077CC"/>
            <w:sz w:val="20"/>
            <w:u w:val="single"/>
            <w:shd w:val="clear" w:color="auto" w:fill="FFFFFF"/>
            <w:lang w:val="en-US" w:eastAsia="en-US" w:bidi="ar-SA"/>
          </w:rPr>
          <w:t>(1995), 59 A.C.W.S. (3d) 861</w:t>
        </w:r>
      </w:hyperlink>
      <w:r>
        <w:rPr>
          <w:rFonts w:ascii="arial" w:eastAsia="arial" w:hAnsi="arial" w:cs="arial"/>
          <w:color w:val="000000"/>
          <w:sz w:val="20"/>
          <w:lang w:val="en-US" w:eastAsia="en-US" w:bidi="ar-SA"/>
        </w:rPr>
        <w:t xml:space="preserve"> at para. 31 [Giant Tiger].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The duties that arise in connection with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are exclusively derived from occupation. The responsibility is based on control, not ownership. Ms. Ryckman has not been an occupier of the Property since 1992 nor did she enter into any tenancy agreement with the parents of the infant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Mr. Wong and Ms. Lai rely on the case of </w:t>
      </w:r>
      <w:r>
        <w:rPr>
          <w:rFonts w:ascii="arial" w:eastAsia="arial" w:hAnsi="arial" w:cs="arial"/>
          <w:i/>
          <w:color w:val="000000"/>
          <w:sz w:val="20"/>
          <w:lang w:val="en-US" w:eastAsia="en-US" w:bidi="ar-SA"/>
        </w:rPr>
        <w:t>Davis v Grand</w:t>
      </w:r>
      <w:r>
        <w:rPr>
          <w:rFonts w:ascii="arial" w:eastAsia="arial" w:hAnsi="arial" w:cs="arial"/>
          <w:color w:val="000000"/>
          <w:sz w:val="20"/>
          <w:lang w:val="en-US" w:eastAsia="en-US" w:bidi="ar-SA"/>
        </w:rPr>
        <w:t xml:space="preserve"> </w:t>
      </w:r>
      <w:hyperlink r:id="rId953" w:history="1">
        <w:r>
          <w:rPr>
            <w:rFonts w:ascii="arial" w:eastAsia="arial" w:hAnsi="arial" w:cs="arial"/>
            <w:i/>
            <w:color w:val="0077CC"/>
            <w:sz w:val="20"/>
            <w:u w:val="single"/>
            <w:shd w:val="clear" w:color="auto" w:fill="FFFFFF"/>
            <w:lang w:val="en-US" w:eastAsia="en-US" w:bidi="ar-SA"/>
          </w:rPr>
          <w:t>(2003), 67 O.R. (3d) 520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Davis</w:t>
      </w:r>
      <w:r>
        <w:rPr>
          <w:rFonts w:ascii="arial" w:eastAsia="arial" w:hAnsi="arial" w:cs="arial"/>
          <w:color w:val="000000"/>
          <w:sz w:val="20"/>
          <w:lang w:val="en-US" w:eastAsia="en-US" w:bidi="ar-SA"/>
        </w:rPr>
        <w:t xml:space="preserve">] to support the position that, when a person creates a foreseeable danger to others on his or her property, the fact that the property is transferred to another person is not in and of itself reason why the transferor should immediately be relieved of liability for damages. </w:t>
      </w:r>
      <w:r>
        <w:rPr>
          <w:rFonts w:ascii="arial" w:eastAsia="arial" w:hAnsi="arial" w:cs="arial"/>
          <w:i/>
          <w:color w:val="000000"/>
          <w:sz w:val="20"/>
          <w:lang w:val="en-US" w:eastAsia="en-US" w:bidi="ar-SA"/>
        </w:rPr>
        <w:t>Davis</w:t>
      </w:r>
      <w:r>
        <w:rPr>
          <w:rFonts w:ascii="arial" w:eastAsia="arial" w:hAnsi="arial" w:cs="arial"/>
          <w:color w:val="000000"/>
          <w:sz w:val="20"/>
          <w:lang w:val="en-US" w:eastAsia="en-US" w:bidi="ar-SA"/>
        </w:rPr>
        <w:t xml:space="preserve"> is distinguishable on its fairly unique facts. In that case the defendant failed to stop at a stop sign because it was obscured from view because of overgrown brush and trees on the public roadway. The accident took place 108 days after the vendor Regional Municipality had sold to the city, the land where the intersection was located. The non-repair or maintenance of the intersection had occurred during the vendor's occupation of the land. The distinguishing feature of the </w:t>
      </w:r>
      <w:r>
        <w:rPr>
          <w:rFonts w:ascii="arial" w:eastAsia="arial" w:hAnsi="arial" w:cs="arial"/>
          <w:i/>
          <w:color w:val="000000"/>
          <w:sz w:val="20"/>
          <w:lang w:val="en-US" w:eastAsia="en-US" w:bidi="ar-SA"/>
        </w:rPr>
        <w:t>Davis</w:t>
      </w:r>
      <w:r>
        <w:rPr>
          <w:rFonts w:ascii="arial" w:eastAsia="arial" w:hAnsi="arial" w:cs="arial"/>
          <w:color w:val="000000"/>
          <w:sz w:val="20"/>
          <w:lang w:val="en-US" w:eastAsia="en-US" w:bidi="ar-SA"/>
        </w:rPr>
        <w:t xml:space="preserve"> case is foreseeability of damage and the timing of the accident so soon after the transfer of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The courts have said in </w:t>
      </w:r>
      <w:r>
        <w:rPr>
          <w:rFonts w:ascii="arial" w:eastAsia="arial" w:hAnsi="arial" w:cs="arial"/>
          <w:i/>
          <w:color w:val="000000"/>
          <w:sz w:val="20"/>
          <w:lang w:val="en-US" w:eastAsia="en-US" w:bidi="ar-SA"/>
        </w:rPr>
        <w:t>Davis</w:t>
      </w:r>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Giant Tiger</w:t>
      </w:r>
      <w:r>
        <w:rPr>
          <w:rFonts w:ascii="arial" w:eastAsia="arial" w:hAnsi="arial" w:cs="arial"/>
          <w:color w:val="000000"/>
          <w:sz w:val="20"/>
          <w:lang w:val="en-US" w:eastAsia="en-US" w:bidi="ar-SA"/>
        </w:rPr>
        <w:t xml:space="preserve"> that the proximity of a vendor to the injured plaintiff is not automatically broken by reason of the mere fact of transfer of ownership. In </w:t>
      </w:r>
      <w:r>
        <w:rPr>
          <w:rFonts w:ascii="arial" w:eastAsia="arial" w:hAnsi="arial" w:cs="arial"/>
          <w:i/>
          <w:color w:val="000000"/>
          <w:sz w:val="20"/>
          <w:lang w:val="en-US" w:eastAsia="en-US" w:bidi="ar-SA"/>
        </w:rPr>
        <w:t>Giant Tiger</w:t>
      </w:r>
      <w:r>
        <w:rPr>
          <w:rFonts w:ascii="arial" w:eastAsia="arial" w:hAnsi="arial" w:cs="arial"/>
          <w:color w:val="000000"/>
          <w:sz w:val="20"/>
          <w:lang w:val="en-US" w:eastAsia="en-US" w:bidi="ar-SA"/>
        </w:rPr>
        <w:t>, the vendor was negligent in respect of its maintenance of an oil burner and that was found to be a contributing cause to the resulting explosion and fire. The vendor was found to be responsible even after the sale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These cases are resolved on determinations of whether the defect was latent or patent, whether the defect caused or contributed to the damages and whether the vendor knew or ought to have known of the hazard and had a duty to warn the purchaser. As such, the issue of whether or not Ms. Ryckman owed a duty to warn Mr. Wong and Ms. Lai will be dealt with under the third party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infant plaintiff has not commenced an action against Mr. Boyes, her father, and so it is not necessary for me to determine what duty he owed her in the main part of this decision. He was certainly an occupier at the time of the Incident. I will assess his duty under the third party claim section.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What Standard of Care Was Owed by the Defendants and Has it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The standard of care owed by the landlord pursuant to s. 6(1)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is set out in s. 3(1)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which provides that the occupier will take care that the premises will be reasonably safe. The test is an objective test, namely, that of a reasonable person. In </w:t>
      </w:r>
      <w:r>
        <w:rPr>
          <w:rFonts w:ascii="arial" w:eastAsia="arial" w:hAnsi="arial" w:cs="arial"/>
          <w:i/>
          <w:color w:val="000000"/>
          <w:sz w:val="20"/>
          <w:lang w:val="en-US" w:eastAsia="en-US" w:bidi="ar-SA"/>
        </w:rPr>
        <w:t>Zavaglia</w:t>
      </w:r>
      <w:r>
        <w:rPr>
          <w:rFonts w:ascii="arial" w:eastAsia="arial" w:hAnsi="arial" w:cs="arial"/>
          <w:color w:val="000000"/>
          <w:sz w:val="20"/>
          <w:lang w:val="en-US" w:eastAsia="en-US" w:bidi="ar-SA"/>
        </w:rPr>
        <w:t>, the court outlines several factors that courts have considered in applying this test; they are:</w:t>
      </w:r>
      <w:r>
        <w:rPr>
          <w:rFonts w:ascii="arial" w:eastAsia="arial" w:hAnsi="arial" w:cs="arial"/>
          <w:sz w:val="20"/>
          <w:lang w:val="en-US" w:eastAsia="en-US" w:bidi="ar-SA"/>
        </w:rPr>
        <w:cr/>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in the light of his own knowledge, exercised reasonable care for his own safety;</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occupier's conduct accorded with an accepted standard of practice;</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occupier's system of inspection or supervision was commensurate with the risk; the length of time the danger was allowed to exist being highly relevant;</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steps necessary to remove the danger and the consequent burden on the occupier; and</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or not the danger was foreseeable in accordance with the principle enunciated in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[1932] A.C. 562 (H.L.).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Tolea v. Ialungo,</w:t>
      </w:r>
      <w:r>
        <w:rPr>
          <w:rFonts w:ascii="arial" w:eastAsia="arial" w:hAnsi="arial" w:cs="arial"/>
          <w:color w:val="000000"/>
          <w:sz w:val="20"/>
          <w:lang w:val="en-US" w:eastAsia="en-US" w:bidi="ar-SA"/>
        </w:rPr>
        <w:t xml:space="preserve"> </w:t>
      </w:r>
      <w:hyperlink r:id="rId954" w:history="1">
        <w:r>
          <w:rPr>
            <w:rFonts w:ascii="arial" w:eastAsia="arial" w:hAnsi="arial" w:cs="arial"/>
            <w:i/>
            <w:color w:val="0077CC"/>
            <w:sz w:val="20"/>
            <w:u w:val="single"/>
            <w:shd w:val="clear" w:color="auto" w:fill="FFFFFF"/>
            <w:lang w:val="en-US" w:eastAsia="en-US" w:bidi="ar-SA"/>
          </w:rPr>
          <w:t>2008 BCSC 395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Tolea</w:t>
      </w:r>
      <w:r>
        <w:rPr>
          <w:rFonts w:ascii="arial" w:eastAsia="arial" w:hAnsi="arial" w:cs="arial"/>
          <w:color w:val="000000"/>
          <w:sz w:val="20"/>
          <w:lang w:val="en-US" w:eastAsia="en-US" w:bidi="ar-SA"/>
        </w:rPr>
        <w:t xml:space="preserve">], and in referring to </w:t>
      </w:r>
      <w:r>
        <w:rPr>
          <w:rFonts w:ascii="arial" w:eastAsia="arial" w:hAnsi="arial" w:cs="arial"/>
          <w:i/>
          <w:color w:val="000000"/>
          <w:sz w:val="20"/>
          <w:lang w:val="en-US" w:eastAsia="en-US" w:bidi="ar-SA"/>
        </w:rPr>
        <w:t>Zavaglia</w:t>
      </w:r>
      <w:r>
        <w:rPr>
          <w:rFonts w:ascii="arial" w:eastAsia="arial" w:hAnsi="arial" w:cs="arial"/>
          <w:color w:val="000000"/>
          <w:sz w:val="20"/>
          <w:lang w:val="en-US" w:eastAsia="en-US" w:bidi="ar-SA"/>
        </w:rPr>
        <w:t>, Silverman J. said, at para. 61:</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landlord's obligation is to not only provide but to maintain buildings in a state of repair that complies with the housing standards required by law.</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6 of the </w:t>
      </w:r>
      <w:r>
        <w:rPr>
          <w:rFonts w:ascii="arial" w:eastAsia="arial" w:hAnsi="arial" w:cs="arial"/>
          <w:b/>
          <w:i/>
          <w:color w:val="000000"/>
          <w:sz w:val="20"/>
          <w:lang w:val="en-US" w:eastAsia="en-US" w:bidi="ar-SA"/>
        </w:rPr>
        <w:t>OLA</w:t>
      </w:r>
      <w:r>
        <w:rPr>
          <w:rFonts w:ascii="arial" w:eastAsia="arial" w:hAnsi="arial" w:cs="arial"/>
          <w:color w:val="000000"/>
          <w:sz w:val="20"/>
          <w:lang w:val="en-US" w:eastAsia="en-US" w:bidi="ar-SA"/>
        </w:rPr>
        <w:t xml:space="preserve"> imposes an occupier's duty of care on a landlord where there is "a tenancy under which a landlord is responsible for the maintenance or repair of the premises".</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landlord's duty to repair is as set out in both the tenancy agreement and the </w:t>
      </w:r>
      <w:r>
        <w:rPr>
          <w:rFonts w:ascii="arial" w:eastAsia="arial" w:hAnsi="arial" w:cs="arial"/>
          <w:b/>
          <w:i/>
          <w:color w:val="000000"/>
          <w:sz w:val="20"/>
          <w:lang w:val="en-US" w:eastAsia="en-US" w:bidi="ar-SA"/>
        </w:rPr>
        <w:t>RTA</w:t>
      </w:r>
      <w:r>
        <w:rPr>
          <w:rFonts w:ascii="arial" w:eastAsia="arial" w:hAnsi="arial" w:cs="arial"/>
          <w:color w:val="000000"/>
          <w:sz w:val="20"/>
          <w:lang w:val="en-US" w:eastAsia="en-US" w:bidi="ar-SA"/>
        </w:rPr>
        <w:t>.</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landlord's duty to inspect is part of the duty to provide and maintain residential premises in a reasonably suitable state under the </w:t>
      </w:r>
      <w:r>
        <w:rPr>
          <w:rFonts w:ascii="arial" w:eastAsia="arial" w:hAnsi="arial" w:cs="arial"/>
          <w:b/>
          <w:i/>
          <w:color w:val="000000"/>
          <w:sz w:val="20"/>
          <w:lang w:val="en-US" w:eastAsia="en-US" w:bidi="ar-SA"/>
        </w:rPr>
        <w:t>RTA</w:t>
      </w:r>
      <w:r>
        <w:rPr>
          <w:rFonts w:ascii="arial" w:eastAsia="arial" w:hAnsi="arial" w:cs="arial"/>
          <w:color w:val="000000"/>
          <w:sz w:val="20"/>
          <w:lang w:val="en-US" w:eastAsia="en-US" w:bidi="ar-SA"/>
        </w:rPr>
        <w:t xml:space="preserve">, as well as part of a landlord's duty to take reasonable care in carrying out the responsibility for repair of the premises under s. 6 of the </w:t>
      </w:r>
      <w:r>
        <w:rPr>
          <w:rFonts w:ascii="arial" w:eastAsia="arial" w:hAnsi="arial" w:cs="arial"/>
          <w:b/>
          <w:i/>
          <w:color w:val="000000"/>
          <w:sz w:val="20"/>
          <w:lang w:val="en-US" w:eastAsia="en-US" w:bidi="ar-SA"/>
        </w:rPr>
        <w:t>OLA</w:t>
      </w:r>
      <w:r>
        <w:rPr>
          <w:rFonts w:ascii="arial" w:eastAsia="arial" w:hAnsi="arial" w:cs="arial"/>
          <w:color w:val="000000"/>
          <w:sz w:val="20"/>
          <w:lang w:val="en-US" w:eastAsia="en-US" w:bidi="ar-SA"/>
        </w:rPr>
        <w:t>.</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landlord with a duty to repair under the </w:t>
      </w:r>
      <w:r>
        <w:rPr>
          <w:rFonts w:ascii="arial" w:eastAsia="arial" w:hAnsi="arial" w:cs="arial"/>
          <w:b/>
          <w:i/>
          <w:color w:val="000000"/>
          <w:sz w:val="20"/>
          <w:lang w:val="en-US" w:eastAsia="en-US" w:bidi="ar-SA"/>
        </w:rPr>
        <w:t>RTA</w:t>
      </w:r>
      <w:r>
        <w:rPr>
          <w:rFonts w:ascii="arial" w:eastAsia="arial" w:hAnsi="arial" w:cs="arial"/>
          <w:color w:val="000000"/>
          <w:sz w:val="20"/>
          <w:lang w:val="en-US" w:eastAsia="en-US" w:bidi="ar-SA"/>
        </w:rPr>
        <w:t xml:space="preserve"> has a duty to make reasonable inspections of the premises for defects, regardless of whether he or she has notice or actual knowledge of defects.</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lang w:val="en-US" w:eastAsia="en-US" w:bidi="ar-SA"/>
        </w:rPr>
        <w:t>OLA</w:t>
      </w:r>
      <w:r>
        <w:rPr>
          <w:rFonts w:ascii="arial" w:eastAsia="arial" w:hAnsi="arial" w:cs="arial"/>
          <w:color w:val="000000"/>
          <w:sz w:val="20"/>
          <w:lang w:val="en-US" w:eastAsia="en-US" w:bidi="ar-SA"/>
        </w:rPr>
        <w:t xml:space="preserve"> imposes a duty of reasonable inspection on both the landlord and tenant. The standard of reasonableness for each party must be determined according to their respective positions and responsibilities. The standard of reasonable inspection imposed on a landlord will likely be elevated above that imposed on a tenant where the following factors occur:</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landlord has observed the evolution of a residence through multiple tenancies and repairs and alterations;</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landlord has the legal responsibility for maintaining and repairing the premises;</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area of concern relates to a structural defect that existed prior to the current tenancy.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The applicable standard is one of reasonableness and not perfection </w:t>
      </w:r>
      <w:r>
        <w:rPr>
          <w:rFonts w:ascii="arial" w:eastAsia="arial" w:hAnsi="arial" w:cs="arial"/>
          <w:i/>
          <w:color w:val="000000"/>
          <w:sz w:val="20"/>
          <w:lang w:val="en-US" w:eastAsia="en-US" w:bidi="ar-SA"/>
        </w:rPr>
        <w:t>Horti-Pac Inc, v. Nikko Materials USA Inc.</w:t>
      </w:r>
      <w:r>
        <w:rPr>
          <w:rFonts w:ascii="arial" w:eastAsia="arial" w:hAnsi="arial" w:cs="arial"/>
          <w:color w:val="000000"/>
          <w:sz w:val="20"/>
          <w:lang w:val="en-US" w:eastAsia="en-US" w:bidi="ar-SA"/>
        </w:rPr>
        <w:t xml:space="preserve">, </w:t>
      </w:r>
      <w:hyperlink r:id="rId955" w:history="1">
        <w:r>
          <w:rPr>
            <w:rFonts w:ascii="arial" w:eastAsia="arial" w:hAnsi="arial" w:cs="arial"/>
            <w:i/>
            <w:color w:val="0077CC"/>
            <w:sz w:val="20"/>
            <w:u w:val="single"/>
            <w:shd w:val="clear" w:color="auto" w:fill="FFFFFF"/>
            <w:lang w:val="en-US" w:eastAsia="en-US" w:bidi="ar-SA"/>
          </w:rPr>
          <w:t>[2009] O.J. 3404</w:t>
        </w:r>
      </w:hyperlink>
      <w:r>
        <w:rPr>
          <w:rFonts w:ascii="arial" w:eastAsia="arial" w:hAnsi="arial" w:cs="arial"/>
          <w:color w:val="000000"/>
          <w:sz w:val="20"/>
          <w:lang w:val="en-US" w:eastAsia="en-US" w:bidi="ar-SA"/>
        </w:rPr>
        <w:t xml:space="preserve"> (Ont.S.C.) at para. 464.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O'Leary v. Rupert</w:t>
      </w:r>
      <w:r>
        <w:rPr>
          <w:rFonts w:ascii="arial" w:eastAsia="arial" w:hAnsi="arial" w:cs="arial"/>
          <w:color w:val="000000"/>
          <w:sz w:val="20"/>
          <w:lang w:val="en-US" w:eastAsia="en-US" w:bidi="ar-SA"/>
        </w:rPr>
        <w:t xml:space="preserve">, </w:t>
      </w:r>
      <w:hyperlink r:id="rId956" w:history="1">
        <w:r>
          <w:rPr>
            <w:rFonts w:ascii="arial" w:eastAsia="arial" w:hAnsi="arial" w:cs="arial"/>
            <w:i/>
            <w:color w:val="0077CC"/>
            <w:sz w:val="20"/>
            <w:u w:val="single"/>
            <w:shd w:val="clear" w:color="auto" w:fill="FFFFFF"/>
            <w:lang w:val="en-US" w:eastAsia="en-US" w:bidi="ar-SA"/>
          </w:rPr>
          <w:t>2010 BCSC 240</w:t>
        </w:r>
      </w:hyperlink>
      <w:r>
        <w:rPr>
          <w:rFonts w:ascii="arial" w:eastAsia="arial" w:hAnsi="arial" w:cs="arial"/>
          <w:color w:val="000000"/>
          <w:sz w:val="20"/>
          <w:lang w:val="en-US" w:eastAsia="en-US" w:bidi="ar-SA"/>
        </w:rPr>
        <w:t xml:space="preserve"> at para. 31 and 33, the court relied on </w:t>
      </w:r>
      <w:r>
        <w:rPr>
          <w:rFonts w:ascii="arial" w:eastAsia="arial" w:hAnsi="arial" w:cs="arial"/>
          <w:i/>
          <w:color w:val="000000"/>
          <w:sz w:val="20"/>
          <w:lang w:val="en-US" w:eastAsia="en-US" w:bidi="ar-SA"/>
        </w:rPr>
        <w:t>Zavaglia</w:t>
      </w:r>
      <w:r>
        <w:rPr>
          <w:rFonts w:ascii="arial" w:eastAsia="arial" w:hAnsi="arial" w:cs="arial"/>
          <w:color w:val="000000"/>
          <w:sz w:val="20"/>
          <w:lang w:val="en-US" w:eastAsia="en-US" w:bidi="ar-SA"/>
        </w:rPr>
        <w:t xml:space="preserve"> and added the neither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nor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impose a higher duty of care of the landlord than imposed by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In assessing what is reasonable in any given case, the courts have repeatedly endorsed the notion that the care required is commensurate with the degree of risk of harm; the greater the risk of harm, the greater will be the care required to protect against the risk: </w:t>
      </w:r>
      <w:r>
        <w:rPr>
          <w:rFonts w:ascii="arial" w:eastAsia="arial" w:hAnsi="arial" w:cs="arial"/>
          <w:i/>
          <w:color w:val="000000"/>
          <w:sz w:val="20"/>
          <w:lang w:val="en-US" w:eastAsia="en-US" w:bidi="ar-SA"/>
        </w:rPr>
        <w:t>Lawrence v. Prince Rupert (City) and B.C. Hydro &amp; Power Authority</w:t>
      </w:r>
      <w:r>
        <w:rPr>
          <w:rFonts w:ascii="arial" w:eastAsia="arial" w:hAnsi="arial" w:cs="arial"/>
          <w:color w:val="000000"/>
          <w:sz w:val="20"/>
          <w:lang w:val="en-US" w:eastAsia="en-US" w:bidi="ar-SA"/>
        </w:rPr>
        <w:t xml:space="preserve">, </w:t>
      </w:r>
      <w:hyperlink r:id="rId957" w:history="1">
        <w:r>
          <w:rPr>
            <w:rFonts w:ascii="arial" w:eastAsia="arial" w:hAnsi="arial" w:cs="arial"/>
            <w:i/>
            <w:color w:val="0077CC"/>
            <w:sz w:val="20"/>
            <w:u w:val="single"/>
            <w:shd w:val="clear" w:color="auto" w:fill="FFFFFF"/>
            <w:lang w:val="en-US" w:eastAsia="en-US" w:bidi="ar-SA"/>
          </w:rPr>
          <w:t>2005 BCCA 567</w:t>
        </w:r>
      </w:hyperlink>
      <w:r>
        <w:rPr>
          <w:rFonts w:ascii="arial" w:eastAsia="arial" w:hAnsi="arial" w:cs="arial"/>
          <w:color w:val="000000"/>
          <w:sz w:val="20"/>
          <w:lang w:val="en-US" w:eastAsia="en-US" w:bidi="ar-SA"/>
        </w:rPr>
        <w:t xml:space="preserve"> at paras. 21-22.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infant plaintiff in this case submits that risk of harm arising from a live male plug was significant, resulting in an elevated level of required care, commensurate with the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The infant plaintiff further submits that there is an elevated standard of care for owners, landlords, and property managers due to the dangers inherent in electrical installations. In the case of </w:t>
      </w:r>
      <w:r>
        <w:rPr>
          <w:rFonts w:ascii="arial" w:eastAsia="arial" w:hAnsi="arial" w:cs="arial"/>
          <w:i/>
          <w:color w:val="000000"/>
          <w:sz w:val="20"/>
          <w:lang w:val="en-US" w:eastAsia="en-US" w:bidi="ar-SA"/>
        </w:rPr>
        <w:t>Young v. Gravenhurst</w:t>
      </w:r>
      <w:r>
        <w:rPr>
          <w:rFonts w:ascii="arial" w:eastAsia="arial" w:hAnsi="arial" w:cs="arial"/>
          <w:color w:val="000000"/>
          <w:sz w:val="20"/>
          <w:lang w:val="en-US" w:eastAsia="en-US" w:bidi="ar-SA"/>
        </w:rPr>
        <w:t xml:space="preserve">, </w:t>
      </w:r>
      <w:hyperlink r:id="rId958" w:history="1">
        <w:r>
          <w:rPr>
            <w:rFonts w:ascii="arial" w:eastAsia="arial" w:hAnsi="arial" w:cs="arial"/>
            <w:i/>
            <w:color w:val="0077CC"/>
            <w:sz w:val="20"/>
            <w:u w:val="single"/>
            <w:shd w:val="clear" w:color="auto" w:fill="FFFFFF"/>
            <w:lang w:val="en-US" w:eastAsia="en-US" w:bidi="ar-SA"/>
          </w:rPr>
          <w:t>(1910) 22 O.L.R. 291</w:t>
        </w:r>
      </w:hyperlink>
      <w:r>
        <w:rPr>
          <w:rFonts w:ascii="arial" w:eastAsia="arial" w:hAnsi="arial" w:cs="arial"/>
          <w:color w:val="000000"/>
          <w:sz w:val="20"/>
          <w:lang w:val="en-US" w:eastAsia="en-US" w:bidi="ar-SA"/>
        </w:rPr>
        <w:t xml:space="preserve"> at pp. 302-304 the court notes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one, individual or corporation, dealing in electricity "is bound to the public to exercise the utmost degree of care in the construction, inspection, repair and operation of its apparatus and appliances" -- l0 Am. &amp; Eng. Encyc. of Law, 2nd ed., pp. 872, 873 -- must "exercise the high degree of skill, care, and foresight required of persons engaging in operations of a dangerous nature:" Royal Electric Co. v. Hévé, </w:t>
      </w:r>
      <w:hyperlink r:id="rId959" w:history="1">
        <w:r>
          <w:rPr>
            <w:rFonts w:ascii="arial" w:eastAsia="arial" w:hAnsi="arial" w:cs="arial"/>
            <w:i/>
            <w:color w:val="0077CC"/>
            <w:sz w:val="20"/>
            <w:u w:val="single"/>
            <w:shd w:val="clear" w:color="auto" w:fill="FFFFFF"/>
            <w:lang w:val="en-US" w:eastAsia="en-US" w:bidi="ar-SA"/>
          </w:rPr>
          <w:t>32 S.C.R. 462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The courts have also recognized that the goals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are "to promote, and indeed, require where circumstances warrant, positive action on the part of occupiers to make their premises reasonably safe": </w:t>
      </w:r>
      <w:r>
        <w:rPr>
          <w:rFonts w:ascii="arial" w:eastAsia="arial" w:hAnsi="arial" w:cs="arial"/>
          <w:i/>
          <w:color w:val="000000"/>
          <w:sz w:val="20"/>
          <w:lang w:val="en-US" w:eastAsia="en-US" w:bidi="ar-SA"/>
        </w:rPr>
        <w:t>Bustin v. Saatchi,</w:t>
      </w:r>
      <w:r>
        <w:rPr>
          <w:rFonts w:ascii="arial" w:eastAsia="arial" w:hAnsi="arial" w:cs="arial"/>
          <w:color w:val="000000"/>
          <w:sz w:val="20"/>
          <w:lang w:val="en-US" w:eastAsia="en-US" w:bidi="ar-SA"/>
        </w:rPr>
        <w:t xml:space="preserve"> </w:t>
      </w:r>
      <w:hyperlink r:id="rId960" w:history="1">
        <w:r>
          <w:rPr>
            <w:rFonts w:ascii="arial" w:eastAsia="arial" w:hAnsi="arial" w:cs="arial"/>
            <w:i/>
            <w:color w:val="0077CC"/>
            <w:sz w:val="20"/>
            <w:u w:val="single"/>
            <w:shd w:val="clear" w:color="auto" w:fill="FFFFFF"/>
            <w:lang w:val="en-US" w:eastAsia="en-US" w:bidi="ar-SA"/>
          </w:rPr>
          <w:t>(1996) 64 A.C.W.S. (3d) 505</w:t>
        </w:r>
      </w:hyperlink>
      <w:r>
        <w:rPr>
          <w:rFonts w:ascii="arial" w:eastAsia="arial" w:hAnsi="arial" w:cs="arial"/>
          <w:color w:val="000000"/>
          <w:sz w:val="20"/>
          <w:lang w:val="en-US" w:eastAsia="en-US" w:bidi="ar-SA"/>
        </w:rPr>
        <w:t xml:space="preserve"> at para. 13.</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Expert Evidence on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To assist me in determining what a reasonable standard of care would be for the owners and property manager in this situation I have reviewed reports from the following experts:</w:t>
      </w:r>
      <w:r>
        <w:rPr>
          <w:rFonts w:ascii="arial" w:eastAsia="arial" w:hAnsi="arial" w:cs="arial"/>
          <w:sz w:val="20"/>
          <w:lang w:val="en-US" w:eastAsia="en-US" w:bidi="ar-SA"/>
        </w:rPr>
        <w:cr/>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Martin J. Coles, Electrical Engineer of Jensen Hughes Consulting Canada Ltd. expert report dated December 17 2015 Re: Electric Shock Injury;</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Martin J. Coles rebuttal report dated February 2 2015;</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Brent Murphy, Electrical Contractor of BPM Electric Ltd. expert report dated December 18 2915, re: Standards for Electrical Home Inspections;</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Richard Van Leeuwen, Electrical Engineer expert report dated December 20 2015 Re" Standard of Care owed by an Electrician;</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Scott Ulrich, Property Manager of Gateway Property Management Corporation, Expert Report dated August 15 2015 re: property management; and</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 Garth Cambrey, Property Manager, rebuttal report dated January 27, 2016 re: Standards for Residential Property Manager Inspections.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Martin Coles, Scott Ulrich and Garth Cambrey were also called for cross-examination. I will review their evidence and then, before reviewing the evidence of the defendants, make a determination of what the reasonable standard of care for the defendants Ms. Wong, Mr. Wong and Ms. Lai is in these circumstances.</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a) Martin Coles, Electrical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plaintiff served and relied on the expert opinion of Martin Coles, electrical engineer, who produced a report dated December 17, 2015 (Exhibit 7, Tab 1) and a rebuttal report dated February 2, 2016 (Exhibit 7, Tab 2). He is an electrical engineer qualified to give evidence regarding code compliance of residential electrical systems, the investigation and determination of electrical failures, electrical equipment and electrical hazards.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In his report, Mr. Coles gave the opinion that Receptacles #1, #2 and #3 and the Extension Cord all violated various provisions of the </w:t>
      </w:r>
      <w:r>
        <w:rPr>
          <w:rFonts w:ascii="arial" w:eastAsia="arial" w:hAnsi="arial" w:cs="arial"/>
          <w:i/>
          <w:color w:val="000000"/>
          <w:sz w:val="20"/>
          <w:lang w:val="en-US" w:eastAsia="en-US" w:bidi="ar-SA"/>
        </w:rPr>
        <w:t>Canadian Electrical 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Mr. Coles identified the codes that would have applied to the Premises from the date the house on the Property was built until the date of the Incident. It was Mr. Coles' opinion that Receptacle #1 violated the </w:t>
      </w:r>
      <w:r>
        <w:rPr>
          <w:rFonts w:ascii="arial" w:eastAsia="arial" w:hAnsi="arial" w:cs="arial"/>
          <w:i/>
          <w:color w:val="000000"/>
          <w:sz w:val="20"/>
          <w:lang w:val="en-US" w:eastAsia="en-US" w:bidi="ar-SA"/>
        </w:rPr>
        <w:t>Canadian Electrical Code</w:t>
      </w:r>
      <w:r>
        <w:rPr>
          <w:rFonts w:ascii="arial" w:eastAsia="arial" w:hAnsi="arial" w:cs="arial"/>
          <w:color w:val="000000"/>
          <w:sz w:val="20"/>
          <w:lang w:val="en-US" w:eastAsia="en-US" w:bidi="ar-SA"/>
        </w:rPr>
        <w:t xml:space="preserve"> Rules named "Cable Supports", "Running of Cable Between Boxes and Fittings", "Outlet Box Supports" and "Accessibility of Junction Boxes."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His opinion was that Receptacles #2 and #3 violated the "Outlet Box Supports" and "Accessibility of Junction Boxes" Rules. In his opinion the Extension Cord violated the code concerning "Uses of Flexible Cord." These electrical codes were duplicated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Mr. Coles' interpretation of the codes was not challenged and I have no reason to doubt that he is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 Coles said that Receptacle #1 is a standard duplex outlet that one could plug any cord into. It consists of a metal box with a thick green cable of building wire being fed into it. An outlet box such as Receptacle #1 is required to be fixed to a structural member of the building. It was not. It was attached to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Receptacle #1 was hazardous because there was no way to access it for maintenance. It could not be readily located by inspectors or electrician or others and so it could remain in place long after it was installed and never get maintained or checked. Receptacle #1 and its wiring were consistent with the original building wiring of the era when the house was built. Comparing the three Receptacles, Mr. Coles was of the opinion that Receptacle #1 was closer to a professional job than were Receptacles #2 or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Receptacle #2 and #3 did not pose a hazard if they were not energised. They were however not installed to code because they are caulked into a light weight fibre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Extension Cord was hazardous as soon as it was plugged into Receptacle #1. A double male cord is not commercially available nor are they used in the industry. The Extension Cord would have been created from individual components purchased at a hardware store. It was made from a lamp cord in a light gage for low current devices like desk lamps. The Extension Cord would be found to be energized by way of a simple test using a voltage tester.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An electrician would be able to tell that Receptacles #2 and #3 were not code compliant by a simple visual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If the Extension Cord was plugged into Receptacle #2, and a person were to connect Receptacles #2 and #3 with a simple wire, it would energize Receptacle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Receptacles #2 and #3 would represent an unusual condition to an electrician or electrical engineer that would warrant further investigation. If an electrician or engineer were specifically asked to examine the Cabinet, Mr. Coles would expect them to decommission the Cabinet.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Mr. Coles did not think that an electrician being tasked with a full home inspection or in response to a tripping breaker would locate a hazard within or under the Cabinet unless specifically directed to look in the Cabinet.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In his second report, Mr. Coles said that, had a homeowner wished to have an electrician review any electrical components in or under the Cabinet, such a review would have needed to be requested specifically. In his rebuttal report, Mr. Coles opined that a simple inspection of the Cabinet by an electrician would have revealed that the electrical components within the Cabinet were not code compliant and would have resulted in the hazard being discovered.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Mr. Coles is an engineer who specializes in fire loss prevention. The defendants submit that he is imposing too high a standard for the residential electrician and that he is overqualified to give a relevant opinion in this case. He has never worked as an electrician but has worked with many electricians.</w:t>
      </w:r>
      <w:r>
        <w:rPr>
          <w:rFonts w:ascii="arial" w:eastAsia="arial" w:hAnsi="arial" w:cs="arial"/>
          <w:sz w:val="20"/>
          <w:lang w:val="en-US" w:eastAsia="en-US" w:bidi="ar-SA"/>
        </w:rPr>
        <w:cr/>
      </w:r>
    </w:p>
    <w:p>
      <w:pPr>
        <w:numPr>
          <w:numId w:val="7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Brent Murphy, Electrician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Brent Murphy is a licensed electrician who prepared a report for Ms. Wong. He was not required for cross-examination. He was asked what steps he would expect an electrician to take if asked to inspect the electrical wiring at home because a breaker tripped when some appliances were used. He explained the steps he would take and said he would not check wall receptacles in other areas of the home if inspecting only for cause of breaker trips when some appliances are used. He would check the receptacles that are losing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If he were asked to conduct an electrical inspection in a home for insurance or home inspection purposes, he would go through every room in the house using a plug tester also called a receptacle or outlet tester and he would test every easily acceptable plug. The plug tester is used to check that an outlet has power and that it is properly wired. He would also look at light switches in the home. He would check the electrical panel in the home to see if breakers were sized correctly. He would check the type of wiring used (i.e., look for knob and tube wiring). He would also look at grounding and bonding, smoke detectors and junction boxes.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While conducting a home inspection at the Property he would not inspect the Cabinet unless he saw signs that it had power supply to it.</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c) Richard van Leeuwen, Electrical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Mr. van Leeuwen is an electrical engineer retained by counsel for Mr. Wong and Ms. Lai to give an opinion of the appropriate standard of care owed by an electrician and to determine whether the work of "an electrician" met that standard. I am assuming he is referring to Golden Leaf who performed an inspection of a tripping breaker in the Premises prior to the Incident. Mr. van Leeuwen's qualifications were not disputed and he was not called for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Mr. van Leeuwen was asked what steps he would expect an electrician to take if asked to "inspect electrical at the home because the breaker trips when some appliances are used." He said he would expect the electrician to speak to the tenants to determine which appliances were used when the breaker tripped and then to evaluate that appliance and that breaker.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If asked to perform an electrical inspection in a home for insurance inspection purposes he would expect an electrician to examine the accessible electrical components to the property to determine if they were safe and met the requirements of the electrical codes.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In his opinion it would not be normal to expect an electrician to expose hidden electrical components behind walls or under built-in cabinetry. He was of the view that the double male end cord was highly unusual and not visible unless the Cabinetry was removed from its location. It would be highly unlikely that an electrical inspection would have located or revealed this hazardous condition.</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d) Scott Ullrich, Property Management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Scott Ullrich is the President of Gateway Properties, one of the largest residential property management firms in Canada. He was qualified as an expert in the field of Residential Property Management. Mr. Ullrich's report, prepared at the request of the infant plaintiff, provided the Court with a number of different resources for landlords which describe the obligation that a property manager owes a tenant. These resources include access to relevant statutes like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as well as the Code of Ethics from Landlord BC. Landlords or property managers are not required to belong to Landlord BC but if they chose to, the organization provides education and a description of best practices for landlords.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Mr. Ullrich was thoroughly cross-examined on his credentials and on disciplinary actions he faced in his capacity as president of Gateway Properties. I was satisfied with Mr. Ullrich's answers and did qualify him as an expert. Certain redactions were made to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There was no requirement that Ms. Wong be licensed to provide property management services to her brother.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Mr. Ullrich said that a reasonable expectation of a property manager would be firstly, after being contracted to manage property, to perform a detailed inspection of the property and note any deficiencies and advise the owners.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requires that a landlord conduct mandatory move-in inspections of rental properties at the beginning of each tenancy.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A property manager should perform a detailed inspection of the property with every tenant prior to their move in and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On at least an annual basis, a property manager should inspect the property and note any issues. Issues would include potential preventative and deferred maintenance as well as life and health safety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On receiving a complaint from a tenant a property manager should investigate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Section 23 of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sets out the mandatory requirement for a landlord and tenant together to inspect the condition of a rental unit on the day the tenant is entitled to possession of the rental unit or on another mutually agreeable day. In subparagraph (4) the landlord must complete a condition inspection report in accordance with the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Both the landlord and tenant must sign the condition inspection report and the landlord must give the tenant a copy of that report in accordance with the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landlord must make the inspection and complete and sign the report without the tenant if the tenant does not participate.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Under s. 32 of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the landlord must provide and maintain the residential property in a state of decoration and repair that complies with health, safety and housing standards required by law and makes it suitable for occupation by a tenant. The tenant has an obligation to maintain reasonable health, cleanliness and sanitary standards throughout the rental unit. The tenant must repair damage to the rental unit that is caused by actions or neglect of the tenant. The tenant is not required to make repair for reasonable wear and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landlord's obligation under s. 32(1)(a) applies whether or not the tenant knew of a breach by the landlord of that subsection at the time of entering into the tenancy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In his opinion, Mr. Ullrich said the minimum standard for a landlord or property manager would be to perform a detailed inspection of the property at the start and end of each tenancy, inspect the property at least once a year and when advised by a tenant of a potential safety issue and ensure the issues were investigated by a qualified technician.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Mr. Ullrich said, at page 8 of his redacted report, that it is common practice to check all cabinets between tenancies to ensure they have been properly cleaned. During this inspection the wires in the Cabinet should have been discovered and further investigation as to the purpose of those wires should have been made. In his opinion, had a detailed inspection been done at the start of any tenancy when the home was vacant, the property manager would have seen the Extension Cord. Even though it was the male end of the Extension Cord that was visible, it would be prudent to investigate what it was being used for. During the investigation, Mr. Ullrich believed the property manager would have discovered that the Extension Cord was live.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Mr. Ullrich is of the view that there are no legal requirements to take extra precaution for children who are tenants in property except when referring to swimming pools.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Mr. Ullrich was asked what responsibilities, obligation or duties does the owner of property have in the present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He said the property manager would either be an employee of a landlord or the landlord's agent. It would be commonplace for the landlord to investigate the qualifications of the property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It would be prudent for a landlord to ensure at the time of purchase of the property to ensure that all necessary permits had been issued by the municipality or city for renovation work. If, during any inspection, it became apparent that an obvious serious code violation was present, the landlord or the property manager should have the violation corrected.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Mr. Ullrich did attach a sample Apartment Interior Inspection Report but clarified that this is just a sample and that there is no mandated form. A report is mandatory; however, the landlord or property manager is at liberty to use their own inspection form if they choose.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Mr. Ullrich would not expect a property manager to pull out furniture or appliances. It is common practice to check all cabinets. He agreed that he had no experience leasing furnished single homes but he believes that the standards would be the same for a multi-unit apartment building or a single family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In cross-examination Mr. Ullrich said he was concerned when he saw the photograph of the record player in the drawer. He was also concerned when he saw the backs of Receptacles #2 and #3 with no faceplates on them. It looked to him like it was not done to code so he likely would have called an electrician in to inspect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property manager is not obliged to check an electrical hazard behind a finished wall but if there is something visible that should lead to a chain of inquiry that should be investigated.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Mr. Ullrich was shown a copy of the Property Inspection Report done by Allied Home Inspection Inc. on June 16, 1992 (Exhibit 2, tab 8, joint book of documents). As a property manager he would likely be given a copy of the Property Inspection Report. He would not rely on it entirely and he still would feel obliged to inspect the property but he would find it helpful.</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e) Garth Cambrey, Property Management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Mr. Cambrey was retained by Ms. Wong, Mr. Wong and Ms. Lai to provide an opinion on the standard for residential property manager inspections. Mr. Cambrey has been licensed under the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 xml:space="preserve">, </w:t>
      </w:r>
      <w:hyperlink r:id="rId961" w:history="1">
        <w:r>
          <w:rPr>
            <w:rFonts w:ascii="arial" w:eastAsia="arial" w:hAnsi="arial" w:cs="arial"/>
            <w:i/>
            <w:color w:val="0077CC"/>
            <w:sz w:val="20"/>
            <w:u w:val="single"/>
            <w:shd w:val="clear" w:color="auto" w:fill="FFFFFF"/>
            <w:lang w:val="en-US" w:eastAsia="en-US" w:bidi="ar-SA"/>
          </w:rPr>
          <w:t>R.S.B.C. 1996, c. 397</w:t>
        </w:r>
      </w:hyperlink>
      <w:r>
        <w:rPr>
          <w:rFonts w:ascii="arial" w:eastAsia="arial" w:hAnsi="arial" w:cs="arial"/>
          <w:color w:val="000000"/>
          <w:sz w:val="20"/>
          <w:lang w:val="en-US" w:eastAsia="en-US" w:bidi="ar-SA"/>
        </w:rPr>
        <w:t xml:space="preserve"> since 1985 and has been involved in property management in the Province of British Columbia since 1986. He has owned and operated a property management company and I accepted his qualifications as an expert in the area of property management for residential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In his report, Mr. Cambrey said, that in his opinion, industry standards do not require that a property condition inspection conducted by a landlord or property manager to include inspection of outlets and cords that are hidden and unknown to the landlord or property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Property condition inspections are relatively simple visual inspections of rental property completed by the landlord or property manager with or without the tenant while walking through the rental property noting the general condition of the various components of the property and identifying any damage or items in need of repair. The property condition inspection would not include testing of electrical outlets.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In preparing his report he was told to assume that the speaker compartments at either end of the Cabinet were covered. He does say that, if that was not the case and the receptacle was not covered but visible during a property condition inspection, he would expect a prudent landlord or property manager to take a closer look at the receptacle to attempt to determine its purpose. Upon examination, if the receptacle did not have electrical wiring connected to it and was not live then no further investigation would be necessary. If the cord was plugged into the receptacle at the time of inspection the purpose of the receptacle would be difficult to ascertain. He said it was his opinion that testing of the receptacle would exceed industry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During cross-examination Mr. Cambrey agreed that it looked odd to have Receptacle #2 three inches off the ground facing down. He agreed the back of Receptacle #2 was not professionally installed. Once he saw the back of Receptacle #2, he agreed that it would demand further investigation. If he saw the Extension Cord either lying on the ground or plugged into Receptacle # 2 and the other end of the Extension Cord disappearing into the back of the Cabinet at that juncture, he would agree it did not look right. He would ask questions of the owner before getting an electrician in to inspect the Cabinet.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If he did not feel comfortable in assessing whether the wiring constituted a threat or a hazard electrically, Mr. Cambrey agreed that would be the time when the prudent property manager would get an electrician in to inspect the Cabinet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When asked what the standard for a non-resident owner of rental property would be, Mr. Cambrey agreed on cross-examination that if it was not geographically possible for the owner to inspect the property, the expectation is that the owner would get someone qualified to manage the property for them. He would be concerned if that non-resident landlord hired someone with no experience who is not licensed. He would also be concerned if the property manager never completed property inspection forms. If he was an owner, he would be concerned if the property manager had no training or education in property management at all. He would be concerned if she did not even keep written notes of walk-through inspections.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Decision on the Standard of Care Owed by a Landlord or Property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Based on the expert evidence I find the standard of care owed by a landlord or property manager is to:</w:t>
      </w:r>
      <w:r>
        <w:rPr>
          <w:rFonts w:ascii="arial" w:eastAsia="arial" w:hAnsi="arial" w:cs="arial"/>
          <w:sz w:val="20"/>
          <w:lang w:val="en-US" w:eastAsia="en-US" w:bidi="ar-SA"/>
        </w:rPr>
        <w:cr/>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an initial thorough inspection of premises to ensure that the premises is safe and clean and to note any deficiencies;</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Perform a detailed inspection of the property with every tenant prior to their moving in and moving out;</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annual basis, the landlord should inspect the property and note any issues including preventative and deferred maintenance as well as life and health safety issues;</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receiving a complaint from a tenant, the landlord has an obligation to investigate the complaint;</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current situation where there is a built-in Cabinet with several covered spaces and drawers, I would expect, at a minimum, a property manager would open the cupboard spaces and drawers at the beginning and end of each tenancy to make sure that the drawers and cupboards are properly cleaned out of the tenant's possessions and that they did not contain dirt, insects or other household pests.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current situation, where the Cabinet, when empty, revealed the back of two electrical receptacles which have been unprofessionally installed, I find the minimum standard would require further investigation by the property manager. Further investigation at a minimum would be to get down on one's knee and look under Receptacle #2. This inspection would have revealed the faceplate for Receptacle #2 which was three inches above the ground facing the floor and the Extension Cord either plugged into Receptacle #2 or lying on the carpet. Upon discovering this, I find the minimum standard would be for the landlord or property manager to retain the services of an electrician to investigate the Cabinet further for safety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 do not believe these standards change because of the size of the project. The focus is on maintaining safe premises for tenants and the duty is a statutory one which does not differentiate between building sizes.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 accept that an electrician, asked to investigate breaker trips, might not do an inspection of the Cabinet. An electrician who is doing a full home inspection and doing a receptacle check on each accessible plug may well be expected to further investigate Receptacle #2 of the Cabinet if it were exposed at the time of the electrical inspection. Of course no electrical inspection of the house was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When the Cabinet contained speakers or was full of tenant's possessions and when the Extension Cord was plugged into Receptacle #2 and not visible, I find it quite likely that nothing unusual was visible to lead to a further inquiry during a routine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 have examined Exhibit 4 which is an enlarged version of the photograph contained at Exhibit 6, tab 3, page 17. Even from a distance the back of Receptacle #2 is clearly visible to the naked eye. This should have been noted by Ms. Wong during her inspections.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 do not see the Extension Cord under the Cabinet. I do see a dark line under Receptacle #2 that comes out in front of the Cabinet, but I cannot identify that as the Extension Cord from these photographs.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Nonetheless, given the shoddy job of installing Receptacles #2 and #3, I find they are clearly visible to the naked eye and should have led to a further inquiry by the property manager, Ms. Wong.</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Was the Standard of Care Met?</w:t>
      </w:r>
    </w:p>
    <w:p>
      <w:pPr>
        <w:numPr>
          <w:numId w:val="8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i/>
          <w:color w:val="000000"/>
          <w:sz w:val="20"/>
          <w:lang w:val="en-US" w:eastAsia="en-US" w:bidi="ar-SA"/>
        </w:rPr>
        <w:t>Doris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As stated earlier, Ms. Wong's evidence was read in from her examination for discovery and she did not take the witness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When Mr. Wong and Ms. Lai purchased the Property and planned on renting it, Ms. Wong volunteered to manage the Property. She had no previous experience as a property manager. She was not licensed as a property manager. She had no training whatsoever.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She was asked at the examination for discovery what her responsibilities were. Her answer was that she was responsible for looking after "everything that's required". Anything that needed to be done she will find someone to do it. She was responsible for arranging tenants to live in the Property. She was responsible for hiring and firing of trades persons including handymen. She would arrange for the payment of taxes for the Property. She was responsible for interviewing tenants when they were applying to move into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She has been the person primarily in charge of the Property since shortly after the purchase in 1992. Between that time (shortly after the purchase) and the time of the Incident (2007), no one else was ever responsible or in charge of looking after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There was no agreement between her and the owners about what her responsibilities would be in looking after the Property. The extent of the discussion after learning that Mr. Wong wanted to rent out the Property was that she volunteered to help him and he said okay.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Ms. Wong was paid $50 - $100 a month for her services as a flat fee. This money was really just to compensate her for gas and out-of-pocket expenses. There was no real discussion about compensation. She collected the rent and she collected her compensation from the rent. At the time of the Incident she was being paid $100 a month. Ms. Wong deposited the rent into her brother's account at the Bank of Montreal.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Ms. Wong was questioned about a building inspection done at the Property around the time of purchase of the Property. She does not know what instructions were given to the inspector or what was inspected at the time of purchase. She had no idea what the results of the inspection were. She never read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When Ms. Wong filled in the tenancy agreement she inserted her name under the heading "landlord". She recognized her signature on the tenancy agreement signed by Mr. Boyes and Jennifer Searcy. The tenancy agreement provided that the landlord was responsible for necessary repairs to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From the time of the purchase of the Property to the time of the Incident, there were some renovations done to the Property, mostly downstairs. Also the carpet was changed in the Premises in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In 2004 or 2005, the insurance coverage on the Property changed. This was because her broker had found a more competitive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Optimum West Insurance Company sent a letter dated May 13, 2005 to Ms. Wong by fax. The letter recommended certain repairs and inspections to reduce the possibility of loss or damage. One recommendation was for an inspection "of electrical as breaker trips when some appliances are used". Ms. Wong found the name of an electrician in the Yellow Pages and called Golden Leaf to come and do an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She agrees in general that it is important to get electrical problems checked out because they can be hazardous or dangerous but she did not request this inspection because of her own concerns. This arose because of the letter from the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When asked if she ever considered that the electrical wiring might not be safe because of the age of the Property she said she never considered it. She told Golden Leaf that the insurance company asked her to do an inspection and those were the only instructions she gave Golden Leaf. She may have shown Golden Leaf the letter from the insurance company. She said she probably told Golden Leaf that the breaker trips but she can't remember the exact instructions she gave Golden Leaf.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Prior to the Incident, Ms. Wong never asked Golden Leaf or any electrician to do an electrical safety inspection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Ms. Wong's understanding was that Golden Leaf fixed the problem that was complained about in the insurance letter and he also fixed a dimmer switch. She did not inspect the work that Golden Leaf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Mr. Boyes and Jennifer Searcy looked at the Property before renting it. Ms. Wong was present when they viewed the Property. She does not remember how long they took.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xml:space="preserve">  Ms. Wong has never heard of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She would ordinarily take a look at the Property before the tenants moved in. The tenants were giving her damage deposits so when she was inspecting the Property before they moved in it was to determine whether there were any pre-existing damages. She would also do an inspection to make sure the Premises was safe for the next tenant to move in. If she noticed anything unsafe or which she thought was not to standard then it is something that she would try to rectify. She particularly did not look for hazards but if she saw one then she would have it taken care of. She took no special precautions for tenants with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When asked how many times she inspected the Premises, Ms. Wong said every time a tenant moved out she would look around but she did not really look at the Cabinet. She thinks she inspected the Premises ten times over the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In the past there was a problem with a breaker tripping related to plugs in the kitchen. When the tenants plugged too many things in, the breaker tripped and the tenant would have to go to the panel and switch it on again. This was prior to 2009. She told the tenant not to plug too many appliances in at one time. She did not seek an electrical inspection at that time. The Golden Leaf inspection occurred because she was changing insurance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At the start of a new tenancy Ms. Wong does not have a tenant fill in a form to note deficiencies. She just has them (the tenant, I presume) tell her what needed to be done. She does not remember what deficiencies Mr. Boyes or Jennifer Searcy pointed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She said usually people noticed the Cabinet and make a comment about it. It is conspicuous. It was Ms. Wong's practice to say it is built-in and it has to stay. She never had the Cabinet inspected.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As stated earlier, Ms. Wong was aware that there was a record player in the Cabinet. She does not know whether it was functional at the time of the Incident or at any time during the time period since her brother owned the Property. She is not aware of tenants using the record player. She is not aware of tenants installing electrical devices like a computer, television or stereo in the Cabinet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Ms. Wong is not aware of any work done by her tenants to rewire the Cabinet for any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Ms. Wong's knowledge of the Incident is that an infant put an electrical cord in her mouth which was live and she got burned. She went to the Premises and saw the outlet where the Extension Cord was plugged in. She had never seen the Extension Cord before. She was not aware of any wires that existed inside the Cabinet. In all these years, nobody reported seeing the Extension Cord in that area. As stated earlier, she had never noticed Receptacle #2 or #3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After the Incident she did have someone come in and terminate Receptacle #1 in the Cabinet. The agreed statement of facts is that she paid $101.00 to have the junction box at Receptacle #1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When Ms. Wong first heard about the Incident she informed Mr. Wong and Ms. Lai. She and Mr. Wong and Ms. Lai had no policy in place to deal with incidents like this. She doesn't usually talk with the Mr. Wong and Ms. Lai who are her brother and her sister-in-law. She has talked to Mr. Wong at some point since he purchased the Property. She cannot remember whether she talked to Mr. Wong or emailed him about the Incident.</w:t>
      </w:r>
      <w:r>
        <w:rPr>
          <w:rFonts w:ascii="arial" w:eastAsia="arial" w:hAnsi="arial" w:cs="arial"/>
          <w:sz w:val="20"/>
          <w:lang w:val="en-US" w:eastAsia="en-US" w:bidi="ar-SA"/>
        </w:rPr>
        <w:cr/>
      </w:r>
    </w:p>
    <w:p>
      <w:pPr>
        <w:numPr>
          <w:numId w:val="8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Johnny Ho Cheung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Mr. Wong did not give evidence at the trial so the evidence I am referring to was read in from his examination from discovery transcript as part of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Mr. Wong owns the Property with his wife Ms. Lai in joint tenancy. Mr. Wong and Ms. Lai live in Hong Kong. Neither of them has ever set foot on the Property. Mr. Wong has walked by the Property because his sister Emmy Leung ("Ms. Leung") lives in a house across the street from the Property. He used to jointly own that property with her. When he purchased the Property he was always intending to rent it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Mr. Wong asked his sister Ms. Wong if she would help him take care of the rental of the Property. Since the time he purchased the Property until the present, she has been the one who has been responsible for the care and supervision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She has been responsible for collecting rent and for paying expenses including property tax. She is responsible for the maintenance of the Property. She is responsible for organizing repairs to the Property. She is responsible for advertising and interviewing of any tenants that are to live in the Property. Mr. Wong did not ask Ms. Wong to inspect the Property before or after tenancies. He does not know whether Ms. Wong was conducting any inspection before or after tenancies.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When asked if Ms. Wong was responsible for ensuring that the Property was safe for the tenants to use, Mr. Wong said she is not my employee, she is just helping me so I don't know she is responsible for doing that. He did not understand what was required for moving in inspections.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When asked who Mr. Wong thought should be responsible for ensuring the Property is safe for tenant's use, he responded that he thinks it is the owners who should do that. He thinks that it is his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When asked what steps he took to ensure that the Property was safe for tenants to use he said I did tell my sister to make sure the house is clean and if there is no problem you can rent it out. When asked what he meant by "there is no problem" he said "I would say no hazards or anything like that. No danger". There were no other steps he took to ensure the Property was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He was asked who he thought was responsible for ensuring that the Property was in compliance with the local electrical codes and he said he appointed Ms. Wong for the rental but in terms of electrical and all he does not know. He did not consider whether the Property was in compliance with local building codes, electrical codes and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Mr. Wong first said that he relied on the inspection report and did not worry about the other stuff. He was shown a copy of the Home Inspection Report and Agreement dated June 16, 1992 prepared by A.W. Hopen at the examination for discovery and he said he had never seen it before. He then said that he relied on the representation from Ms. Leung, that the Property was "good" and that is why he bought it. He did not take any steps himself to further investigate. There were no other inspections done to ensure the Property was in compliance with building codes electrical codes or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Ms. Wong was the only one responsible for the care and supervision of the Property from approximately the date of purchase until present. There is no written contract with Ms. Wong. Mr. Wong did not set out in writing what he expected her to do. He does not give her instructions with respect to the care, maintenance, inspection or upkeep of the Property. He does not know whether she has any qualifications to be a property manager. He does not know if she has taken any courses or education or training to be a property manager or a landlord in British Columbia. He did not ever take any steps to inform himself as to what the requirements are for someone to be a property manager or landlord in British Columbia. He doesn't know if Ms. Wong had any experience managing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Mr. Wong wished to pay Ms. Wong for her services but she would not accept payment. All the money collected for rent is just deposited in a bank account and he never looks at it. On one occasion Ms. Wong said "You have a lot of money in this account. What would you like me to do with it?" On his instruction she transferred the money to him in Hong Kong.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Ms. Wong is authorized to deduct from the rent any personal expenses she has in the course of her duties. He does not know what expenses she deducts. He told her that any expenses related to the Property could be paid for out of the bank account. She never asked him for permission for repairs or maintenance. She has complete control over the bank account. She is responsible for filling out the income tax returns in Canada related to the Property. Mr. Wong communicates with Ms. Wong by telephone infrequently, less than once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Mr. Wong does not have any information about the tenants who have lived in the Property from the date of purchase until 2007. Ms. Wong does not need his approval to accept or reject or evict a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Mr. Wong has no experience being a property manager or landlord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Mr. Wong was not made aware by Ms. Leung, by the sellers or by any real estate agents about any electrical hazards or danger that existed in the Property at the time he purchased it. He was never aware of any electrical issues or problems in the Property from the date of purchase to the present. He is not aware of whether or not there has been an electrical inspection done on the Property. He is not aware of whether a further building inspection was done on the Property at any time during his ownership. He is not aware if any electrical work was done on the Property at any point during his ownership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He was first made aware of the Incident after Ms. Wong told him on the phone. She told him that there was an infant who put an electric cord in her mouth. He was told there was a cord which was left by the previous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Mr. Wong does not take any special precautions renting houses to people with children. He doesn't know who Ms. Wong rents the house out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It is Mr. Wong's intention to continue to use Ms. Wong to manage this Property.</w:t>
      </w:r>
      <w:r>
        <w:rPr>
          <w:rFonts w:ascii="arial" w:eastAsia="arial" w:hAnsi="arial" w:cs="arial"/>
          <w:sz w:val="20"/>
          <w:lang w:val="en-US" w:eastAsia="en-US" w:bidi="ar-SA"/>
        </w:rPr>
        <w:cr/>
      </w:r>
    </w:p>
    <w:p>
      <w:pPr>
        <w:numPr>
          <w:numId w:val="8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Kit Bing Lai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Ms. Lai is a joint tenant on title to the Property. Her evidence was comprised of excerpts from her examination for discovery read-in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She was aware that her husband Mr. Wong was purchasing the Property and that it was being rented out. She knew that Ms. Wong was managing the Property. She has never been in the Property and knows nothing about inspections or the requirements of landlords in British Columbia. She is content to have her husband and Ms. Wong take care of the Property on her behalf and had no evidence to add.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 and Decision on Whether the Standard of Care Was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xml:space="preserve">  There are similarities between this case and the facts in </w:t>
      </w:r>
      <w:r>
        <w:rPr>
          <w:rFonts w:ascii="arial" w:eastAsia="arial" w:hAnsi="arial" w:cs="arial"/>
          <w:i/>
          <w:color w:val="000000"/>
          <w:sz w:val="20"/>
          <w:lang w:val="en-US" w:eastAsia="en-US" w:bidi="ar-SA"/>
        </w:rPr>
        <w:t>Klajch (Guardian ad litem of) v. Jongeneel</w:t>
      </w:r>
      <w:r>
        <w:rPr>
          <w:rFonts w:ascii="arial" w:eastAsia="arial" w:hAnsi="arial" w:cs="arial"/>
          <w:color w:val="000000"/>
          <w:sz w:val="20"/>
          <w:lang w:val="en-US" w:eastAsia="en-US" w:bidi="ar-SA"/>
        </w:rPr>
        <w:t xml:space="preserve">, </w:t>
      </w:r>
      <w:hyperlink r:id="rId962" w:history="1">
        <w:r>
          <w:rPr>
            <w:rFonts w:ascii="arial" w:eastAsia="arial" w:hAnsi="arial" w:cs="arial"/>
            <w:i/>
            <w:color w:val="0077CC"/>
            <w:sz w:val="20"/>
            <w:u w:val="single"/>
            <w:shd w:val="clear" w:color="auto" w:fill="FFFFFF"/>
            <w:lang w:val="en-US" w:eastAsia="en-US" w:bidi="ar-SA"/>
          </w:rPr>
          <w:t>2002 BCCA 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Klajch</w:t>
      </w:r>
      <w:r>
        <w:rPr>
          <w:rFonts w:ascii="arial" w:eastAsia="arial" w:hAnsi="arial" w:cs="arial"/>
          <w:color w:val="000000"/>
          <w:sz w:val="20"/>
          <w:lang w:val="en-US" w:eastAsia="en-US" w:bidi="ar-SA"/>
        </w:rPr>
        <w:t>] which deal with the issue of whether a landlord should have discovered a hazardous condition on reasonable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Klajch</w:t>
      </w:r>
      <w:r>
        <w:rPr>
          <w:rFonts w:ascii="arial" w:eastAsia="arial" w:hAnsi="arial" w:cs="arial"/>
          <w:color w:val="000000"/>
          <w:sz w:val="20"/>
          <w:lang w:val="en-US" w:eastAsia="en-US" w:bidi="ar-SA"/>
        </w:rPr>
        <w:t>, the plaintiff resided in a rental property with his mother. The accident involved a heavy planter filled with soil resting on a plank lying across two beams projecting from the front wall of the rental property. The planter was not nailed or otherwise fastened to the plank and, in turn, the plank was not fastened to the beams. On the day of the accident, the 5-year old plaintiff grabbed the side of the planter to pull himself up so that his mother could see him. The plaintiff lifted himself up, holding onto the planter as if doing a chin-up. His feet did not remain on the ground. The planter rolled over towards him and came down on top of him causing a severe head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xml:space="preserve">  At a liability only trial, the trial judge held that the landlord and the property manager (75%) and the plaintiff's mother (25%) were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accident. The Court of Appeal dismissed the appeal of the landlord and property manager and allowed the cross-appeal of the plaintiff, reapportioning liability 100% as against the landlord and property manager. The Court of Appeal found that the planter was the property of the landlord even if it originated with a prior tenant because it was affixed to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The planter was unstable and a danger to children which would have been easily and inexpensively remedied but the landlord and the property manager were unaware of the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At paragraph 16 the Court of Appeal identified the issue of reasonable inspection and quoted the trial judge's reasons with approval: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I find that the nature of the defendants' inspections were superficial. In effect, little if any consideration was given to hazards that might exist outside the house or protrude from the house. Second, the inspections were not carried out as frequently as they should have been. Thus, there was in fact no inspection between the time the plaintiffs took over the tenancy and the Accident. There may have been "drive-by" inspections, but I find these were insufficient. </w:t>
      </w:r>
      <w:r>
        <w:rPr>
          <w:rFonts w:ascii="arial" w:eastAsia="arial" w:hAnsi="arial" w:cs="arial"/>
          <w:b/>
          <w:color w:val="000000"/>
          <w:sz w:val="20"/>
          <w:lang w:val="en-US" w:eastAsia="en-US" w:bidi="ar-SA"/>
        </w:rPr>
        <w:t>I am persuaded that a reasonable inspection could have, and more importantly should have, been made immediately prior to the plaintiffs' commencing their tenancy. Had such an inspection been carried out with reasonable diligence, it would have shown the lurking hazard posed by the Planter.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xml:space="preserve">  The Court of Appeal says that the landlord's duty to inspect is part of the landlord's duty to provide and maintain premises in a reasonable state of repair as required by the RTA and is part of the landlord's duty to take reasonable care in repairing the premises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At paragraphs 17 and 29 the Court of Appeal adds the following conclusion about the landlord's duty of reasonable inspection being independent of a tenant's duty to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 ...In the circumstances of this case, I am not persuaded that the landlord's duty is confined to defects that have been brought to her attention by the tenant.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While the Occupiers Liability Act imposes a duty of reasonable inspection on both the landlord and tenant of a premises, the standard of reasonableness to which each party will be held must be determined according to the respective position and responsibilities of each party. It is the landlord who observes the evolution of a home through multiple tenancies, and witnesses structural alterations and additions to the premises. The landlord also has the legal responsibility for maintaining and repairing the premises, and exercises his duty of inspection as an incident of that broader duty to repair. </w:t>
      </w:r>
      <w:r>
        <w:rPr>
          <w:rFonts w:ascii="arial" w:eastAsia="arial" w:hAnsi="arial" w:cs="arial"/>
          <w:b/>
          <w:color w:val="000000"/>
          <w:sz w:val="20"/>
          <w:lang w:val="en-US" w:eastAsia="en-US" w:bidi="ar-SA"/>
        </w:rPr>
        <w:t>These factors will generally elevate the standard of reasonable inspection imposed on a landlord above that imposed on a tenant, particularly where the inspection relates to a structural defect that existed prior to the current tenancy.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In the case before me, the hazard was created by an earlier tenant and was a lurking hazard. The Cabinet was a fixture and became the property of Mr. Wong and Ms. Lai. Ms. Wong's inspections were superficial. In effect, little, if any, consideration was given to hazards that might exist in the Premises. Ms. Wong depended on someone bringing a problem to her attention and did not take reasonable steps to assess the safety of the Premises on her own initiative. The inspections were not carried out as frequently as they should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I am persuaded that a reasonable inspection could have, and more importantly, should have been made immediately prior to the infant plaintiff's parents commencing their tenancy. Had such an inspection been carried out with reasonable diligence, it would have shown the lurking hazard posed by the Cabinet.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Ms. Wong had exclusive responsibility for rental of the Property for 15 years prior to the Incident. She was in the unique position of having observed the evolution of the Premises through multiple tenancies and repairs and alterations.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She conducted ten cursory inspections of the Property between the time it was purchased in 1992 until the time she was examined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xml:space="preserve">  Ms. Wong did nothing to educate herself about her legal responsibilities as a property manager despite the availability of resources for landlords and property managers. She did not know what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was at the time of her examination for discovery. She has never taken training or schooling for property management. She did not bother to review the Property Inspection Report after her brother purchased the property and she agreed to be a property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She never requested a full electrical inspection of the house despite the fact she was aware that the Property had been built in late 1950s and there was no indication that the electrical system had ever been upgraded. The Golden Leaf electrical inspection related to a tripping breaker was conducted at the suggestion of the insurance company but it was specific to certain breakers and appliances which did not include the Cabinet.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I find that a reasonable property manager would have requested an overall electrical inspection at that time knowing that the electrical system was likely over 45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Ms. Wong has no policy for regular maintenance or inspections. She waited for complaints. When she conducted inspections she was not particularly looking for hazards or dangers. She did not look in every drawer of the Cabinet ever in all these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The back of Receptacle #2 and #3 were plain to see when the Cabinet was empty which it would have been in between each tenancy. It is not known when the modification to the Cabinet was made but it is known that the modification existed when Mr. Gower moved in to the Premises and he did not make the modification. That means that, at a minimum, Ms. Wong had the opportunity to see the back of Receptacle #2 and #3 when the tenant before Mr. Gower moved out, when Mr. Gower moved in and out and when Mr. Boyes and Jennifer Searcy moved in to the Premises. Yet she never saw the back of Receptacle #2 or #3 and she certainly never bent down to look under the Cabinet. I think it is fair to say that if no one made a complaint, Ms. Wong did not feel obliged to conduct further inspection or repair. I accept Ms. Wong's evidence that no one did complain about the wiring of the Cabinet until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I agree with the submissions by counsel for the defendants that by themselves, Receptacle #2 and #3 posed no hazard but they were not by themselves. Receptacle #2 either had the Extension Cord inserted into one of the female receptacles or the Extension Cord was lying on the floor underneath it. Either way, that situation should have led to a chain of inquiry which would have revealed the hazard once an electrician had been hired to inspect the Cabinet.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xml:space="preserve">  Ms. Wong had an obligation to inspect the Property for hazards even if they were not drawn to her attention. </w:t>
      </w:r>
      <w:r>
        <w:rPr>
          <w:rFonts w:ascii="arial" w:eastAsia="arial" w:hAnsi="arial" w:cs="arial"/>
          <w:i/>
          <w:color w:val="000000"/>
          <w:sz w:val="20"/>
          <w:lang w:val="en-US" w:eastAsia="en-US" w:bidi="ar-SA"/>
        </w:rPr>
        <w:t>Tolea</w:t>
      </w:r>
      <w:r>
        <w:rPr>
          <w:rFonts w:ascii="arial" w:eastAsia="arial" w:hAnsi="arial" w:cs="arial"/>
          <w:color w:val="000000"/>
          <w:sz w:val="20"/>
          <w:lang w:val="en-US" w:eastAsia="en-US" w:bidi="ar-SA"/>
        </w:rPr>
        <w:t xml:space="preserve"> at para. 61(5). Ms. Wong did not meet that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xml:space="preserve">  Mr. Wong and Ms. Lai are owners who delegated all of their authority with respect to the Property to their agent Ms. Wong. They are vicariously liable for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 addition liable directly under s. 32 of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for their failure to provide and maintain a residential property in a state of decoration and repair that complies with health and safety standards required by law in regard to the age, character and location of the rental unit to make it suitable for occupation by a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They did nothing to determine whether Ms. Wong was qualified to manage the Property. They took no steps to understand what the laws were in British Columbia for inspecting resident rental property. They rarely spoke with Ms. Wong and took no responsibility whatsoever in ensuring the safety of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Mr. Wong did not read the Property Inspection Report obtained by Ms. Leung. He never visited the Property. I think that it is fair to say that he abdicated all responsibility and clearly did not meet the standard of care expected of landlords. Ms. Lai was content to rely entirely on Mr. Wong and Ms. Wong to take care of the Property despite the fact that she is a half owner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xml:space="preserve">  I find that Ms. Wong, Mr. Wong and Ms. Lai did not meet the standard of care expected of a landlord/property manager under either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xml:space="preserve">  With regard to causation, a plaintiff must show, on the balance of probabilities, that a defendant's failure to meet the standard of care caused him/her injuries. The primary test for causation is the "but for" test which asks: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xml:space="preserve">  A plaintiff does not need to establish that the defendant's wrongful conduct is the sole cause of the injury. So long as the plaintiff proves a substantial connection between the injuries and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the defendant will be fully liable for the harm suffered, even if other causal factors for the defendant is not responsible for were at play in producing the harm: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xml:space="preserve">  The law on causation was considered by McLaughlin C.J.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The foregoing discussion leads me to the following conclusions as to the present state of the law in Canada:</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general rule, a plaintiff cannot succeed unless she shows as a matter of fact that she would not have suffered the loss "but for" the negligent act or acts of the defendant. A trial judge is to take a robust and pragmatic approach to determining if a plaintiff has established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her loss. Scientific proof of causation is not required.</w:t>
      </w:r>
    </w:p>
    <w:p>
      <w:pPr>
        <w:numPr>
          <w:numId w:val="8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Exceptionally, a plaintiff may succeed by showing that the defendant's conduct materially contributed to risk of the plaintiff's injury, where (a) the plaintiff has established that her loss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two or more tortfeasors, each possibly in fact responsible for the loss; and (b) the plaintiff, through no fault of her own, is unable to show that any one of the possible tortfeasors in fact was the necessary or "but for" cause of her injury, because each can point to one another as the possible "but for" cause of the injury, defeating a finding of causation on a balance of probabilities against anyone.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Martin Coles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Mr. Coles, the electrical engineer who prepared a report on behalf of the plaintiff, gave the opinion that the Extension Cord is hazardous because it could result in fire or serious injury to a person. Mr. Coles further opined at p. 13 of Exhibit 7 that the injuries sustained by the infant plaintiff were consistent with her putting her mouth on the Extension Cord: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our understanding that the Cora Boyes was injured at the age of ten months while she was playing a hiding game with her aunt, Candice Searcy. Her injuries included severe burns to her mouth, gums, tongue, palate, teeth, and her left index finger. These injuries are consistent with the Cora Boyes having taken hold of and energized the exposed plug in her left hand, possibly touching one blade with her index finger and placing the plug in her mouth. In such a scenario, electrical current would flow across the tissues of her mouth, wet with saliva, from one blade to the other. Electrical current appears to have also flowed from one blade, through her body from her mouth to her hand where she was touching the other blade.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Mr. Coles also explained how the standard North American household voltage of 110v in the mouth could reasonably create a current between the plug blades of 11 amps and a reasonable value of current from the mouth to the fingertip of 0.055 amps or 55 milliamps. Eleven amps would be expected to produce significant heat, causing burns and other injuries. Relatively small currents such as 55 milliamps, if they travel through the body, can disrupt the respiratory and cardiac systems.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Mr. Coles explained that current is arrived at by calculating voltage over resistance. A wet environment creates far less resistance than a dry environment. The outside of the body is not a good conductor but the inside of a mouth is. That is why the Extension Cord might not shock a finger but could cause horrible damage to a mouth.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He said in his report that it is possible that this Incident did not involve sufficient current to trip the circuit breaker but still caused the injuries that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In his conclusion, Mr. Coles said that extension cords with two male ends are not commercially available and are a violation of the Canadian Electrical Code and have consistently been so since 1958 or earlier. There is no legitimate reason to create an extension cord with two male ends and such cords constitute a major safety hazard. They pose a risk of fire, as well as electric shock risk from personal contact with the exposed energized plug blades.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Although Mr. Cole was cross-examined, none of the defendants challenged his conclusions that the Extension Cord caused the injuries suffered by the infant plaintiff and no one challenged his calculation of the electrical current she was exposed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 of Causation and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When Candice Searcy lifted the non-responsive body of the infant plaintiff up from the floor beside the right end of the Cabinet on August 24, 2007, she saw the male end of the Extension Cord underneath where the infant plaintiff's face had been. The skin around the infant plaintiff's mouth had turned white and yellow showing immediate disintegration of the skin of her mouth and lip.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I find that the Extension Cord caused the damage to the infant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It is unknown who installed this double male ended Extension Cord into the Cabinet. The person who created this hazard is clearly responsible for causing these horrible injuries. So too is the person who allowed this hazardous situation to remain in the Premises for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xml:space="preserve">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Wong, Mr. Wong and Ms. Lai, the injuries to the infant plaintiff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xml:space="preserve">  The infant plaintiff does not need to establish that the defendants' wrongful conduct was the sole cause of the injury. The infant plaintiff need only prove a substantial connection between the injuries and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The defendants Ms. Wong, Mr. Wong and Ms. Lai are found to be fully liable for the harm suffered, despite the fact that they did not install this hazardous Extension Cord: </w:t>
      </w:r>
      <w:r>
        <w:rPr>
          <w:rFonts w:ascii="arial" w:eastAsia="arial" w:hAnsi="arial" w:cs="arial"/>
          <w:i/>
          <w:color w:val="000000"/>
          <w:sz w:val="20"/>
          <w:lang w:val="en-US" w:eastAsia="en-US" w:bidi="ar-SA"/>
        </w:rPr>
        <w:t>Athey.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xml:space="preserve">  At para. 16 in </w:t>
      </w:r>
      <w:r>
        <w:rPr>
          <w:rFonts w:ascii="arial" w:eastAsia="arial" w:hAnsi="arial" w:cs="arial"/>
          <w:i/>
          <w:color w:val="000000"/>
          <w:sz w:val="20"/>
          <w:lang w:val="en-US" w:eastAsia="en-US" w:bidi="ar-SA"/>
        </w:rPr>
        <w:t>Klajch</w:t>
      </w:r>
      <w:r>
        <w:rPr>
          <w:rFonts w:ascii="arial" w:eastAsia="arial" w:hAnsi="arial" w:cs="arial"/>
          <w:color w:val="000000"/>
          <w:sz w:val="20"/>
          <w:lang w:val="en-US" w:eastAsia="en-US" w:bidi="ar-SA"/>
        </w:rPr>
        <w:t xml:space="preserve"> the trial judge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I am persuaded that a reasonable inspection could have, and more importantly should have, been made immediately prior to the plaintiff's commencing their tenancy. Had such an inspection been carried out with reasonable diligence, it would have shown the lurking hazard posed by the Planter.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I am persuaded that had a reasonable inspection by Ms. Wong been carried out with reasonable diligence, it would have led to the chain of inquiry I have referred to above which reasonably would have led to her retaining the services of an electrician to inspect this Cabinet. I am certain that an electrician with those instructions would have discovered the hazard and decommissioned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xml:space="preserve">  The hazard was there to be seen likely for years. It wasn't discovered because Ms. Wong conducted very superficial cursory inspections and relied on tenants to draw concerns to her attention. In </w:t>
      </w:r>
      <w:r>
        <w:rPr>
          <w:rFonts w:ascii="arial" w:eastAsia="arial" w:hAnsi="arial" w:cs="arial"/>
          <w:i/>
          <w:color w:val="000000"/>
          <w:sz w:val="20"/>
          <w:lang w:val="en-US" w:eastAsia="en-US" w:bidi="ar-SA"/>
        </w:rPr>
        <w:t>Klajch</w:t>
      </w:r>
      <w:r>
        <w:rPr>
          <w:rFonts w:ascii="arial" w:eastAsia="arial" w:hAnsi="arial" w:cs="arial"/>
          <w:color w:val="000000"/>
          <w:sz w:val="20"/>
          <w:lang w:val="en-US" w:eastAsia="en-US" w:bidi="ar-SA"/>
        </w:rPr>
        <w:t xml:space="preserve"> the Court of Appeal held at para. 17 that the landlord's duty is not confined to defects that have been brought to his attention by the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The risk of injury from electric shock caused by an exposed energized cord is clearly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Mr. Wong and Ms. Lai are vicariously liable for the actions of their property manager who is acting as their agent in the execution of her duties. They are also liable for their failure to take reasonable care in ensuring that the Premises was safe. They failed in their obligation to appoint a trained experienced property manager and to take reasonable interest in the maintenance and repair of the Premises. Clearly they did not do so and the evidence is that they spoke to their property manager less than once a year. To date, the infant plaintiff calculates that Mr. Wong and Ms. Lai have earned over $575,000 in gross rental income. They could well afford to hire a professional property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I accept the infant plaintiff's submission that the purpose of an owner ensuring they hire competent property manager to manage the property is to ensure that their property will be reasonably safe for the tenants. If an owner does not hire a competent property manager it is foreseeable that tenants could be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Although I intend to deal with the third party claim against Ms. Ryckman under that heading, I will address the issue of causation here. I found that Receptacle #1 was more likely than not installed in the Cabinet during Ms. Ryckman's ownership and occupation. The electricians have said that it did not meet electrical codes. The fact that it was concealed created a hazard because no one could inspect it and ensure that it was still in working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I found that that Receptacle #1 was used to energize a power cord which sat behind the television and provided energy to the rest of the Cabinet. Had that configuration remained, I find that this Incident would not have occurred. I therefore find that the construction of Receptacle #1 during the occupancy of Ms. Ryckman is too remote to the infant plaintiff's injuries to establish causation. When Receptacle #1 was constructed, it was not foreseeable that someone would create a very unusual two male ended Extension Cord and leave one of the energized male ends exposed.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APPORTIONMENT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xml:space="preserve">  Groves, J. provides a helpful review of the law as it related to apportioning liability in </w:t>
      </w:r>
      <w:r>
        <w:rPr>
          <w:rFonts w:ascii="arial" w:eastAsia="arial" w:hAnsi="arial" w:cs="arial"/>
          <w:i/>
          <w:color w:val="000000"/>
          <w:sz w:val="20"/>
          <w:lang w:val="en-US" w:eastAsia="en-US" w:bidi="ar-SA"/>
        </w:rPr>
        <w:t>Aberdeen v. Township of Langley, Zanatta, Cassels</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2007 BCSC 993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Aberdeen</w:t>
      </w:r>
      <w:r>
        <w:rPr>
          <w:rFonts w:ascii="arial" w:eastAsia="arial" w:hAnsi="arial" w:cs="arial"/>
          <w:color w:val="000000"/>
          <w:sz w:val="20"/>
          <w:lang w:val="en-US" w:eastAsia="en-US" w:bidi="ar-SA"/>
        </w:rPr>
        <w:t>]. He starts at para. 54 and 55 with the basic statement of the law:</w:t>
      </w:r>
      <w:r>
        <w:rPr>
          <w:rFonts w:ascii="arial" w:eastAsia="arial" w:hAnsi="arial" w:cs="arial"/>
          <w:sz w:val="20"/>
          <w:lang w:val="en-US" w:eastAsia="en-US" w:bidi="ar-SA"/>
        </w:rPr>
        <w:cr/>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Apportionment of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The parties are essentially in agreement with respect to the law on the apportionment of liability as discussed below. In particular, they agree that the apportionment of liability pursuant to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should be made based on a consideration of the degree to which each party is at fault, and not the degree to which each party's fault caused the plaintiff's loss (as detailed by Lambert J.A. in </w:t>
      </w:r>
      <w:r>
        <w:rPr>
          <w:rFonts w:ascii="arial" w:eastAsia="arial" w:hAnsi="arial" w:cs="arial"/>
          <w:b/>
          <w:i/>
          <w:color w:val="000000"/>
          <w:sz w:val="20"/>
          <w:lang w:val="en-US" w:eastAsia="en-US" w:bidi="ar-SA"/>
        </w:rPr>
        <w:t>Cempel v. Harrison Hot Springs</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(1997), 43 B.C.L.R. (3d) 219</w:t>
        </w:r>
      </w:hyperlink>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100 B.C.A.C. 212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Before an apportionment of liability can be considered, it must be established that each relevant act or omission was a legal cause of the plaintiff's loss (see </w:t>
      </w:r>
      <w:r>
        <w:rPr>
          <w:rFonts w:ascii="arial" w:eastAsia="arial" w:hAnsi="arial" w:cs="arial"/>
          <w:i/>
          <w:color w:val="000000"/>
          <w:sz w:val="20"/>
          <w:lang w:val="en-US" w:eastAsia="en-US" w:bidi="ar-SA"/>
        </w:rPr>
        <w:t>e.g.</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Heller v. Martens</w:t>
      </w:r>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(2002), 213 D.L.R. (4th) 124</w:t>
        </w:r>
      </w:hyperlink>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2002 ABCA 122</w:t>
        </w:r>
      </w:hyperlink>
      <w:r>
        <w:rPr>
          <w:rFonts w:ascii="arial" w:eastAsia="arial" w:hAnsi="arial" w:cs="arial"/>
          <w:color w:val="000000"/>
          <w:sz w:val="20"/>
          <w:lang w:val="en-US" w:eastAsia="en-US" w:bidi="ar-SA"/>
        </w:rPr>
        <w:t xml:space="preserve"> at para 31; </w:t>
      </w:r>
      <w:r>
        <w:rPr>
          <w:rFonts w:ascii="arial" w:eastAsia="arial" w:hAnsi="arial" w:cs="arial"/>
          <w:b/>
          <w:i/>
          <w:color w:val="000000"/>
          <w:sz w:val="20"/>
          <w:lang w:val="en-US" w:eastAsia="en-US" w:bidi="ar-SA"/>
        </w:rPr>
        <w:t>Vigoren v. Nystuen</w:t>
      </w:r>
      <w:r>
        <w:rPr>
          <w:rFonts w:ascii="arial" w:eastAsia="arial" w:hAnsi="arial" w:cs="arial"/>
          <w:color w:val="000000"/>
          <w:sz w:val="20"/>
          <w:lang w:val="en-US" w:eastAsia="en-US" w:bidi="ar-SA"/>
        </w:rPr>
        <w:t xml:space="preserve"> </w:t>
      </w:r>
      <w:hyperlink r:id="rId963" w:history="1">
        <w:r>
          <w:rPr>
            <w:rFonts w:ascii="arial" w:eastAsia="arial" w:hAnsi="arial" w:cs="arial"/>
            <w:i/>
            <w:color w:val="0077CC"/>
            <w:sz w:val="20"/>
            <w:u w:val="single"/>
            <w:shd w:val="clear" w:color="auto" w:fill="FFFFFF"/>
            <w:lang w:val="en-US" w:eastAsia="en-US" w:bidi="ar-SA"/>
          </w:rPr>
          <w:t>(2006), 266 D.L.R. (4th) 634</w:t>
        </w:r>
      </w:hyperlink>
      <w:r>
        <w:rPr>
          <w:rFonts w:ascii="arial" w:eastAsia="arial" w:hAnsi="arial" w:cs="arial"/>
          <w:color w:val="000000"/>
          <w:sz w:val="20"/>
          <w:lang w:val="en-US" w:eastAsia="en-US" w:bidi="ar-SA"/>
        </w:rPr>
        <w:t xml:space="preserve">, </w:t>
      </w:r>
      <w:hyperlink r:id="rId963" w:history="1">
        <w:r>
          <w:rPr>
            <w:rFonts w:ascii="arial" w:eastAsia="arial" w:hAnsi="arial" w:cs="arial"/>
            <w:i/>
            <w:color w:val="0077CC"/>
            <w:sz w:val="20"/>
            <w:u w:val="single"/>
            <w:shd w:val="clear" w:color="auto" w:fill="FFFFFF"/>
            <w:lang w:val="en-US" w:eastAsia="en-US" w:bidi="ar-SA"/>
          </w:rPr>
          <w:t>2006 SKCA 47</w:t>
        </w:r>
      </w:hyperlink>
      <w:r>
        <w:rPr>
          <w:rFonts w:ascii="arial" w:eastAsia="arial" w:hAnsi="arial" w:cs="arial"/>
          <w:color w:val="000000"/>
          <w:sz w:val="20"/>
          <w:lang w:val="en-US" w:eastAsia="en-US" w:bidi="ar-SA"/>
        </w:rPr>
        <w:t xml:space="preserve"> at para 89). In this case, as explained above,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both Langley and Zanatta caused the plaintiff's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xml:space="preserve">  There is no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infant plaintiff. I have determined that both the owners Mr. Wong and Ms. Lai and the property manager Ms. Wong were negligent and that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the injuries of the infant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xml:space="preserve">  Section 4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applies.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4</w:t>
      </w:r>
      <w:r>
        <w:rPr>
          <w:rFonts w:ascii="arial" w:eastAsia="arial" w:hAnsi="arial" w:cs="arial"/>
          <w:color w:val="000000"/>
          <w:sz w:val="20"/>
          <w:lang w:val="en-US" w:eastAsia="en-US" w:bidi="ar-SA"/>
        </w:rPr>
        <w:t xml:space="preserve"> (1) If damage or loss has been caused by the fault of 2 or more persons, the court must determine the degree to which each person was at fault.</w:t>
      </w:r>
    </w:p>
    <w:p>
      <w:pPr>
        <w:numPr>
          <w:numId w:val="8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provided in section 5 if 2 or more persons are found at fault</w:t>
      </w:r>
    </w:p>
    <w:p>
      <w:pPr>
        <w:numPr>
          <w:numId w:val="9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jointly and severally liable to the person suffering the damage or loss, and</w:t>
      </w:r>
    </w:p>
    <w:p>
      <w:pPr>
        <w:numPr>
          <w:numId w:val="9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themselves, in the absence of a contract express or implied, they are liable to contribute to and indemnify each other in the degree to which they are respectively found to have been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The factors the court considers in assessing comparative blameworthiness of the parties include:</w:t>
      </w:r>
      <w:r>
        <w:rPr>
          <w:rFonts w:ascii="arial" w:eastAsia="arial" w:hAnsi="arial" w:cs="arial"/>
          <w:sz w:val="20"/>
          <w:lang w:val="en-US" w:eastAsia="en-US" w:bidi="ar-SA"/>
        </w:rPr>
        <w:cr/>
      </w:r>
    </w:p>
    <w:p>
      <w:pPr>
        <w:numPr>
          <w:numId w:val="9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nature of the duty owed by the tortfeasor to the injured person: Aynsley v. Toronto General Hospital, </w:t>
      </w:r>
      <w:hyperlink r:id="rId964" w:history="1">
        <w:r>
          <w:rPr>
            <w:rFonts w:ascii="arial" w:eastAsia="arial" w:hAnsi="arial" w:cs="arial"/>
            <w:i/>
            <w:color w:val="0077CC"/>
            <w:sz w:val="20"/>
            <w:u w:val="single"/>
            <w:shd w:val="clear" w:color="auto" w:fill="FFFFFF"/>
            <w:lang w:val="en-US" w:eastAsia="en-US" w:bidi="ar-SA"/>
          </w:rPr>
          <w:t>[1968] 1 O.R. 425</w:t>
        </w:r>
      </w:hyperlink>
      <w:r>
        <w:rPr>
          <w:rFonts w:ascii="arial" w:eastAsia="arial" w:hAnsi="arial" w:cs="arial"/>
          <w:color w:val="000000"/>
          <w:sz w:val="20"/>
          <w:lang w:val="en-US" w:eastAsia="en-US" w:bidi="ar-SA"/>
        </w:rPr>
        <w:t xml:space="preserve"> at 444-45 (C.A.), aff'd </w:t>
      </w:r>
      <w:hyperlink r:id="rId965" w:history="1">
        <w:r>
          <w:rPr>
            <w:rFonts w:ascii="arial" w:eastAsia="arial" w:hAnsi="arial" w:cs="arial"/>
            <w:i/>
            <w:color w:val="0077CC"/>
            <w:sz w:val="20"/>
            <w:u w:val="single"/>
            <w:shd w:val="clear" w:color="auto" w:fill="FFFFFF"/>
            <w:lang w:val="en-US" w:eastAsia="en-US" w:bidi="ar-SA"/>
          </w:rPr>
          <w:t>[1972] S.C.R. 435</w:t>
        </w:r>
      </w:hyperlink>
      <w:r>
        <w:rPr>
          <w:rFonts w:ascii="arial" w:eastAsia="arial" w:hAnsi="arial" w:cs="arial"/>
          <w:color w:val="000000"/>
          <w:sz w:val="20"/>
          <w:lang w:val="en-US" w:eastAsia="en-US" w:bidi="ar-SA"/>
        </w:rPr>
        <w:t xml:space="preserve">; Arnold v. Teno, </w:t>
      </w:r>
      <w:hyperlink r:id="rId966" w:history="1">
        <w:r>
          <w:rPr>
            <w:rFonts w:ascii="arial" w:eastAsia="arial" w:hAnsi="arial" w:cs="arial"/>
            <w:i/>
            <w:color w:val="0077CC"/>
            <w:sz w:val="20"/>
            <w:u w:val="single"/>
            <w:shd w:val="clear" w:color="auto" w:fill="FFFFFF"/>
            <w:lang w:val="en-US" w:eastAsia="en-US" w:bidi="ar-SA"/>
          </w:rPr>
          <w:t>[1978] 2 S.C.R. 287</w:t>
        </w:r>
      </w:hyperlink>
      <w:r>
        <w:rPr>
          <w:rFonts w:ascii="arial" w:eastAsia="arial" w:hAnsi="arial" w:cs="arial"/>
          <w:color w:val="000000"/>
          <w:sz w:val="20"/>
          <w:lang w:val="en-US" w:eastAsia="en-US" w:bidi="ar-SA"/>
        </w:rPr>
        <w:t>.</w:t>
      </w:r>
    </w:p>
    <w:p>
      <w:pPr>
        <w:numPr>
          <w:numId w:val="9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number of acts of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committed by a person at fault: Bruce v. McIntyre, </w:t>
      </w:r>
      <w:hyperlink r:id="rId967" w:history="1">
        <w:r>
          <w:rPr>
            <w:rFonts w:ascii="arial" w:eastAsia="arial" w:hAnsi="arial" w:cs="arial"/>
            <w:i/>
            <w:color w:val="0077CC"/>
            <w:sz w:val="20"/>
            <w:u w:val="single"/>
            <w:shd w:val="clear" w:color="auto" w:fill="FFFFFF"/>
            <w:lang w:val="en-US" w:eastAsia="en-US" w:bidi="ar-SA"/>
          </w:rPr>
          <w:t>[1954] 2 D.L.R. 799</w:t>
        </w:r>
      </w:hyperlink>
      <w:r>
        <w:rPr>
          <w:rFonts w:ascii="arial" w:eastAsia="arial" w:hAnsi="arial" w:cs="arial"/>
          <w:color w:val="000000"/>
          <w:sz w:val="20"/>
          <w:lang w:val="en-US" w:eastAsia="en-US" w:bidi="ar-SA"/>
        </w:rPr>
        <w:t xml:space="preserve"> (C.A.), aff'd </w:t>
      </w:r>
      <w:hyperlink r:id="rId968" w:history="1">
        <w:r>
          <w:rPr>
            <w:rFonts w:ascii="arial" w:eastAsia="arial" w:hAnsi="arial" w:cs="arial"/>
            <w:i/>
            <w:color w:val="0077CC"/>
            <w:sz w:val="20"/>
            <w:u w:val="single"/>
            <w:shd w:val="clear" w:color="auto" w:fill="FFFFFF"/>
            <w:lang w:val="en-US" w:eastAsia="en-US" w:bidi="ar-SA"/>
          </w:rPr>
          <w:t>[1955] S.C.R. 251</w:t>
        </w:r>
      </w:hyperlink>
      <w:r>
        <w:rPr>
          <w:rFonts w:ascii="arial" w:eastAsia="arial" w:hAnsi="arial" w:cs="arial"/>
          <w:color w:val="000000"/>
          <w:sz w:val="20"/>
          <w:lang w:val="en-US" w:eastAsia="en-US" w:bidi="ar-SA"/>
        </w:rPr>
        <w:t>.</w:t>
      </w:r>
    </w:p>
    <w:p>
      <w:pPr>
        <w:numPr>
          <w:numId w:val="9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timing of the various negligent acts. For example, the party who first commits a negligent act will usually be more at fault than the party whose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comes as a result of the initial fault: Aynsley, supra.</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nature of the conduct held to amount to fault. For example, indifference to the results of the conduct may be more blameworthy: </w:t>
      </w:r>
      <w:r>
        <w:rPr>
          <w:rFonts w:ascii="arial" w:eastAsia="arial" w:hAnsi="arial" w:cs="arial"/>
          <w:i/>
          <w:color w:val="000000"/>
          <w:sz w:val="20"/>
          <w:lang w:val="en-US" w:eastAsia="en-US" w:bidi="ar-SA"/>
        </w:rPr>
        <w:t>Chamberland v. Fleming</w:t>
      </w:r>
      <w:r>
        <w:rPr>
          <w:rFonts w:ascii="arial" w:eastAsia="arial" w:hAnsi="arial" w:cs="arial"/>
          <w:color w:val="000000"/>
          <w:sz w:val="20"/>
          <w:lang w:val="en-US" w:eastAsia="en-US" w:bidi="ar-SA"/>
        </w:rPr>
        <w:t xml:space="preserve"> </w:t>
      </w:r>
      <w:hyperlink r:id="rId969" w:history="1">
        <w:r>
          <w:rPr>
            <w:rFonts w:ascii="arial" w:eastAsia="arial" w:hAnsi="arial" w:cs="arial"/>
            <w:i/>
            <w:color w:val="0077CC"/>
            <w:sz w:val="20"/>
            <w:u w:val="single"/>
            <w:shd w:val="clear" w:color="auto" w:fill="FFFFFF"/>
            <w:lang w:val="en-US" w:eastAsia="en-US" w:bidi="ar-SA"/>
          </w:rPr>
          <w:t>(1984), 12 D.L.R. (4th) 688</w:t>
        </w:r>
      </w:hyperlink>
      <w:r>
        <w:rPr>
          <w:rFonts w:ascii="arial" w:eastAsia="arial" w:hAnsi="arial" w:cs="arial"/>
          <w:color w:val="000000"/>
          <w:sz w:val="20"/>
          <w:lang w:val="en-US" w:eastAsia="en-US" w:bidi="ar-SA"/>
        </w:rPr>
        <w:t xml:space="preserve"> (Alta. Q.B.) (where the driver of a motor boat sped by a canoe causing it to tip, and the canoeist to drown). Similarly, a deliberate departure from safety rules may be more blameworthy than an imperfect reaction to a crisis: see John G. Fleming, The Law of Torts, 8th ed. (Sydney: Law Book Company, 1992) at 273-74.</w:t>
      </w:r>
    </w:p>
    <w:p>
      <w:pPr>
        <w:numPr>
          <w:numId w:val="9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extent to which the conduct breaches statutory requirements. For example, in a motor vehicle collision, the driver of the vehicle with the right of way may be less blameworthy: </w:t>
      </w:r>
      <w:r>
        <w:rPr>
          <w:rFonts w:ascii="arial" w:eastAsia="arial" w:hAnsi="arial" w:cs="arial"/>
          <w:i/>
          <w:color w:val="000000"/>
          <w:sz w:val="20"/>
          <w:lang w:val="en-US" w:eastAsia="en-US" w:bidi="ar-SA"/>
        </w:rPr>
        <w:t>Crothers v. Northern Taxi</w:t>
      </w:r>
      <w:r>
        <w:rPr>
          <w:rFonts w:ascii="arial" w:eastAsia="arial" w:hAnsi="arial" w:cs="arial"/>
          <w:color w:val="000000"/>
          <w:sz w:val="20"/>
          <w:lang w:val="en-US" w:eastAsia="en-US" w:bidi="ar-SA"/>
        </w:rPr>
        <w:t xml:space="preserve"> </w:t>
      </w:r>
      <w:hyperlink r:id="rId970" w:history="1">
        <w:r>
          <w:rPr>
            <w:rFonts w:ascii="arial" w:eastAsia="arial" w:hAnsi="arial" w:cs="arial"/>
            <w:i/>
            <w:color w:val="0077CC"/>
            <w:sz w:val="20"/>
            <w:u w:val="single"/>
            <w:shd w:val="clear" w:color="auto" w:fill="FFFFFF"/>
            <w:lang w:val="en-US" w:eastAsia="en-US" w:bidi="ar-SA"/>
          </w:rPr>
          <w:t>(1957), 10 D.L.R. (2d) 87</w:t>
        </w:r>
      </w:hyperlink>
      <w:r>
        <w:rPr>
          <w:rFonts w:ascii="arial" w:eastAsia="arial" w:hAnsi="arial" w:cs="arial"/>
          <w:color w:val="000000"/>
          <w:sz w:val="20"/>
          <w:lang w:val="en-US" w:eastAsia="en-US" w:bidi="ar-SA"/>
        </w:rPr>
        <w:t xml:space="preserve"> at 100 (Man. C.A.); see also </w:t>
      </w:r>
      <w:r>
        <w:rPr>
          <w:rFonts w:ascii="arial" w:eastAsia="arial" w:hAnsi="arial" w:cs="arial"/>
          <w:i/>
          <w:color w:val="000000"/>
          <w:sz w:val="20"/>
          <w:lang w:val="en-US" w:eastAsia="en-US" w:bidi="ar-SA"/>
        </w:rPr>
        <w:t>Clyke v. Blenkhorne</w:t>
      </w:r>
      <w:r>
        <w:rPr>
          <w:rFonts w:ascii="arial" w:eastAsia="arial" w:hAnsi="arial" w:cs="arial"/>
          <w:color w:val="000000"/>
          <w:sz w:val="20"/>
          <w:lang w:val="en-US" w:eastAsia="en-US" w:bidi="ar-SA"/>
        </w:rPr>
        <w:t xml:space="preserve"> </w:t>
      </w:r>
      <w:hyperlink r:id="rId971" w:history="1">
        <w:r>
          <w:rPr>
            <w:rFonts w:ascii="arial" w:eastAsia="arial" w:hAnsi="arial" w:cs="arial"/>
            <w:i/>
            <w:color w:val="0077CC"/>
            <w:sz w:val="20"/>
            <w:u w:val="single"/>
            <w:shd w:val="clear" w:color="auto" w:fill="FFFFFF"/>
            <w:lang w:val="en-US" w:eastAsia="en-US" w:bidi="ar-SA"/>
          </w:rPr>
          <w:t>(1958), 13 D.L.R. (2d) 293</w:t>
        </w:r>
      </w:hyperlink>
      <w:r>
        <w:rPr>
          <w:rFonts w:ascii="arial" w:eastAsia="arial" w:hAnsi="arial" w:cs="arial"/>
          <w:color w:val="000000"/>
          <w:sz w:val="20"/>
          <w:lang w:val="en-US" w:eastAsia="en-US" w:bidi="ar-SA"/>
        </w:rPr>
        <w:t xml:space="preserve"> at 304 (NSSC).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Heller v. Martins,</w:t>
      </w:r>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2002 ABCA 122</w:t>
        </w:r>
      </w:hyperlink>
      <w:r>
        <w:rPr>
          <w:rFonts w:ascii="arial" w:eastAsia="arial" w:hAnsi="arial" w:cs="arial"/>
          <w:color w:val="000000"/>
          <w:sz w:val="20"/>
          <w:lang w:val="en-US" w:eastAsia="en-US" w:bidi="ar-SA"/>
        </w:rPr>
        <w:t xml:space="preserve">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xml:space="preserve">  To that list Groves,J., in </w:t>
      </w:r>
      <w:r>
        <w:rPr>
          <w:rFonts w:ascii="arial" w:eastAsia="arial" w:hAnsi="arial" w:cs="arial"/>
          <w:i/>
          <w:color w:val="000000"/>
          <w:sz w:val="20"/>
          <w:lang w:val="en-US" w:eastAsia="en-US" w:bidi="ar-SA"/>
        </w:rPr>
        <w:t>Aberdeen</w:t>
      </w:r>
      <w:r>
        <w:rPr>
          <w:rFonts w:ascii="arial" w:eastAsia="arial" w:hAnsi="arial" w:cs="arial"/>
          <w:color w:val="000000"/>
          <w:sz w:val="20"/>
          <w:lang w:val="en-US" w:eastAsia="en-US" w:bidi="ar-SA"/>
        </w:rPr>
        <w:t xml:space="preserve"> at para. 63, added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gravity of the risk created;</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opportunity to avoid or prevent the accident or damaged;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8..whether the conduct in question was deliberate, or unusual or unexpected; and</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knowledge one person had or should have had of the conduct of another person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In exchange for a collection of rent money, the most basic obligation of a landlord/owner is to provide tenants with a reasonably safe place to live (Garth Cambrey, property manager). The hazardous receptacles were there to be seen by Ms. Wong. Ms. Wong, Mr. Wong and Ms. Lai owed the infant plaintiff a duty of care to have in place a reasonable system of maintenance and inspection of the Property and they were negligent in their failure to do so. The casual walk-through with the tenants did not discharge this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Mr. Wong and Ms. Lai clearly abdicated their obligation as offshore property owners to take steps to hire a properly qualified property manager. They took no steps whatsoever to assess whether Ms. Wong had any sense of a property manager's obligation. They failed to research their obligation as owners of rental property in British Columbia. It is apparent that they were grossly indifferent to their duties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They have never attended at the Property despite numerous visits to the house across the street where Ms. Leung resides. It appears to me that Ms. Wong, Mr. Wong and Ms. Lai were indifferent to their obligations to their tenants.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In assessing the gravity of the risk created, the hazard was an extreme hazard and although it may not have been immediately ascertainable it was detectable with a basic visual inspection and further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It is difficult to assess the extent of the opportunity to avoid or prevent the Incident or damage that is apparent that the owners and property manager had, because I do not know when the modification was made to the Cabinet. I do know that the modifications existed at the time Mr. Gower moved into the Property in 2005 so the owners and property manager had at least two years, if not more, to discover the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xml:space="preserve">  I agree that Mr. Wong and Ms. Lai cannot claim ignorance as a defence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They took no steps whatsoever to ensure that they had retained a knowledgeable property manager and they took no steps whatsoever to ensure that Ms. Wong was aware of her legal obligations and performing them adequately.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As between the owners and property manager, I allocate liability as between the three of them and I apportion liability equally. That means Ms. Wong, Mr. Wong and Ms. Lai each have one third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xml:space="preserve">  The decision to find Ms. Lai to be one third liable is inconsistent with a finding that I will make that Ms. Ryckman should not be found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her husband based on </w:t>
      </w:r>
      <w:r>
        <w:rPr>
          <w:rFonts w:ascii="arial" w:eastAsia="arial" w:hAnsi="arial" w:cs="arial"/>
          <w:i/>
          <w:color w:val="000000"/>
          <w:sz w:val="20"/>
          <w:lang w:val="en-US" w:eastAsia="en-US" w:bidi="ar-SA"/>
        </w:rPr>
        <w:t>Ellis v. Wiebe</w:t>
      </w:r>
      <w:r>
        <w:rPr>
          <w:rFonts w:ascii="arial" w:eastAsia="arial" w:hAnsi="arial" w:cs="arial"/>
          <w:color w:val="000000"/>
          <w:sz w:val="20"/>
          <w:lang w:val="en-US" w:eastAsia="en-US" w:bidi="ar-SA"/>
        </w:rPr>
        <w:t xml:space="preserve">, </w:t>
      </w:r>
      <w:hyperlink r:id="rId972" w:history="1">
        <w:r>
          <w:rPr>
            <w:rFonts w:ascii="arial" w:eastAsia="arial" w:hAnsi="arial" w:cs="arial"/>
            <w:i/>
            <w:color w:val="0077CC"/>
            <w:sz w:val="20"/>
            <w:u w:val="single"/>
            <w:shd w:val="clear" w:color="auto" w:fill="FFFFFF"/>
            <w:lang w:val="en-US" w:eastAsia="en-US" w:bidi="ar-SA"/>
          </w:rPr>
          <w:t>2011 BCSC 683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Ellis</w:t>
      </w:r>
      <w:r>
        <w:rPr>
          <w:rFonts w:ascii="arial" w:eastAsia="arial" w:hAnsi="arial" w:cs="arial"/>
          <w:color w:val="000000"/>
          <w:sz w:val="20"/>
          <w:lang w:val="en-US" w:eastAsia="en-US" w:bidi="ar-SA"/>
        </w:rPr>
        <w:t xml:space="preserve">] at para. 28 and </w:t>
      </w:r>
      <w:r>
        <w:rPr>
          <w:rFonts w:ascii="arial" w:eastAsia="arial" w:hAnsi="arial" w:cs="arial"/>
          <w:i/>
          <w:color w:val="000000"/>
          <w:sz w:val="20"/>
          <w:lang w:val="en-US" w:eastAsia="en-US" w:bidi="ar-SA"/>
        </w:rPr>
        <w:t>McCluskie v. Reynolds</w:t>
      </w:r>
      <w:r>
        <w:rPr>
          <w:rFonts w:ascii="arial" w:eastAsia="arial" w:hAnsi="arial" w:cs="arial"/>
          <w:color w:val="000000"/>
          <w:sz w:val="20"/>
          <w:lang w:val="en-US" w:eastAsia="en-US" w:bidi="ar-SA"/>
        </w:rPr>
        <w:t xml:space="preserve">, </w:t>
      </w:r>
      <w:hyperlink r:id="rId973" w:history="1">
        <w:r>
          <w:rPr>
            <w:rFonts w:ascii="arial" w:eastAsia="arial" w:hAnsi="arial" w:cs="arial"/>
            <w:i/>
            <w:color w:val="0077CC"/>
            <w:sz w:val="20"/>
            <w:u w:val="single"/>
            <w:shd w:val="clear" w:color="auto" w:fill="FFFFFF"/>
            <w:lang w:val="en-US" w:eastAsia="en-US" w:bidi="ar-SA"/>
          </w:rPr>
          <w:t>(1998) 65 B.C.L.R. (3d) 191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McCluskie</w:t>
      </w:r>
      <w:r>
        <w:rPr>
          <w:rFonts w:ascii="arial" w:eastAsia="arial" w:hAnsi="arial" w:cs="arial"/>
          <w:color w:val="000000"/>
          <w:sz w:val="20"/>
          <w:lang w:val="en-US" w:eastAsia="en-US" w:bidi="ar-SA"/>
        </w:rPr>
        <w:t>] which support the proposition that the law does not deem husbands and wives to be a single entity for the purpose of imposing liability for the actions of the other. Nor does the law automatically deem husbands and wives to act as each other's agents with respect to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xml:space="preserve">  In this case, Ms. Lai has a duty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She did not raise a separate defence. It is clear to me that she was aware she was a property owner and that the Property was rented out. She had no further dealings with the Property and was content to allow her husband and sister-in-law to deal with the Property. Had she raised a separate defence, the apportionment of liability might have been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THIRD PARTY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The following chart produced by the infant plaintiff in her submissions provides a description of the parties' rolls and who has commenced third-party actions against whom.</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26" type="#_x0000_t75" style="width:426pt;height:242.25pt">
            <v:imagedata r:id="rId974"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My decision in apportioning liability equally between Ms. Wong, Mr. Wong and Ms. Lai resolves the first three third party claims, leaving only the third party claims against Mr. Boyes and Ms. Ryckman to be decided.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Third Party Claim Against Mr. Boyes Brought by Ms. Wong, Mr. Wong and Ms. Lai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Mr. Boyes, the infant plaintiff's father, is a certified red seal electrician who was working as a tunnel superintendent at the time of the Incident. He and his family resided in the Premises for nearly four months prior to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The defendants have abandoned their claim that Mr. Boyes failed to supervise his daughter. On the day of the Incident, Mr. Boyes left the infant plaintiff in the capable care of Candice Searcy and the parties accept that Candice Searcy was a competent caregiver.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The claim made in the third party proceeding is that Mr. Boyes either created the electrical hazard by installation of the Extension Cord at the Premises or that he failed to warn the defendants of the existence of an unsafe electrical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The third party claim further alleges that Mr. Boyes breached his tenancy contract by failing to inspect the Premises and give notice to the defendants respecting a defect deficiency or hazard in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xml:space="preserve">  They further claim that Mr. Boyes breached his duty as an occupier of the Premises to ensure that it was safe or reasonably safe for the infant plaintiff in breach of his duty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xml:space="preserve">  I have already found that the Extension Cord was installed before Mr. Boyes occupied the Property so the only claim that remains is the claim that he failed to inspect, report and warn under his tenancy contract and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Mr. Boyes has never worked as a residential electrician. He has never done home electrical inspections although he did learn about residential codes when he was in school. He has also done home electrical work for himself and possibly for friends and family. When the Boyes/Searcy family owned a home in Abbotsford, he did the electrical work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Mr. Boyes' evidence is that he never saw the Extension Cord prior to the Incident. He had no memory of having seen Receptacle #2 or #3 prior to the Incident. He has very little recollection of moving into the Premises because of the traumatic event that ended the tenancy.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Mr. Boyes agreed that he did sign the tenancy agreement found at Exhibit 2, tab 6 which said that the tenant shall inspect the Premises at the commencement of the tenancy and will, within three days, notify the owner in writing of any damages or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Mr. Boyes has no memory of conducting the inspection of the Property prior to moving into the Property and no memory of ever seeing the Extension Cord or the backside of Receptacle #2 or #3 before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The Cabinet was used to store board games and videos for the Boyes Searcy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The evidence does not demonstrate that Mr. Boyes ever saw the home in an empty state. Neither Jennifer Searcy nor Mr. Boyes have any recollection of whether he was there for the inspection or part of the move-in process. He was working as a tunnel superintendent, 12-14 hour shifts, eight days in a row with four days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I will deal with an issue with respect to the reading of Ms. Wong's examination for discovery transcript. In her examination for discovery Ms. Wong made reference to both Mr. Boyes and Jennifer Searcy being present at the walk-through but provided no detail. Mr. Boyes was not represented or present at Ms. Wong's examination for discovery and had no opportunity to question her about it. Ms. Wong did not take the witness stand at trial and so there was no opportunity to cross-examine her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I have been asked to disregard this evidence from Ms. Wong's discovery about Mr. Boyes being present for the inspection. Mr. Boyes did have an opportunity to retain counsel and attend at the examination for discovery because he was served with the third party notice before the discovery took place. The fact that he had no opportunity to cross-examine Ms. Wong at trial does reduce the weight of this evidence. Also Ms. Wong was very vague about the details of the walk-through inspection. Candice Searcy cannot recall who was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Mr. Boyes was clear in examination-in-chief and cross-examination that he has never spoken with Ms. Wong or the owners Mr. Wong or Ms. Lai. He has no memory of going through the Property before deciding to rent it. He said it was quite possible that Jennifer Searcy rented the place without him seeing it. He cannot say that he ever saw the Cabinet empty. His family stored board games and videos in the Cabinet but he does not recall going to the Cabinet to get a video. It is possible that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I conclude that Mr. Boyes may have attended the Property during the initial inspection but that he has no recollection of it nor does he recall noticing Receptacle #2 or #3 or the Extension 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Mr. Boyes' recollection of the Cabinet is that it did have a record player in it. He never moved the Cabinet. He never tried to lift it off its base. He never altered the wiring in the Cabinet. Mr. Boyes never saw the back of Receptacle #2 or #3 prior to the Incident. He agrees that that portion of the Cabinet was full of board games. He only saw the black mark (back of Receptacle #2) after the Incident. When he saw the photographs of the back of Receptacle #2 he didn't recognize it as the back of an electrical outlet. He thought it could be a speaker wire connector.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After the Incident he did go back to the Property and looked at the Extension Cord. He does recall the Extension Cord was not plugged in when he saw it after the Incident. Before the Incident he never saw the Extension Cord poking outside the right end of the Cabinet. Had he seen it, he might not have been concerned because the male end of an extension cord would not ordinarily be energized.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After the Incident Mr. Boyes did touch the prongs of the Extension Cord and nothing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Baby proofing premises where they were residing was always Jennifer Searcy's responsibility. He does not recall having any concerns about the Premises before the Incident. He does not remember any power supply being brought to the Cabinet. The family had a large television and stereo system but it was hooked up against the front window using the electrical outlet underneath the front window.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Jennifer Searcy's evidence is that she contacted Ms. Wong. She remembers meeting Ms. Wong at the house. She doesn't remember details of the walk-through. She can confirm that she was there with Ms. Wong but she doesn't recall who else was there. The purpose of the walk-through was to record any previous damage done so that they would not lose their damage deposit. The photographs at Exhibit 6, tab 3 were found on her father's camera and were identified as photographs taken during the walk-through showing the condition of the house. Tab 17 is a photograph of Jennifer Searcy and the empty Cabinet.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After the Boyes Searcy family moved in, the photographs of the Cabinet show that the right speaker compartment was full of board games. Jennifer Searcy was asked who put the board games in the Cabinet and she said it was likely her because she does the unpacking usually.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Ms. Wong was her only contact person. She thought the owners were Ms. Wong's parents who lived across 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Jennifer Searcy agrees that she was responsible for baby proofing the house. She put a guard on the fireplace so the infant plaintiff could not get near it. She put a baby gate at the top of the stairs. She does not recall if she put any electrical coverings over electrical receptacles in the house. She did ask Ms. Wong to fix an open area in the wall of the bathroom. She does not remember much about the Premises given the trauma of the infant plaintiff's injury so soon after they moved into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She does not recall the inside of the Cabinet. She does remember seeing a record player in the Cabinet but doesn't remember when she saw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The Boyes/Searcy couch was pushed up against the Cabinet because Jennifer Searcy did not like the look of the Cabinet. She has no recollection of seeing the Extension Cord sticking out of the Cabinet prior to the Incident.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The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The third party claim by Mr. Wong and Ms. Lai arises against Mr. Boyes in the event the court finds that the Extension Cord was there to be seen. If the court accepts the submission that the cord was clearly visible then Mr. Wong and Ms. Lai say that Mr. Boyes, as an electrician having lived in the house for almost four months, should surely be partly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xml:space="preserve">  Ms. Wong's submission is that Mr. Boyes, a red seal journeyman electrician, failed to inspect the Premises and insure the same was reasonably safe for the infant plaintiff. She says this is in breach of his contractual obligation and his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duty owed by him to the infant plaintiff. This argument is made in the alternative because the primary position of Ms. Wong is that the hazard was not noticeable on reasonable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Ms. Wong submits that the case law includes a requirement that tenants inspect premises and bring dangers or defects to landlord's attention. Mr. Boyes signed a tenancy agreement which said that the tenant shall inspect the Premises at the commencement of the tenancy and shall, within three days thereof, notify the owner in writing of any damages or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xml:space="preserve">  As outlined in </w:t>
      </w:r>
      <w:r>
        <w:rPr>
          <w:rFonts w:ascii="arial" w:eastAsia="arial" w:hAnsi="arial" w:cs="arial"/>
          <w:i/>
          <w:color w:val="000000"/>
          <w:sz w:val="20"/>
          <w:lang w:val="en-US" w:eastAsia="en-US" w:bidi="ar-SA"/>
        </w:rPr>
        <w:t>Zavaglia</w:t>
      </w:r>
      <w:r>
        <w:rPr>
          <w:rFonts w:ascii="arial" w:eastAsia="arial" w:hAnsi="arial" w:cs="arial"/>
          <w:color w:val="000000"/>
          <w:sz w:val="20"/>
          <w:lang w:val="en-US" w:eastAsia="en-US" w:bidi="ar-SA"/>
        </w:rPr>
        <w:t>, courts have applied an objective test to determine whether a tenant has breached the duty of care. There is a subjective element to that analysis. It is necessary to consider the tenants' own knowledge. Mr. Boyes had training as an electrician. He had regular access to the Cabinet where the family stored personal belongings.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xml:space="preserve">  In reply Mr. Boyes' counsel submits that section 3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imposes a duty of reasonable inspection on an occupier to ensure the reasonable safety of persons in the premises. This duty is clarified by the tenancy agreement. Section 9 of the tenancy agreement was identical in the </w:t>
      </w:r>
      <w:r>
        <w:rPr>
          <w:rFonts w:ascii="arial" w:eastAsia="arial" w:hAnsi="arial" w:cs="arial"/>
          <w:i/>
          <w:color w:val="000000"/>
          <w:sz w:val="20"/>
          <w:lang w:val="en-US" w:eastAsia="en-US" w:bidi="ar-SA"/>
        </w:rPr>
        <w:t>Klajch</w:t>
      </w:r>
      <w:r>
        <w:rPr>
          <w:rFonts w:ascii="arial" w:eastAsia="arial" w:hAnsi="arial" w:cs="arial"/>
          <w:color w:val="000000"/>
          <w:sz w:val="20"/>
          <w:lang w:val="en-US" w:eastAsia="en-US" w:bidi="ar-SA"/>
        </w:rPr>
        <w:t xml:space="preserve"> case. It reads:</w:t>
      </w:r>
      <w:r>
        <w:rPr>
          <w:rFonts w:ascii="arial" w:eastAsia="arial" w:hAnsi="arial" w:cs="arial"/>
          <w:sz w:val="20"/>
          <w:lang w:val="en-US" w:eastAsia="en-US" w:bidi="ar-SA"/>
        </w:rPr>
        <w:cr/>
      </w:r>
    </w:p>
    <w:p>
      <w:pPr>
        <w:numPr>
          <w:numId w:val="10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PREMISES: The Tenant shall inspect the premises at the commencement of the tenancy and shall, within three days thereof, notify the owner in writing of any defects or damages. Tenant agrees and consents to entry by the Landlord into the premises, upon receiving notification of defects and damages in writing for the purposes of inspecting the said defects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xml:space="preserve">  The joint effect of the contract and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is to impose a duty on the tenant to report any defect discoverable by reasonable inspection to the landlord at the commencement of the tenancy: </w:t>
      </w:r>
      <w:r>
        <w:rPr>
          <w:rFonts w:ascii="arial" w:eastAsia="arial" w:hAnsi="arial" w:cs="arial"/>
          <w:i/>
          <w:color w:val="000000"/>
          <w:sz w:val="20"/>
          <w:lang w:val="en-US" w:eastAsia="en-US" w:bidi="ar-SA"/>
        </w:rPr>
        <w:t>Klajch</w:t>
      </w:r>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xml:space="preserve">  The court clarified at para. 30 of </w:t>
      </w:r>
      <w:r>
        <w:rPr>
          <w:rFonts w:ascii="arial" w:eastAsia="arial" w:hAnsi="arial" w:cs="arial"/>
          <w:i/>
          <w:color w:val="000000"/>
          <w:sz w:val="20"/>
          <w:lang w:val="en-US" w:eastAsia="en-US" w:bidi="ar-SA"/>
        </w:rPr>
        <w:t>Klajch</w:t>
      </w:r>
      <w:r>
        <w:rPr>
          <w:rFonts w:ascii="arial" w:eastAsia="arial" w:hAnsi="arial" w:cs="arial"/>
          <w:color w:val="000000"/>
          <w:sz w:val="20"/>
          <w:lang w:val="en-US" w:eastAsia="en-US" w:bidi="ar-SA"/>
        </w:rPr>
        <w:t xml:space="preserve"> that the duty will not normally extend to structural defects and defects not apparent upon ordinary visual observation. In </w:t>
      </w:r>
      <w:r>
        <w:rPr>
          <w:rFonts w:ascii="arial" w:eastAsia="arial" w:hAnsi="arial" w:cs="arial"/>
          <w:i/>
          <w:color w:val="000000"/>
          <w:sz w:val="20"/>
          <w:lang w:val="en-US" w:eastAsia="en-US" w:bidi="ar-SA"/>
        </w:rPr>
        <w:t>Klajch</w:t>
      </w:r>
      <w:r>
        <w:rPr>
          <w:rFonts w:ascii="arial" w:eastAsia="arial" w:hAnsi="arial" w:cs="arial"/>
          <w:color w:val="000000"/>
          <w:sz w:val="20"/>
          <w:lang w:val="en-US" w:eastAsia="en-US" w:bidi="ar-SA"/>
        </w:rPr>
        <w:t>, the mother was not aware of the defect in the planter. The Klajch family lived in the house for three years. At para. 28, the British Columbia Court of Appeal said the relevant factors in determining Ms. Klajch's liability or lack thereof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...None of the parties were aware of the danger posed by the planter. Two prior tenants who used the planter testified that they were unaware it was not attached. The experienced property manager did not discover the defect in the course of his several inspections over the years. The danger was hidden and the lack of attachment could only have been discovered by a close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The British Columbia Court of Appeal concluded at paras. 29 and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While the Occupiers Liability Act imposes a duty of reasonable inspection on both the landlord and tenant of a premises, the standard of reasonableness to which each party will be held must be determined according to the respective position and responsibilities of each party. It is the landlord who observes the evolution of a home through multiple tenancies, and witnesses structural alterations and additions to the premises. The landlord also has the legal responsibility for maintaining and repairing the premises, and exercises his duty of inspection as an incident of that broader duty to repair. </w:t>
      </w:r>
      <w:r>
        <w:rPr>
          <w:rFonts w:ascii="arial" w:eastAsia="arial" w:hAnsi="arial" w:cs="arial"/>
          <w:b/>
          <w:color w:val="000000"/>
          <w:sz w:val="20"/>
          <w:lang w:val="en-US" w:eastAsia="en-US" w:bidi="ar-SA"/>
        </w:rPr>
        <w:t>These factors will generally elevate the standard of reasonable inspection imposed on a landlord above that imposed on a tenant, particularly where the inspection relates to a structural defect that existed prior to the current tenancy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In this case, I think that the tenant's duty under paragraph 9 is limited to the reporting of defects or damages discoverable by reasonable inspection in the circumstances, not normally extending to structural defects not apparent upon ordinary visual observation. As there is no evidence that such a reasonable inspection by the tenants would have disclosed that the planter was unattached, paragraph 9 provides no basis for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Ms. Klajch.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xml:space="preserve">  Counsel for Mr. Boyes submits that this third party claim can be decided by applying the principles from </w:t>
      </w:r>
      <w:r>
        <w:rPr>
          <w:rFonts w:ascii="arial" w:eastAsia="arial" w:hAnsi="arial" w:cs="arial"/>
          <w:i/>
          <w:color w:val="000000"/>
          <w:sz w:val="20"/>
          <w:lang w:val="en-US" w:eastAsia="en-US" w:bidi="ar-SA"/>
        </w:rPr>
        <w:t>Klajch</w:t>
      </w:r>
      <w:r>
        <w:rPr>
          <w:rFonts w:ascii="arial" w:eastAsia="arial" w:hAnsi="arial" w:cs="arial"/>
          <w:color w:val="000000"/>
          <w:sz w:val="20"/>
          <w:lang w:val="en-US" w:eastAsia="en-US" w:bidi="ar-SA"/>
        </w:rPr>
        <w:t xml:space="preserve"> alone. He also refers to items 6 and 7 in para. 61 of </w:t>
      </w:r>
      <w:r>
        <w:rPr>
          <w:rFonts w:ascii="arial" w:eastAsia="arial" w:hAnsi="arial" w:cs="arial"/>
          <w:i/>
          <w:color w:val="000000"/>
          <w:sz w:val="20"/>
          <w:lang w:val="en-US" w:eastAsia="en-US" w:bidi="ar-SA"/>
        </w:rPr>
        <w:t>Tolea,</w:t>
      </w:r>
      <w:r>
        <w:rPr>
          <w:rFonts w:ascii="arial" w:eastAsia="arial" w:hAnsi="arial" w:cs="arial"/>
          <w:color w:val="000000"/>
          <w:sz w:val="20"/>
          <w:lang w:val="en-US" w:eastAsia="en-US" w:bidi="ar-SA"/>
        </w:rPr>
        <w:t xml:space="preserve"> as being of particular significance to this third party claims:</w:t>
      </w:r>
      <w:r>
        <w:rPr>
          <w:rFonts w:ascii="arial" w:eastAsia="arial" w:hAnsi="arial" w:cs="arial"/>
          <w:sz w:val="20"/>
          <w:lang w:val="en-US" w:eastAsia="en-US" w:bidi="ar-SA"/>
        </w:rPr>
        <w:cr/>
      </w:r>
    </w:p>
    <w:p>
      <w:pPr>
        <w:numPr>
          <w:numId w:val="10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lang w:val="en-US" w:eastAsia="en-US" w:bidi="ar-SA"/>
        </w:rPr>
        <w:t>OLA</w:t>
      </w:r>
      <w:r>
        <w:rPr>
          <w:rFonts w:ascii="arial" w:eastAsia="arial" w:hAnsi="arial" w:cs="arial"/>
          <w:color w:val="000000"/>
          <w:sz w:val="20"/>
          <w:lang w:val="en-US" w:eastAsia="en-US" w:bidi="ar-SA"/>
        </w:rPr>
        <w:t xml:space="preserve"> imposes a duty of reasonable inspection on both the landlord and tenant. The standard of reasonableness for each party must be determined according to their respective positions and responsibilities. The standard of reasonable inspection imposed on a landlord will likely be elevated above that imposed on a tenant where the following factors occur:</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landlord has observed the evolution of a residence through multiple tenancies and repairs and alterations;</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landlord has the legal responsibility for maintaining and repairing the premises;</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area of concern relates to a structural defect that existed prior to the current tenancy.</w:t>
      </w:r>
    </w:p>
    <w:p>
      <w:pPr>
        <w:numPr>
          <w:numId w:val="10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tenant's duty will likely be limited to the reporting of defects or damages discoverable by reasonable inspection in the circumstances, [</w:t>
      </w:r>
      <w:r>
        <w:rPr>
          <w:rFonts w:ascii="arial" w:eastAsia="arial" w:hAnsi="arial" w:cs="arial"/>
          <w:color w:val="000000"/>
          <w:sz w:val="20"/>
          <w:u w:val="single"/>
          <w:lang w:val="en-US" w:eastAsia="en-US" w:bidi="ar-SA"/>
        </w:rPr>
        <w:t>not normally extending to structural defects]</w:t>
      </w:r>
      <w:r>
        <w:rPr>
          <w:rFonts w:ascii="arial" w:eastAsia="arial" w:hAnsi="arial" w:cs="arial"/>
          <w:color w:val="000000"/>
          <w:sz w:val="20"/>
          <w:lang w:val="en-US" w:eastAsia="en-US" w:bidi="ar-SA"/>
        </w:rPr>
        <w:t xml:space="preserve"> not apparent upon ordinary visual observation: </w:t>
      </w:r>
      <w:r>
        <w:rPr>
          <w:rFonts w:ascii="arial" w:eastAsia="arial" w:hAnsi="arial" w:cs="arial"/>
          <w:i/>
          <w:color w:val="000000"/>
          <w:sz w:val="20"/>
          <w:lang w:val="en-US" w:eastAsia="en-US" w:bidi="ar-SA"/>
        </w:rPr>
        <w:t>Klajch (Guardian ad litem of) v. Jongeneel</w:t>
      </w:r>
      <w:r>
        <w:rPr>
          <w:rFonts w:ascii="arial" w:eastAsia="arial" w:hAnsi="arial" w:cs="arial"/>
          <w:color w:val="000000"/>
          <w:sz w:val="20"/>
          <w:lang w:val="en-US" w:eastAsia="en-US" w:bidi="ar-SA"/>
        </w:rPr>
        <w:t xml:space="preserve">, </w:t>
      </w:r>
      <w:hyperlink r:id="rId962" w:history="1">
        <w:r>
          <w:rPr>
            <w:rFonts w:ascii="arial" w:eastAsia="arial" w:hAnsi="arial" w:cs="arial"/>
            <w:i/>
            <w:color w:val="0077CC"/>
            <w:sz w:val="20"/>
            <w:u w:val="single"/>
            <w:shd w:val="clear" w:color="auto" w:fill="FFFFFF"/>
            <w:lang w:val="en-US" w:eastAsia="en-US" w:bidi="ar-SA"/>
          </w:rPr>
          <w:t>2002 BCCA 14</w:t>
        </w:r>
      </w:hyperlink>
      <w:r>
        <w:rPr>
          <w:rFonts w:ascii="arial" w:eastAsia="arial" w:hAnsi="arial" w:cs="arial"/>
          <w:color w:val="000000"/>
          <w:sz w:val="20"/>
          <w:lang w:val="en-US" w:eastAsia="en-US" w:bidi="ar-SA"/>
        </w:rPr>
        <w:t xml:space="preserve">, </w:t>
      </w:r>
      <w:hyperlink r:id="rId962" w:history="1">
        <w:r>
          <w:rPr>
            <w:rFonts w:ascii="arial" w:eastAsia="arial" w:hAnsi="arial" w:cs="arial"/>
            <w:i/>
            <w:color w:val="0077CC"/>
            <w:sz w:val="20"/>
            <w:u w:val="single"/>
            <w:shd w:val="clear" w:color="auto" w:fill="FFFFFF"/>
            <w:lang w:val="en-US" w:eastAsia="en-US" w:bidi="ar-SA"/>
          </w:rPr>
          <w:t>174 B.C.A.C. 184</w:t>
        </w:r>
      </w:hyperlink>
      <w:r>
        <w:rPr>
          <w:rFonts w:ascii="arial" w:eastAsia="arial" w:hAnsi="arial" w:cs="arial"/>
          <w:color w:val="000000"/>
          <w:sz w:val="20"/>
          <w:lang w:val="en-US" w:eastAsia="en-US" w:bidi="ar-SA"/>
        </w:rPr>
        <w:t xml:space="preserve"> (B.C.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xml:space="preserve">  The wording of sub para. 7 in the quote above is confusing because it is missing the words in brackets which I have underlined. I agree those words should be inserted because Silverman J. was clearly referring to para. 30 of </w:t>
      </w:r>
      <w:r>
        <w:rPr>
          <w:rFonts w:ascii="arial" w:eastAsia="arial" w:hAnsi="arial" w:cs="arial"/>
          <w:i/>
          <w:color w:val="000000"/>
          <w:sz w:val="20"/>
          <w:lang w:val="en-US" w:eastAsia="en-US" w:bidi="ar-SA"/>
        </w:rPr>
        <w:t>Klajch</w:t>
      </w:r>
      <w:r>
        <w:rPr>
          <w:rFonts w:ascii="arial" w:eastAsia="arial" w:hAnsi="arial" w:cs="arial"/>
          <w:color w:val="000000"/>
          <w:sz w:val="20"/>
          <w:lang w:val="en-US" w:eastAsia="en-US" w:bidi="ar-SA"/>
        </w:rPr>
        <w:t xml:space="preserve"> which I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Mr. Boyes' counsel submits that the landlord has a duty in both statute and contract to provide safe premises that comply with housing standards. Regardless of notice of a particular hazard, a landlord has a duty to inspect so that hazards, an electrified male cord being but one example, are not allowed to exist until they are discovered as a result of someone being seriously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Although a tenant also has a duty of reasonable inspection, the court must look to the particular facts of the case to determine the standard that each party will meet. The tenant's duty will typically be limited to those things that are discoverable on ordinary visual observation. When dealing with a longstanding defect that pre-existed the current tenancy and escaped the landlord's inspection or inspections as well as notice of prior tenants, it is difficult to foresee a situation where the current tenant could be faulted.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Analysis and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The evidence does not support a finding that Mr. Boyes ever saw the Cabinet empty in the four months that he resided in the Premises. Without the Cabinet being empty, I have already found that the backs of Receptacles #2 and #3 were not 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It is quite likely that the Extension Cord was plugged in during their tenancy and that the infant plaintiff grabbed the Extension Cord and pulled it out. Therefore the Extension Cord may not have been visible until after the Incident. I have found that photograph 17 does not clearly depict a 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Mr. Boyes' duty is limited to reporting defects or damages discoverable by reasonable inspection. If the Extension Cord was not visible and the backs of Receptacles #2 and #3 were covered with possessions, then I find that there was nothing that would have alerted Mr. Boyes to make a further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Even if Mr. Boyes was there during the initial walk-through, and I am uncertain that he was, that would have afforded him one short opportunity to discover the Receptacles. I do not find that he could be found liable on that uncertain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xml:space="preserve">  As I have said earlier, Ms. Wong is in a different position because she had </w:t>
      </w:r>
      <w:r>
        <w:rPr>
          <w:rFonts w:ascii="arial" w:eastAsia="arial" w:hAnsi="arial" w:cs="arial"/>
          <w:i/>
          <w:color w:val="000000"/>
          <w:sz w:val="20"/>
          <w:lang w:val="en-US" w:eastAsia="en-US" w:bidi="ar-SA"/>
        </w:rPr>
        <w:t>at least</w:t>
      </w:r>
      <w:r>
        <w:rPr>
          <w:rFonts w:ascii="arial" w:eastAsia="arial" w:hAnsi="arial" w:cs="arial"/>
          <w:color w:val="000000"/>
          <w:sz w:val="20"/>
          <w:lang w:val="en-US" w:eastAsia="en-US" w:bidi="ar-SA"/>
        </w:rPr>
        <w:t xml:space="preserve"> four to six opportunities to inspect the Premises while empty and a statutory duty to inspect for hazards. Her duty is elevated above that of a tenant because she has observed the evolution of the Premises through multiple tenancies and repairs and alterations and because she has the legal responsibility for maintaining and repairing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xml:space="preserve">  It appears from </w:t>
      </w:r>
      <w:r>
        <w:rPr>
          <w:rFonts w:ascii="arial" w:eastAsia="arial" w:hAnsi="arial" w:cs="arial"/>
          <w:i/>
          <w:color w:val="000000"/>
          <w:sz w:val="20"/>
          <w:lang w:val="en-US" w:eastAsia="en-US" w:bidi="ar-SA"/>
        </w:rPr>
        <w:t>Klajch</w:t>
      </w:r>
      <w:r>
        <w:rPr>
          <w:rFonts w:ascii="arial" w:eastAsia="arial" w:hAnsi="arial" w:cs="arial"/>
          <w:color w:val="000000"/>
          <w:sz w:val="20"/>
          <w:lang w:val="en-US" w:eastAsia="en-US" w:bidi="ar-SA"/>
        </w:rPr>
        <w:t xml:space="preserve"> that the tenant's duty under para. 9 is limited to reporting defects or damages discoverable by reasonable inspection in the circumstances not normally extending to structural defects not apparent upon ordinary visual observation.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The defendants have not proven their case against Mr. Boyes that the hazard was apparent upon ordinary visual observation during his brief tenancy.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Accordingly, I dismiss the third party action against Mr. Boyes.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Third Party Action Against Sandra Ryckman Brought By Ms. Wong, Mr. Wong and Ms. Lai</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The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Ms. Wong, Mr. Wong and Ms. Lai make overlapping submissions to support their third party claims against Ms. Ryckman which I will deal with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They submit that the evidence supports a finding that the Cabinet, including its electrical wiring, was constructed by Ms. Ryckman during the time that she was owner of the Property. I have rejected part of that claim and have found that only Receptacle #1 was present in the Cabinet during Ms. Ryckman's ownership.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Ms. Wong, Mr. Wong and Ms. Lai submit that Ms. Ryckman took no reasonable steps to ensure the Cabinet had been constructed to applicable codes at the time and prior to selling the home to Mr. Wong and Ms. Lai.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They submit that even if Ms. Ryckman lacked specific knowledge of the hazard she had made assumptions about its construction without a reasonable basis. She never once looked inside the Cabinet herself for a source of the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Mr. Wong and Ms. Lai submit that before selling the Property, Ms. Ryckman ought to have warned the purchasers that she did not know whether the Cabinet had been constructed to code and she did not know whether it had been constructed by a qualified electrician. Alternatively they submit she should have taken steps to ensure that it had been properly constructed before selling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xml:space="preserve">  They submit that a vendor has an obligation to disclose a material latent defect to a prospective buyer if the defect renders the property dangerous or unfit for habitation. A latent defect is one that is not discoverable by a purchaser through reasonable inspection: </w:t>
      </w:r>
      <w:r>
        <w:rPr>
          <w:rFonts w:ascii="arial" w:eastAsia="arial" w:hAnsi="arial" w:cs="arial"/>
          <w:i/>
          <w:color w:val="000000"/>
          <w:sz w:val="20"/>
          <w:lang w:val="en-US" w:eastAsia="en-US" w:bidi="ar-SA"/>
        </w:rPr>
        <w:t>McCluskie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Cardwell v. Perthen et al,</w:t>
      </w:r>
      <w:r>
        <w:rPr>
          <w:rFonts w:ascii="arial" w:eastAsia="arial" w:hAnsi="arial" w:cs="arial"/>
          <w:color w:val="000000"/>
          <w:sz w:val="20"/>
          <w:lang w:val="en-US" w:eastAsia="en-US" w:bidi="ar-SA"/>
        </w:rPr>
        <w:t xml:space="preserve"> </w:t>
      </w:r>
      <w:hyperlink r:id="rId975" w:history="1">
        <w:r>
          <w:rPr>
            <w:rFonts w:ascii="arial" w:eastAsia="arial" w:hAnsi="arial" w:cs="arial"/>
            <w:i/>
            <w:color w:val="0077CC"/>
            <w:sz w:val="20"/>
            <w:u w:val="single"/>
            <w:shd w:val="clear" w:color="auto" w:fill="FFFFFF"/>
            <w:lang w:val="en-US" w:eastAsia="en-US" w:bidi="ar-SA"/>
          </w:rPr>
          <w:t>2006 BCSC 333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Cardwell</w:t>
      </w:r>
      <w:r>
        <w:rPr>
          <w:rFonts w:ascii="arial" w:eastAsia="arial" w:hAnsi="arial" w:cs="arial"/>
          <w:color w:val="000000"/>
          <w:sz w:val="20"/>
          <w:lang w:val="en-US" w:eastAsia="en-US" w:bidi="ar-SA"/>
        </w:rPr>
        <w:t xml:space="preserve">], aff'd at </w:t>
      </w:r>
      <w:hyperlink r:id="rId976" w:history="1">
        <w:r>
          <w:rPr>
            <w:rFonts w:ascii="arial" w:eastAsia="arial" w:hAnsi="arial" w:cs="arial"/>
            <w:i/>
            <w:color w:val="0077CC"/>
            <w:sz w:val="20"/>
            <w:u w:val="single"/>
            <w:shd w:val="clear" w:color="auto" w:fill="FFFFFF"/>
            <w:lang w:val="en-US" w:eastAsia="en-US" w:bidi="ar-SA"/>
          </w:rPr>
          <w:t>2007 BCCA 313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Cardwell</w:t>
      </w:r>
      <w:r>
        <w:rPr>
          <w:rFonts w:ascii="arial" w:eastAsia="arial" w:hAnsi="arial" w:cs="arial"/>
          <w:color w:val="000000"/>
          <w:sz w:val="20"/>
          <w:lang w:val="en-US" w:eastAsia="en-US" w:bidi="ar-SA"/>
        </w:rPr>
        <w:t xml:space="preserve"> (S.C.), Ballance J. distinguished latent and patent defects and noted that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is displaced by a latent defect that is dangerous. As Ballance J. held at paras. 122 and 128: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[122] The distinction between patent and latent defects is central to a vendor's obligation of disclosure under the doctrine. </w:t>
      </w:r>
      <w:r>
        <w:rPr>
          <w:rFonts w:ascii="arial" w:eastAsia="arial" w:hAnsi="arial" w:cs="arial"/>
          <w:b/>
          <w:color w:val="000000"/>
          <w:sz w:val="20"/>
          <w:lang w:val="en-US" w:eastAsia="en-US" w:bidi="ar-SA"/>
        </w:rPr>
        <w:t>Patent defects are those that can be discovered by conducting a reasonable inspection and making reasonable inquiries about the property.</w:t>
      </w:r>
      <w:r>
        <w:rPr>
          <w:rFonts w:ascii="arial" w:eastAsia="arial" w:hAnsi="arial" w:cs="arial"/>
          <w:color w:val="000000"/>
          <w:sz w:val="20"/>
          <w:lang w:val="en-US" w:eastAsia="en-US" w:bidi="ar-SA"/>
        </w:rPr>
        <w:t xml:space="preserve"> The authorities provide some guidance about the extent of the purchaser's obligation to inspect and make inquiries. The extent of that obligation is, in some respects, the demarcation of the distinction between latent and patent defects. In general, there is a fairly high onus on the purchaser to inspect and discover patent defects. This means that a defect which might not be observable on a casual inspection may nonetheless be patent if it would have been discoverable upon a reasonable inspection by a qualified person: [citations omitted]. In some cases, it necessitates a purchaser retaining the appropriate experts to inspect the property [citations omitted]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[128] Every imperfection or deficiency which a reasonably careful inspection and inquiry will not reveal cannot amount to </w:t>
      </w:r>
      <w:r>
        <w:rPr>
          <w:rFonts w:ascii="arial" w:eastAsia="arial" w:hAnsi="arial" w:cs="arial"/>
          <w:b/>
          <w:color w:val="000000"/>
          <w:sz w:val="20"/>
          <w:lang w:val="en-US" w:eastAsia="en-US" w:bidi="ar-SA"/>
        </w:rPr>
        <w:t xml:space="preserve">a latent defect of the kind capable of displacing the doctrine of </w:t>
      </w:r>
      <w:r>
        <w:rPr>
          <w:rFonts w:ascii="arial" w:eastAsia="arial" w:hAnsi="arial" w:cs="arial"/>
          <w:b/>
          <w:i/>
          <w:color w:val="000000"/>
          <w:sz w:val="20"/>
          <w:lang w:val="en-US" w:eastAsia="en-US" w:bidi="ar-SA"/>
        </w:rPr>
        <w:t>caveat emptor</w:t>
      </w:r>
      <w:r>
        <w:rPr>
          <w:rFonts w:ascii="arial" w:eastAsia="arial" w:hAnsi="arial" w:cs="arial"/>
          <w:color w:val="000000"/>
          <w:sz w:val="20"/>
          <w:lang w:val="en-US" w:eastAsia="en-US" w:bidi="ar-SA"/>
        </w:rPr>
        <w:t xml:space="preserve">. In order to qualify as such, the defect must carry with it a consequence of substance; that is, </w:t>
      </w:r>
      <w:r>
        <w:rPr>
          <w:rFonts w:ascii="arial" w:eastAsia="arial" w:hAnsi="arial" w:cs="arial"/>
          <w:b/>
          <w:color w:val="000000"/>
          <w:sz w:val="20"/>
          <w:lang w:val="en-US" w:eastAsia="en-US" w:bidi="ar-SA"/>
        </w:rPr>
        <w:t>it must be of such a nature as to render the house uninhabitable or dangerous</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McCluskie</w:t>
      </w:r>
      <w:r>
        <w:rPr>
          <w:rFonts w:ascii="arial" w:eastAsia="arial" w:hAnsi="arial" w:cs="arial"/>
          <w:color w:val="000000"/>
          <w:sz w:val="20"/>
          <w:lang w:val="en-US" w:eastAsia="en-US" w:bidi="ar-SA"/>
        </w:rPr>
        <w:t>. Beyond that, the vendor has no obligation to disparage his own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xml:space="preserve">  Mr. Wong and Ms. Lai submit that actual knowledge of a defect is not required for a finding of liability and they quote from </w:t>
      </w:r>
      <w:r>
        <w:rPr>
          <w:rFonts w:ascii="arial" w:eastAsia="arial" w:hAnsi="arial" w:cs="arial"/>
          <w:i/>
          <w:color w:val="000000"/>
          <w:sz w:val="20"/>
          <w:lang w:val="en-US" w:eastAsia="en-US" w:bidi="ar-SA"/>
        </w:rPr>
        <w:t>McCluskie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 ...The law also supports the imposition of a duty to disclose latent defects on the vendor where he is not subjectively aware of those defects, but where he is reckless as to whether or not they exist. It is up to the plaintiff to prove this degree of knowledge or recklessness.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They further submit that it is sufficient to establish that Ms. Ryckman "ought to have known" about the hazard. The defects came into existence during the course of construction occurring while Ms. Ryckman was in possession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The question is whether Ms. Ryckman ought to have known that there was a receptacle in the Cabinet that did not comply with the electrical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Hayes v Davis</w:t>
      </w:r>
      <w:r>
        <w:rPr>
          <w:rFonts w:ascii="arial" w:eastAsia="arial" w:hAnsi="arial" w:cs="arial"/>
          <w:color w:val="000000"/>
          <w:sz w:val="20"/>
          <w:lang w:val="en-US" w:eastAsia="en-US" w:bidi="ar-SA"/>
        </w:rPr>
        <w:t xml:space="preserve">, </w:t>
      </w:r>
      <w:hyperlink r:id="rId977" w:history="1">
        <w:r>
          <w:rPr>
            <w:rFonts w:ascii="arial" w:eastAsia="arial" w:hAnsi="arial" w:cs="arial"/>
            <w:i/>
            <w:color w:val="0077CC"/>
            <w:sz w:val="20"/>
            <w:u w:val="single"/>
            <w:shd w:val="clear" w:color="auto" w:fill="FFFFFF"/>
            <w:lang w:val="en-US" w:eastAsia="en-US" w:bidi="ar-SA"/>
          </w:rPr>
          <w:t>[1991] 4 W.W.R. 678</w:t>
        </w:r>
      </w:hyperlink>
      <w:r>
        <w:rPr>
          <w:rFonts w:ascii="arial" w:eastAsia="arial" w:hAnsi="arial" w:cs="arial"/>
          <w:color w:val="000000"/>
          <w:sz w:val="20"/>
          <w:lang w:val="en-US" w:eastAsia="en-US" w:bidi="ar-SA"/>
        </w:rPr>
        <w:t xml:space="preserve">, the Court of Appeal considered the issue of a decaying tree. At para. 17, the majority quoted the following passage from the English Court of Appeal decision in </w:t>
      </w:r>
      <w:r>
        <w:rPr>
          <w:rFonts w:ascii="arial" w:eastAsia="arial" w:hAnsi="arial" w:cs="arial"/>
          <w:i/>
          <w:color w:val="000000"/>
          <w:sz w:val="20"/>
          <w:lang w:val="en-US" w:eastAsia="en-US" w:bidi="ar-SA"/>
        </w:rPr>
        <w:t>Caminer v. Northern &amp; London Investment Trust, Ltd.,</w:t>
      </w:r>
      <w:r>
        <w:rPr>
          <w:rFonts w:ascii="arial" w:eastAsia="arial" w:hAnsi="arial" w:cs="arial"/>
          <w:color w:val="000000"/>
          <w:sz w:val="20"/>
          <w:lang w:val="en-US" w:eastAsia="en-US" w:bidi="ar-SA"/>
        </w:rPr>
        <w:t xml:space="preserve"> [1947] 1 All E.R. 874 (Eng. C.A.), aff'd [1952] 2 All E.R. 486 (H.L.): [17] Tucker L.J. said at pp. 877: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...Ought to have known' cannot mean more than would have known if he had taken the precaution which a reasonable landowner would 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xml:space="preserve">  Mr. Wong and Ms. Lai submit that Ms. Ryckman failed to ensure competent tradespeople undertook the work and she failed to supervise or check that work in any reasonable way: </w:t>
      </w:r>
      <w:r>
        <w:rPr>
          <w:rFonts w:ascii="arial" w:eastAsia="arial" w:hAnsi="arial" w:cs="arial"/>
          <w:i/>
          <w:color w:val="000000"/>
          <w:sz w:val="20"/>
          <w:lang w:val="en-US" w:eastAsia="en-US" w:bidi="ar-SA"/>
        </w:rPr>
        <w:t>Dixon v. Eldorado Development Corp.</w:t>
      </w:r>
      <w:r>
        <w:rPr>
          <w:rFonts w:ascii="arial" w:eastAsia="arial" w:hAnsi="arial" w:cs="arial"/>
          <w:color w:val="000000"/>
          <w:sz w:val="20"/>
          <w:lang w:val="en-US" w:eastAsia="en-US" w:bidi="ar-SA"/>
        </w:rPr>
        <w:t xml:space="preserve">, </w:t>
      </w:r>
      <w:hyperlink r:id="rId978" w:history="1">
        <w:r>
          <w:rPr>
            <w:rFonts w:ascii="arial" w:eastAsia="arial" w:hAnsi="arial" w:cs="arial"/>
            <w:i/>
            <w:color w:val="0077CC"/>
            <w:sz w:val="20"/>
            <w:u w:val="single"/>
            <w:shd w:val="clear" w:color="auto" w:fill="FFFFFF"/>
            <w:lang w:val="en-US" w:eastAsia="en-US" w:bidi="ar-SA"/>
          </w:rPr>
          <w:t>[2000] 1 W.W.R. 671</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xml:space="preserve">  Ms. Ryckman relies on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and the release from liability contained in the Contract of Purchase and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xml:space="preserve">  In response to this, Mr. Wong and Ms. Lai say that the notion that a prior owner cannot escape liability simply through property transfer, quoting from </w:t>
      </w:r>
      <w:r>
        <w:rPr>
          <w:rFonts w:ascii="arial" w:eastAsia="arial" w:hAnsi="arial" w:cs="arial"/>
          <w:i/>
          <w:color w:val="000000"/>
          <w:sz w:val="20"/>
          <w:lang w:val="en-US" w:eastAsia="en-US" w:bidi="ar-SA"/>
        </w:rPr>
        <w:t>Davis v. Grand</w:t>
      </w:r>
      <w:r>
        <w:rPr>
          <w:rFonts w:ascii="arial" w:eastAsia="arial" w:hAnsi="arial" w:cs="arial"/>
          <w:color w:val="000000"/>
          <w:sz w:val="20"/>
          <w:lang w:val="en-US" w:eastAsia="en-US" w:bidi="ar-SA"/>
        </w:rPr>
        <w:t xml:space="preserve">, </w:t>
      </w:r>
      <w:hyperlink r:id="rId953" w:history="1">
        <w:r>
          <w:rPr>
            <w:rFonts w:ascii="arial" w:eastAsia="arial" w:hAnsi="arial" w:cs="arial"/>
            <w:i/>
            <w:color w:val="0077CC"/>
            <w:sz w:val="20"/>
            <w:u w:val="single"/>
            <w:shd w:val="clear" w:color="auto" w:fill="FFFFFF"/>
            <w:lang w:val="en-US" w:eastAsia="en-US" w:bidi="ar-SA"/>
          </w:rPr>
          <w:t>(2003) 67 O.R. (3d) 520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 that the current state of the law is that when a person creates a foreseeable danger to others on his or her property the fact that the property is transferred to another person is not, in and of itself, a reason why the transferor should immediately be relieved of liability for damages.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I do not think that the issue as to whether the defect is latent or patent is determinative. Rather, </w:t>
      </w:r>
      <w:r>
        <w:rPr>
          <w:rFonts w:ascii="arial" w:eastAsia="arial" w:hAnsi="arial" w:cs="arial"/>
          <w:b/>
          <w:color w:val="000000"/>
          <w:sz w:val="20"/>
          <w:lang w:val="en-US" w:eastAsia="en-US" w:bidi="ar-SA"/>
        </w:rPr>
        <w:t xml:space="preserve">the essential question is whether the elements of a tort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are present</w:t>
      </w:r>
      <w:r>
        <w:rPr>
          <w:rFonts w:ascii="arial" w:eastAsia="arial" w:hAnsi="arial" w:cs="arial"/>
          <w:color w:val="000000"/>
          <w:sz w:val="20"/>
          <w:lang w:val="en-US" w:eastAsia="en-US" w:bidi="ar-SA"/>
        </w:rPr>
        <w:t xml:space="preserve">. ... The real question is - has such time lapsed since the change in ownership that it can be said either that there is no longer a relationship of proximity such that a duty of care arises on the part of the former owner or, if it does,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former owner is not the proximate cause of the loss, and hence, not all the elements necessary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present. If the defect is patent then there will usually no longer be a relationship of proximity between the injured person and the former owner. Even if the duty of care remains, it could be said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former owner is not the proximate cause of the loss. In such instances, </w:t>
      </w:r>
      <w:r>
        <w:rPr>
          <w:rFonts w:ascii="arial" w:eastAsia="arial" w:hAnsi="arial" w:cs="arial"/>
          <w:b/>
          <w:color w:val="000000"/>
          <w:sz w:val="20"/>
          <w:lang w:val="en-US" w:eastAsia="en-US" w:bidi="ar-SA"/>
        </w:rPr>
        <w:t>the defect is of such a character that it could or should have been known to the new owner as s/he has had a reasonable opportunity to discover the condition on prompt inspection and s/he had the responsibility as owner to make the necessary repairs.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Ms. Ryckman submits that when she sold the Property to Mr. Wong and Ms. Lai in 1992 she transferred responsibility for the Premises to them pursuant to the Contract of Purchase and Sale. The Contract of Purchase and Sale is a standard form of agreement which has been used in British Columbia for decades and it says:</w:t>
      </w:r>
      <w:r>
        <w:rPr>
          <w:rFonts w:ascii="arial" w:eastAsia="arial" w:hAnsi="arial" w:cs="arial"/>
          <w:sz w:val="20"/>
          <w:lang w:val="en-US" w:eastAsia="en-US" w:bidi="ar-SA"/>
        </w:rPr>
        <w:cr/>
      </w:r>
    </w:p>
    <w:p>
      <w:pPr>
        <w:numPr>
          <w:numId w:val="10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RISK: all buildings on the property and all other items included in the purchase and sale will be and remain at the risk of the Vendor until 12:01 a.m. on the Completion Date. After that time, the Property and all included items will be at the risk of the Purchaser.</w:t>
      </w:r>
    </w:p>
    <w:p>
      <w:pPr>
        <w:numPr>
          <w:numId w:val="10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NO REPRESENTATIONS, WARRANTIES, GUARANTEES, PROMISES OR AGREEMENTS OTHER THAN THOSE SET OUT HEREIN; ALL OF WHICH SURVIVE THE COMPLETION OF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xml:space="preserve">  Ms. Ryckman further submits that she is protected by the legal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The only exception to this doctrine is if she had or ought to have had knowledge of latent defects and she withheld this information from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xml:space="preserve">  Ms. Ryckman submits that in essence, the parties opposed to her are attempting to impute knowledge of the cabinetmaker, Ken Starr and anyone else that had actual knowledge of the creation of the hazard to Ms. Ryckman. As a matter of law, she submits that this cannot be done. "[L]iability for tortuous conduct is personal.": </w:t>
      </w:r>
      <w:r>
        <w:rPr>
          <w:rFonts w:ascii="arial" w:eastAsia="arial" w:hAnsi="arial" w:cs="arial"/>
          <w:i/>
          <w:color w:val="000000"/>
          <w:sz w:val="20"/>
          <w:lang w:val="en-US" w:eastAsia="en-US" w:bidi="ar-SA"/>
        </w:rPr>
        <w:t>Shah v. Stainless Cleaning Inc.</w:t>
      </w:r>
      <w:r>
        <w:rPr>
          <w:rFonts w:ascii="arial" w:eastAsia="arial" w:hAnsi="arial" w:cs="arial"/>
          <w:color w:val="000000"/>
          <w:sz w:val="20"/>
          <w:lang w:val="en-US" w:eastAsia="en-US" w:bidi="ar-SA"/>
        </w:rPr>
        <w:t xml:space="preserve">, </w:t>
      </w:r>
      <w:hyperlink r:id="rId979" w:history="1">
        <w:r>
          <w:rPr>
            <w:rFonts w:ascii="arial" w:eastAsia="arial" w:hAnsi="arial" w:cs="arial"/>
            <w:i/>
            <w:color w:val="0077CC"/>
            <w:sz w:val="20"/>
            <w:u w:val="single"/>
            <w:shd w:val="clear" w:color="auto" w:fill="FFFFFF"/>
            <w:lang w:val="en-US" w:eastAsia="en-US" w:bidi="ar-SA"/>
          </w:rPr>
          <w:t>2008 BCCA 114</w:t>
        </w:r>
      </w:hyperlink>
      <w:r>
        <w:rPr>
          <w:rFonts w:ascii="arial" w:eastAsia="arial" w:hAnsi="arial" w:cs="arial"/>
          <w:color w:val="000000"/>
          <w:sz w:val="20"/>
          <w:lang w:val="en-US" w:eastAsia="en-US" w:bidi="ar-SA"/>
        </w:rPr>
        <w:t xml:space="preserve"> at para 14. Ms. Ryckman cannot be faulted for any action or inaction on the part of Mr. Starr.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The evidence has shown that Ms. Ryckman was a stay-at-home mother and wife. She was responsible for cooking and cleaning and caring for her children. Mr. Starr ran a business and took care of maintaining the Property and modifications to the Property. All significant decisions to renovate the Property were made by Mr. Starr. He made all arrangements in that regard as well as establishing a practice of trading work at his auto shop for work by tradesman. He arranged for the Cabinet to be made. Ms. Ryckman was not even involved in the decision to build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xml:space="preserve">  Ms. Ryckman submits that the law does not automatically deem husbands and wives to be a single entity for the purpose of imposing liability for the actions of the other. Nor does the law automatically deem husbands and wives act as each other's agents with respect to third parties: </w:t>
      </w:r>
      <w:r>
        <w:rPr>
          <w:rFonts w:ascii="arial" w:eastAsia="arial" w:hAnsi="arial" w:cs="arial"/>
          <w:i/>
          <w:color w:val="000000"/>
          <w:sz w:val="20"/>
          <w:lang w:val="en-US" w:eastAsia="en-US" w:bidi="ar-SA"/>
        </w:rPr>
        <w:t>Ellis</w:t>
      </w:r>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xml:space="preserve">  Further, in </w:t>
      </w:r>
      <w:r>
        <w:rPr>
          <w:rFonts w:ascii="arial" w:eastAsia="arial" w:hAnsi="arial" w:cs="arial"/>
          <w:i/>
          <w:color w:val="000000"/>
          <w:sz w:val="20"/>
          <w:lang w:val="en-US" w:eastAsia="en-US" w:bidi="ar-SA"/>
        </w:rPr>
        <w:t>McCluskie</w:t>
      </w:r>
      <w:r>
        <w:rPr>
          <w:rFonts w:ascii="arial" w:eastAsia="arial" w:hAnsi="arial" w:cs="arial"/>
          <w:color w:val="000000"/>
          <w:sz w:val="20"/>
          <w:lang w:val="en-US" w:eastAsia="en-US" w:bidi="ar-SA"/>
        </w:rPr>
        <w:t>, though liability was imposed on Mr. Reynolds for his reckless concealment of information from the geotechnical engineer and in turn the purchasers with respect to slope stability issues, the court specifically did not impose liability on his wife.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Mr. Reynolds is liable as a vendor of the property, for failing to disclose a latent defect, concerning the existence of which he was reckless. Mrs. Reynolds was also a vendor. However she was not a builder. The plaintiff did not succeed in proving that she knew or ought to have known that slope stability was a problem. I therefore do not ascribe to her the recklessness that Mr. Reynolds, with his particular knowledge of the facts and the information given to the engineer, has exhibited. She is therefore not liable for a failure to disclose.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Ms. Ryckman submits that she is far removed from a proximate relationship to the infant plaintiff and does not owe her a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xml:space="preserve">  Ms. Ryckman agrees that the passage of time may not limit the duty to warn according to </w:t>
      </w:r>
      <w:r>
        <w:rPr>
          <w:rFonts w:ascii="arial" w:eastAsia="arial" w:hAnsi="arial" w:cs="arial"/>
          <w:i/>
          <w:color w:val="000000"/>
          <w:sz w:val="20"/>
          <w:lang w:val="en-US" w:eastAsia="en-US" w:bidi="ar-SA"/>
        </w:rPr>
        <w:t>Comstock International Limited v. Edmonton Flying Club</w:t>
      </w:r>
      <w:r>
        <w:rPr>
          <w:rFonts w:ascii="arial" w:eastAsia="arial" w:hAnsi="arial" w:cs="arial"/>
          <w:color w:val="000000"/>
          <w:sz w:val="20"/>
          <w:lang w:val="en-US" w:eastAsia="en-US" w:bidi="ar-SA"/>
        </w:rPr>
        <w:t xml:space="preserve">, </w:t>
      </w:r>
      <w:hyperlink r:id="rId980" w:history="1">
        <w:r>
          <w:rPr>
            <w:rFonts w:ascii="arial" w:eastAsia="arial" w:hAnsi="arial" w:cs="arial"/>
            <w:i/>
            <w:color w:val="0077CC"/>
            <w:sz w:val="20"/>
            <w:u w:val="single"/>
            <w:shd w:val="clear" w:color="auto" w:fill="FFFFFF"/>
            <w:lang w:val="en-US" w:eastAsia="en-US" w:bidi="ar-SA"/>
          </w:rPr>
          <w:t>1979 ABCA 217</w:t>
        </w:r>
      </w:hyperlink>
      <w:r>
        <w:rPr>
          <w:rFonts w:ascii="arial" w:eastAsia="arial" w:hAnsi="arial" w:cs="arial"/>
          <w:color w:val="000000"/>
          <w:sz w:val="20"/>
          <w:lang w:val="en-US" w:eastAsia="en-US" w:bidi="ar-SA"/>
        </w:rPr>
        <w:t xml:space="preserve"> [Comstock] (leave to appeal to the Supreme Court of Canada was refused, see (1979), 21 A.R. 270 (S.C.C.)). In </w:t>
      </w:r>
      <w:r>
        <w:rPr>
          <w:rFonts w:ascii="arial" w:eastAsia="arial" w:hAnsi="arial" w:cs="arial"/>
          <w:i/>
          <w:color w:val="000000"/>
          <w:sz w:val="20"/>
          <w:lang w:val="en-US" w:eastAsia="en-US" w:bidi="ar-SA"/>
        </w:rPr>
        <w:t>Comstock,</w:t>
      </w:r>
      <w:r>
        <w:rPr>
          <w:rFonts w:ascii="arial" w:eastAsia="arial" w:hAnsi="arial" w:cs="arial"/>
          <w:color w:val="000000"/>
          <w:sz w:val="20"/>
          <w:lang w:val="en-US" w:eastAsia="en-US" w:bidi="ar-SA"/>
        </w:rPr>
        <w:t xml:space="preserve"> the basis for the Court of Appeal's decision was that the defendant Comstock had knowledge of defective wiring and its failure, despite that knowledge, to take steps to warn users as to how to avoid the risk meant they continued to have a duty to warn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xml:space="preserve">  Similar results occurred in </w:t>
      </w:r>
      <w:r>
        <w:rPr>
          <w:rFonts w:ascii="arial" w:eastAsia="arial" w:hAnsi="arial" w:cs="arial"/>
          <w:i/>
          <w:color w:val="000000"/>
          <w:sz w:val="20"/>
          <w:lang w:val="en-US" w:eastAsia="en-US" w:bidi="ar-SA"/>
        </w:rPr>
        <w:t>Forsyth at all v. Sikorsky et al</w:t>
      </w:r>
      <w:r>
        <w:rPr>
          <w:rFonts w:ascii="arial" w:eastAsia="arial" w:hAnsi="arial" w:cs="arial"/>
          <w:color w:val="000000"/>
          <w:sz w:val="20"/>
          <w:lang w:val="en-US" w:eastAsia="en-US" w:bidi="ar-SA"/>
        </w:rPr>
        <w:t xml:space="preserve">, </w:t>
      </w:r>
      <w:hyperlink r:id="rId981" w:history="1">
        <w:r>
          <w:rPr>
            <w:rFonts w:ascii="arial" w:eastAsia="arial" w:hAnsi="arial" w:cs="arial"/>
            <w:i/>
            <w:color w:val="0077CC"/>
            <w:sz w:val="20"/>
            <w:u w:val="single"/>
            <w:shd w:val="clear" w:color="auto" w:fill="FFFFFF"/>
            <w:lang w:val="en-US" w:eastAsia="en-US" w:bidi="ar-SA"/>
          </w:rPr>
          <w:t>2000 BCSC 642</w:t>
        </w:r>
      </w:hyperlink>
      <w:r>
        <w:rPr>
          <w:rFonts w:ascii="arial" w:eastAsia="arial" w:hAnsi="arial" w:cs="arial"/>
          <w:color w:val="000000"/>
          <w:sz w:val="20"/>
          <w:lang w:val="en-US" w:eastAsia="en-US" w:bidi="ar-SA"/>
        </w:rPr>
        <w:t xml:space="preserve"> which dealt with a claim for personal injury resulting from a 1995 helicopter crash caused by field spindles and the tail rotor of the helicopter. The defendant was aware that some of the spindles it manufactured had failed. The court held the defendant was liable for failure to warn. The rationale for the finding of fault was grounded in the defendant's knowledge of the defect and its corresponding failure to take steps to warn the users of the helicopter.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Ms. Ryckman's counsel submits that she had no knowledge of how the wiring of the Cabinet was configured. She is not obliged to have acquired such knowledge and she did not acquire that knowledge after she transferred the Premises to the Mr. Wong and Ms. Lai.</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Analysis and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xml:space="preserve">  I have accepted the evidence that Receptacle #1 was not installed to electrical code, however, I have found that it was not the proximate cause of the damage. It was not foreseeable that it would be altered and contribute to the cause of the damage. By itself, it did not pose a significant hazard. It was unsafe because it was concealed and could not be regularly inspected. In its original configuration with the power cord, Receptacle #1 did not render the Premises dangerous and unfit for habitation and was not the kind of latent defect of the kind capable of displacing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as anticipated in </w:t>
      </w:r>
      <w:r>
        <w:rPr>
          <w:rFonts w:ascii="arial" w:eastAsia="arial" w:hAnsi="arial" w:cs="arial"/>
          <w:i/>
          <w:color w:val="000000"/>
          <w:sz w:val="20"/>
          <w:lang w:val="en-US" w:eastAsia="en-US" w:bidi="ar-SA"/>
        </w:rPr>
        <w:t>Cardwell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It is clear to me that Ms. Ryckman had no knowledge of its existence. Both she and her son thought that the pony wall still existed behind the Cabinet and that the electrical appliances were plugged into the electrical outlet which had always been in the pony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There is no evidence of any sparking or shorting out of electrical appliances which might have drawn Ms. Ryckman's attention to a problem with the Cabinet.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Unlike the other defendants, Ms. Ryckman has no duty to continue inspecting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xml:space="preserve">  The very concept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presupposes the actor could foresee harm if he conducted himself as a reasonably prudent person. I have found that it was not foreseeable that Receptacle #1 would cause this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If any duty is owed by Ms. Ryckman, it would be to Mr. Wong and Ms. Lai. As a vendor she could not intentionally conceal a latent construction defect and avoid liability for damage caused by that defect by selling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xml:space="preserve">  Given that this did not occur, Ms. Ryckman can rely on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as a defence to the third party notices against her. Ms. Ryckman's legal obligation regarding the Property ended when she sold the Property to Mr. Wong and Ms. Lai.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There is no evidence that she withheld information by way of the disclosure statement. There is no allegation of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It is my view that the third party action should be dismissed against Ms. Ryckman.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The infant plaintiff has been fully successful in her claim and is entitled to costs at Scale B from the defendants Ms. Wong, Mr. Wong and Ms. Lai.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The third parties Mr. Boyes and Ms. Ryckman have also been successful and are entitled to their costs at Scale B from the defendants Mr. Wong, Ms. Wong and Ms. Lai.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YOUNG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7"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82"/>
          <w:headerReference w:type="default" r:id="rId983"/>
          <w:footerReference w:type="even" r:id="rId984"/>
          <w:footerReference w:type="default" r:id="rId985"/>
          <w:headerReference w:type="first" r:id="rId986"/>
          <w:footerReference w:type="first" r:id="rId98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88" w:history="1">
        <w:r>
          <w:rPr>
            <w:rFonts w:ascii="arial" w:eastAsia="arial" w:hAnsi="arial" w:cs="arial"/>
            <w:b/>
            <w:bCs/>
            <w:i/>
            <w:color w:val="0077CC"/>
            <w:kern w:val="32"/>
            <w:sz w:val="28"/>
            <w:szCs w:val="32"/>
            <w:u w:val="single"/>
            <w:shd w:val="clear" w:color="auto" w:fill="FFFFFF"/>
            <w:lang w:val="en-US" w:eastAsia="en-US" w:bidi="ar-SA"/>
          </w:rPr>
          <w:t>Brandt v. Moldovan, [2013] B.C.J. No. 1492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E.J. Adair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21-25, 28 and 29,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10,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S121186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1492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1218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Clarence Brandt, Dorothy Brandt, Helene Crane, Jenica Epp, Gunter Koplin, Sandra Koplin, Bikkar Singh Lalli, Surjit Lalli, Marlin Investments Inc. and Gisela Marx, Plaintiffs, and Traian Moldovan, Robert Holmes and Canaccord Genuity Corporation,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8"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2" w:name="Keywords_39"/>
      <w:bookmarkEnd w:id="282"/>
      <w:r>
        <w:rPr>
          <w:rFonts w:ascii="arial" w:eastAsia="arial" w:hAnsi="arial" w:cs="arial"/>
          <w:b/>
          <w:color w:val="000000"/>
          <w:sz w:val="20"/>
          <w:lang w:val="en-US" w:eastAsia="en-US" w:bidi="ar-SA"/>
        </w:rPr>
        <w:t xml:space="preserve">Professional responsibility — Self-governing professions — Duties — Duty of care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Liability — Professions — Investment professionals — Brokers — Action by investor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 Investor participated in option trading program run by defendants and lost significant amounts of money — Defendants were negligent in that they failed to take reasonable care in assessing whether participation in option program was suitable for investor — As a result of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investor suffered damage — Plaintiff not contributorily negligent for failing to advise client information was incorrect as defendants never undertook suitability assessment — Investor entitled to damages of $212,952 for net losses it suffered.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Standard of care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investor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 Investor participated in option trading program run by defendants and lost significant amounts of money — Defendants were negligent in that they failed to take reasonable care in assessing whether participation in option program was suitable for investor — As a result of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investor suffered damage — Plaintiff not contributorily negligent for failing to advise client information was incorrect as defendants never undertook suitability assessment — Investor entitled to damages of $212,952 for net losses it suffered.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3" w:name="Case Summary_38"/>
            <w:bookmarkEnd w:id="28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an investor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remaining plaintiff, Marlin Investments Inc. ("MII") was a corporation wholly owned by Marlin, an 80-year-old man. Marlin was a businessman. In the early 2000s he was a member of an investment club and he had some knowledge of option trading. He incorporated MII in 2004 after meeting the defendants Holmes and Moldovan. They were investment brokers, who later became employed by the defendant Canaccord, who ran an option trading program. Criteria for participation in the program included a high net worth and trading sophistication. Although Marlin and MMI had few assets and little income, three trading accounts were opened at Canaccord for MII. The client information forms contained inaccurate and incomplete information about Marlin and MMI. As of November 30, 2005, the value of cash and securities in MMI's accounts at Canaccord totalled $200,552. Between December 2005 and August 2008, $2000 per month was withdrawn from the accounts and as of August 31, 2008, the value of the accounts' assets totalled $258,891. However, by November, the value of the assets was reduced to $5,600. MII argued that the defendants did not properly screen MII to determine whether its participation in the option program was suitable and therefore failed to satisfy their obligation to know their client. MII further argued that the option program was negligently designed and operated by the defendants and that the failed to explain the risks associated with the program to MII or even to understand the risks themselves. In addition, MII argued that the defendants failed to take appropriate steps to reduce the risks associated with participation in the option program, and failed to take appropriate steps to insure against some of the risks involved in option trading. Finally, MII argued that Canaccord, in addition to being vicariously liable for the actions of its employees, failed to supervise them adequately and failed to ensure they complied with reasonably prudent practices. The defendants argued that they breached no duty of care as MII was suitable for the option program. They further argued that even if they had breached the standard of care, MII did not suffer damage. Finally, the defendants argued that MII was contributorily negligent.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4" w:name="Holdings of Court_37"/>
            <w:bookmarkEnd w:id="28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were negligent in that they failed to take reasonable care in assessing whether participation in the option program was suitable for MII. The information contained in the client account forms was incomplete, ambiguous and inaccurate and the defendants did not undertake a suitability review. Had a proper assessment been done, MII would not have been accepted as a client. As a result of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MII suffered damage. MII was not contributorily negligent for failing to advise that the account information was incorrect as the defendants had an obligation to undertake an assessment of MMI's suitability for participation in the option program and they failed at the outset to take reasonable care in assessing MMI's suitability. MII was entitled to damages of $212,952 for the net losses it suffered against the defendants jointly and severally.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5" w:name="Legislation Cited_29"/>
      <w:bookmarkEnd w:id="28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9"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Companies' Creditors Arrangement Act, </w:t>
      </w:r>
      <w:hyperlink r:id="rId989" w:history="1">
        <w:r>
          <w:rPr>
            <w:rFonts w:ascii="arial" w:eastAsia="arial" w:hAnsi="arial" w:cs="arial"/>
            <w:i/>
            <w:color w:val="0077CC"/>
            <w:sz w:val="20"/>
            <w:u w:val="single"/>
            <w:shd w:val="clear" w:color="auto" w:fill="FFFFFF"/>
            <w:lang w:val="en-US" w:eastAsia="en-US" w:bidi="ar-SA"/>
          </w:rPr>
          <w:t>R.S.C. 1985, c. C-36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CHAPTER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Securities Rules, </w:t>
      </w:r>
      <w:hyperlink r:id="rId990" w:history="1">
        <w:r>
          <w:rPr>
            <w:rFonts w:ascii="arial" w:eastAsia="arial" w:hAnsi="arial" w:cs="arial"/>
            <w:i/>
            <w:color w:val="0077CC"/>
            <w:sz w:val="20"/>
            <w:u w:val="single"/>
            <w:shd w:val="clear" w:color="auto" w:fill="FFFFFF"/>
            <w:lang w:val="en-US" w:eastAsia="en-US" w:bidi="ar-SA"/>
          </w:rPr>
          <w:t>B.C. Reg. 194/97, s. 48</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6" w:name="Counsel_40"/>
      <w:bookmarkEnd w:id="28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0" style="position:absolute;z-index:251802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Marlin Investments Inc.: Robert E. Breivik and J. Scott Stanley.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David Mitchell and Chantelle Rajotte.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7" w:name="Judgment_40"/>
      <w:bookmarkEnd w:id="287"/>
      <w:r>
        <w:pict>
          <v:line id="_x0000_s1231" style="position:absolute;z-index:2518528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8" w:name="E.J. ADAIR J."/>
            <w:bookmarkEnd w:id="288"/>
            <w:r>
              <w:rPr>
                <w:rFonts w:ascii="arial" w:eastAsia="arial" w:hAnsi="arial" w:cs="arial"/>
                <w:b/>
                <w:color w:val="000000"/>
                <w:sz w:val="30"/>
                <w:lang w:val="en-US" w:eastAsia="en-US" w:bidi="ar-SA"/>
              </w:rPr>
              <w:t>E.J. ADAIR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Marlin Investments Inc. ("MII") sues for damages it claims to have suffered in the fall of 2008 as a result of its participation in an option trading program (the "Option Program") developed and managed by the defendants Traian Moldovan and Robert Holmes, both of whom were then employees of the defendant Canaccord Genuity Corporation. The claim is brought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MII is wholly owned by Mr. Kenneth Marlin, who, as of trial, was in his late 80s.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claims of the remaining named plaintiffs have been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MII says that Mr. Moldovan and Mr. Holmes did not properly screen MII to determine whether its participation in the Option Program was suitable, and therefore failed to satisfy the obligation owed by an investment advisor to "Know your client." MII says further that the Option Program was negligently designed and operated by Mr. Moldovan and Mr. Holmes, and asserts that not only did Mr. Moldovan and Mr. Holmes fail to explain the risks associated with the Option Program to MII, but Mr. Moldovan and Mr. Holmes did not themselves understand those risks. MII says that Mr. Moldovan and Mr. Holmes also failed to take appropriate steps to reduce the risks associated with participation in the Option Program, and failed to take appropriate steps to insure against some of the risks involved in option trading. Finally, MII says that Canaccord, in addition to being vicariously liable for the actions of its employees Mr. Moldovan and Mr. Holmes, failed to supervise Mr. Moldovan and Mr. Holmes adequately and failed to ensure that they complied with reasonably prudent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defendants say that MII's claim should be dismissed. They acknowledge a duty to "Know your client" and to assess whether investments are suitable for a client. However, they say that, based on the information provided to them by MII, and based on Mr. Marlin's sophistication, MII was suitable for the Option Program. They say further that, even if MII can show a breach of the standard of care, it cannot show the breach caused MII to suffer damage, and therefore MII cannot make out an essential part of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The defendants say in addition that, if they are found liable, then MII should be found contributorily negligent, and fault should be apportioned equally between MII and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For the reasons that follow, I conclude that the defendants are liable to MII, and that MII was not contributorily negligent. MII is entitled to damages, taking into account both the gains and losses in its Canaccord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will first describe the factual background, culminating in the losses experienced by MII in its Canaccord accounts in the fall of 2008, and then describe relevant industry practices. This will include a review of the expert report of Mr. C. Douglas Fox, which discusses those practices. I will then set out my analysis and conclusions on liability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MII was incorporated in July 2004. Since MII's incorporation, Mr. Marlin has been its president and sole shareholder.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Marlin was born in June 1923. As of the fall of 2005, when MII became a client of Canaccord, Mr. Marlin was devoting substantial time to the care of his wife, Helen, who for many years had a number of very serious health problems. (Mrs. Marlin is now deceased.) Around this time, Mr. Marlin also began experiencing some serious health problems of his own. There were problems with his pacemaker. Mr. Marlin lost the sight in his good eye (his right eye) as a result of treatment in connection with prostate cancer. Since then, Mr. Marlin has been getting by with his left eye and using a large magnifying glass. Once he lost sight in his right eye in the fall of 2005, and although his practice had been to check his bank and investment accounts regularly on-line, Mr. Marlin was no longer able to read material on a computer screen. He was also unable to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Finally, and especially in the two or three years prior to trial, Mr. Marlin has noticed significant problems with his memory. These were apparent when he testified at trial. In some areas and on some topics (for example, his time as a businessman in Alberta), his memory seemed reasonably reliable. However, in others, Mr. Marlin clearly struggled, and not merely with details of relevant events. For example, he had difficulty answering questions concerning the notices of assessment for his income tax filings over the last few years, and he struggled to recall more recent events such as his examination for discovery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However, as of trial, it was not only Mr. Marlin whose memory of relevant events was poor. Mr. Moldovan's memory was also poor and not very reliable. For example, Mr. Moldovan, who communicated from time to time with clients in the Option Program by e-mail, did not recall knowing that Mr. Marlin could not read material on a computer screen. Although he and Mr. Holmes met with Mr. Marlin from time to time after Mr. Marlin lost the sight in his right eye, Mr. Moldovan did not recall seeing Mr. Marlin using a magnifying glass. There were inconsistencies between evidence Mr. Moldovan gave at his examination for discovery and his testimony at trial. He had no real recollection of what he did to satisfy himself that the Option Program was a suitable investment for MII.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2007, Mr. Marlin and Mrs. Marlin moved into assisted living in Surrey. Before that, they were living in a house in Surrey that was owned by their son, Ron, and Mrs. Marlin.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Marlin has a connection with the company known as Marlin Travel. Mr. Marlin explained that Marlin Travel was started many years ago in the family basement in Edmonton. At the time, Mr. Marlin was managing a large sales staff, and Mrs. Marlin came up with the idea of offering travel services for these employees. Their son, Ron Marlin, who was about 19 at the time, then ran with the idea. He developed and managed the business. Marlin Travel grew into a large and successful company, run by Ron Marlin. Mr. Marlin explained that when another large travel company bought Marlin Travel, most of the money from the sale went to his son. As a result, Ron Marlin has helped and supported Mr. Marlin from time to time. This included helping Mr. Marlin with MII.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For many years, until the late 1980s, Mr. Marlin was a successful businessman in Alberta, and, at least on paper, he had substantial assets. Mr. Marlin was an executive with companies (First Investors Corp. and Associated Investors of Canada) that eventually were absorbed and became part of what was known as the "Principal Group" of companies. At First Investors, Mr. Marlin was selling mutual funds and investment contracts. At Associated Investors, Mr. Marlin was responsible for marketing materials and training sales staff. In the 1980s, Mr. Marlin was president of a company ("Principal Neo-Tech") that was listed on what was then the Toronto Stock Exchange. Mr. Marlin explained that, at the time, the Principal Group was trying to expand into Ontario. However, the provincial government refused permission to sell investments, and so, instead of pursuing acquisition of a trust company, Principal Neo-Tech went into software and graphics.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addition, in the 1980s, Mr. Marlin was a vice-president in the Principal Group. As he recalled, he was responsible for overseeing the sale of various financial instruments, including term deposits, promissory notes and mutual funds. He recalled that, at this time, margin loans were allowed on mutual funds, and most of the loans were made by First Investors and Associated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Principal Group (including First Investors and Associated Investors) suffered a financial collapse in the late 1980s. Mr. Marlin owned 10.5% of the Principal Group's shares. Prior to the collapse, he had been a wealthy man on paper. After the collapse, he was virtually wiped out. The Principal Group brought proceedings under the </w:t>
      </w:r>
      <w:r>
        <w:rPr>
          <w:rFonts w:ascii="arial" w:eastAsia="arial" w:hAnsi="arial" w:cs="arial"/>
          <w:b/>
          <w:i/>
          <w:color w:val="000000"/>
          <w:sz w:val="20"/>
          <w:lang w:val="en-US" w:eastAsia="en-US" w:bidi="ar-SA"/>
        </w:rPr>
        <w:t>Companies' Creditors Arrangement Act</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CCAA</w:t>
      </w:r>
      <w:r>
        <w:rPr>
          <w:rFonts w:ascii="arial" w:eastAsia="arial" w:hAnsi="arial" w:cs="arial"/>
          <w:color w:val="000000"/>
          <w:sz w:val="20"/>
          <w:lang w:val="en-US" w:eastAsia="en-US" w:bidi="ar-SA"/>
        </w:rPr>
        <w:t xml:space="preserve">"). There was also a commission of inquiry, known as the "Code Inquiry," which investigated the Principal Group's business affairs and practices and produced a substantial report. Mr. Marlin provided evidence for both the </w:t>
      </w:r>
      <w:r>
        <w:rPr>
          <w:rFonts w:ascii="arial" w:eastAsia="arial" w:hAnsi="arial" w:cs="arial"/>
          <w:b/>
          <w:i/>
          <w:color w:val="000000"/>
          <w:sz w:val="20"/>
          <w:lang w:val="en-US" w:eastAsia="en-US" w:bidi="ar-SA"/>
        </w:rPr>
        <w:t>CCAA</w:t>
      </w:r>
      <w:r>
        <w:rPr>
          <w:rFonts w:ascii="arial" w:eastAsia="arial" w:hAnsi="arial" w:cs="arial"/>
          <w:color w:val="000000"/>
          <w:sz w:val="20"/>
          <w:lang w:val="en-US" w:eastAsia="en-US" w:bidi="ar-SA"/>
        </w:rPr>
        <w:t xml:space="preserve"> proceedings and the Code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best as Mr. Marlin could recall at trial, he retired and moved to the Lower Mainland in 1989. He had made an assignment in bankruptcy in 1988, while still in Alberta. The record from the Office of the Superintendent of Bankruptcy Canada shows Mr. Marlin as having total liabilities of $7,617,761 and total assets of $22,000. Mr. Marlin was discharged from bankruptcy in 1995. He was then 72 years old. As far as Mr. Marlin could recall, he did not work after 1995. Rather, he was busy looking after Mrs. Marlin. His evidence in that regard was uncontradicted.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the early 2000s, Mr. Marlin was a member of what was referred to at trial as an investment club. Mr. Marlin explained that the make-up of the group varied, and was usually not more than ten people. They met at Mr. Marlin's home in Surrey, socialized and talked about different theories of investing. Around this time, Mr. Marlin took a course in trading options. He had a recollection of testing option trading in 2003, and said that he would keep a record of trades as if he had made investments, but without actually doing any trading. In other words, the trades and results were hypothetical, not actual.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trial, Mr. Marlin was unable to recall why he incorporated MII in 2004, although the incorporation coincided with the beginning of the relationship with Mr. Moldovan and Mr. Holmes.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of 2004, Mr. Moldovan and Mr. Holmes were working together at TD Waterhouse in Kelowna, essentially as a team, dealing with clients who were participating in the option trading program there. Both Mr. Moldovan and Mr. Holmes held themselves out to the public as "option specialists," although there is no such formal designation. Mr. Moldovan started work as an investment advisor in 1996 in Vancouver, and joined TD Waterhouse in Kelowna later that year. He was licensed to trade in options. Mr. Holmes had been a licensed broker since the late 1990s, and was also licensed to trade options. He joined TD Waterhouse in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Moldovan explained that he devised his OEX 100 option trading strategy (which evolved into the Option Program) in the fall of 1998. Initially, only a single client was involved. However, according to Mr. Moldovan, the number of clients grew gradually and steadily. As Mr. Moldovan recalled, at its peak, the Option Program had about 120 accounts and was generating substantial monthly commissions (about $90,000 per month), which were shared between Mr. Moldovan and Mr. Holmes, and their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Moldovan explained that the strategy was based on the S&amp;P 100 index. He explained that he picked that index because he felt that, given its make-up, that index represented the least amount of risk. Mr. Moldovan explained that the strategy held up during the market decline in September 2001. Essentially, the strategy involved the simultaneous selling (or "writing") of a put option and the selling of a call option on the S&amp;P 100 index. By the time Mr. Moldovan and Mr. Holmes joined Canaccord, the strategy included the purchase of a put option (a "protective put") with an exercise price below the exercise price of the put option sold in connection with the call option. The full strategy would consist of two or three contracts on each side (e.g., two puts and two calls). Ideally, the options would expire unexercised (or worthless), and the client would keep the premium and thereby make a profit. However, at times, the client could find itself "in the money" and with a liability, which could be substantial. A client could lose money unless it "rolled out" a new position. Mr. Moldovan explained that a client would have to purchase the option "in the money", and then sell a new option position two months out. In most cases, the sale would cover the cost of the expiring option that was "in the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Sometime in the fall of 2004, MII opened an account at TD Waterhouse to participate in the option trading program being run there by Mr. Moldovan and Mr. Holmes. As of trial, no one involved was able to recall how events unfolded at that time. With very limited exceptions, no documents were produced at trial in connection with MII's TD Waterhouse account. If information was collected when MII's account was opened, I do not know what the information was or how it was collected. I do not know if an assessment was done of MII's suitability for participation in the strategy, and if it was, how the assessment was done or what factors were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Holmes's discovery evidence read in as part of MII's case was to the effect that he did not recall anything specifically about any of the plaintiffs, and he did not recall meeting with them the first time and explaining the advice and products he would be 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Moldovan's discovery evidence read in as part of MII's case was to the same effect. Mr. Moldovan recalled that, while he and Mr. Holmes were running the option trading program at TD Waterhouse, basic criteria for participation included that the client have a high net worth (minimum $1 million), and that the client required a level of sophistication in order to know what he or she was involved in, that is, that the nature of the trading was short-term and high risk. If a client did not have a sufficiently high net worth, the client would not qualify for the program. A high net worth was required because of the potential liability associated with trading in uncovered options. Mr. Moldovan explained that more margin might be required if the market moved severely against the positions. Mr. Moldovan did not recall how he and Mr. Holmes determined suitability, and he did not keep any notes of the initial interviews with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his evidence at trial, Mr. Moldovan confirmed that option trading is done through a margin account, and that to open an account and participate in the Option Program, a client needed to have a minimum of $100,000 (preferably in cash) available as margin capital. According to Mr. Holmes, the expectation was that $100,000 would be between 10% and 15% of a client's net worth. An important part of the strategy involved having capital available in the event of a margin call, and a client needed to have the ability to meet a margin call. In the event of a rapid decline in the stock market, a put option that has been sold can go "into the money" for the seller, leaving the seller with a significant liability and facing a possible margin call. If the seller was unable to meet the margin call and could not introduce new capital, the position would be closed off and a loss realized. Mr. Moldovan explained that buying a "protective put" as part of the strategy could limit the potential exposure.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best as Mr. Marlin could recall, he had dealt with TD Bank for about ten years, and trusted them, and he also had a few investments with TD Waterhouse. As best as he could recall, he had bought and sold options through TD Waterhouse, and he said that he relied on TD representatives for advice about where he should invest and what was safe. He recalled meeting Mr. Moldovan and Mr. Holmes when they were at TD Waterhouse. Mr. Marlin said that he did not have much experience trading options. Apart from the paper trading Mr. Marlin did, essentially for his own amusement, there is little to indicate he had any significant experience trading options prior to MII's account being opened at TD Waterhouse.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Moldovan and Mr. Holmes left TD Waterhouse in the fall of 2005 and moved to Canaccord. One of the reasons for the move was because TD Waterhouse did not want brokers selling options. Another reason was that it was possible for Mr. Moldovan and Mr. Holmes to make more money at Canaccord because of the different compensation structure. They brought most of the clients who were participating in the option program at TD Waterhouse with them to Canaccord. This included MII.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Canaccord set out the terms of Mr. Moldovan's and Mr. Holmes's employment in separate letters dated September 8, 2005, and in a separate "Investment Advisor Employment Agreement" dated September 9, 2005. Mr. Moldovan and Mr. Holmes were each to have the title "investment advisor," and each of them reported to Bruce Dickson, a Canaccord vice-president and branch manager of the Kelowna office. Their official start date was October 27, 2005. Under the heading "Miscellaneous," the letters set out some special terms regarding the Option Program, and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per your strategy of employing extensive use of short selling calls and puts simultaneously on the S &amp; P 100 and various other indexes, it is agreed by both yourselves and Canaccord that the margin requirements for the purchase and sale of these instruments will be more strict than currently established normal industry regulations.</w:t>
      </w:r>
    </w:p>
    <w:p>
      <w:pPr>
        <w:numPr>
          <w:numId w:val="2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short put positions will have offsetting long positions at a level further out of the money than the main position.</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margin on put positions will cover the entire spread.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short call positions will be covered by twice the normal industry margin requirements.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there is risk at any one time on only one side of a put/call spread trade, Canaccord will not require margin on both sides of the trade but only on the larger of the two sides, i.e., puts or calls.</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margin required for the short option positions must be held in U.S.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"offsetting long positions at a level further out of the money than the main position" are the "protective puts."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Moldovan and Mr. Holmes brought over about a hundred Option Program clients to Canaccord from TD Waterhouse. At Canaccord, Mr. Moldovan's and Mr. Holmes's compensation was based on the number of transactions they executed each month, rather than the performance of the portfolio. An average month would generate between $80,000 and $100,000 in revenue, of which 50% went to Canaccord. Mr. Moldovan and Mr. Holmes then split the other 50% equally. Mr. Holmes acknowledged that both he and Mr. Moldovan were responsible for the clients. Whatever Mr. Moldovan did, Mr. Holmes was also responsible for, and vice versa. They marketed themselves to clients as a team, and I find that is in fact how they carried on business at Canaccord.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Since MII was a new client at Canaccord, new accounts needed to be opened, and, for that purpose, Mr. Marlin signed and initialled a number of Canaccord documents. Mr. Holmes was probably not involved in generating the documents. He believed that anything typed into the documents was done before the documents were sent to Mr. Marlin to sign. As of trial, both Mr. Marlin and Mr. Moldovan had a poor recollection of the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seems most likely, and I conclude, that the forms, with information already typed in, were generated at Canaccord's office in Kelowna, on Mr. Moldovan's instructions, and then sent to Mr. Marlin in Surrey to sign or initial and send back. At least one document - a personal guarantee given by Mr. Marlin for MII - was completed incorrectly by Mr. Marlin and had to be redone. The corrected document (dated in December 2005, about a month after MII's account at Canaccord was opened) shows Mr. Holmes as the witness to Mr. Marlin's signature.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 total of three margin accounts were opened at Canaccord for MII: a Canadian dollar account, a U.S. dollar account for fixed income and common shares and a second U.S. dollar account for option trading.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At trial, two copies of an "Account Information Legal Entity" form signed and initialled by Mr. Marlin (on behalf of MII) and dated October 27, 2005 were produced. This is the basic information form for MII. Although the copies are very similar, they are not identical. On both copies, most of the information is typed in, although some information has been written in by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both copies, in the "Account Holder Assets" section, information has been typed in. "Estimated Net Liquid Assets" are shown as $500,000, while "Estimated Net Fixed Assets" are shown as $200,000, for an estimated total net worth of $700,000. At trial, Mr. Marlin was unable to say where these figures came from. He said further that there were very few assets in MII. He said that in October 2005, he still had a car but otherwise had very few fixed assets. Mr. Marlin thought that MII held whatever assets he had, and he could not recall having anything in his own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trial, neither Mr. Moldovan nor Mr. Holmes was able to shed any further light on these "assets." I do not know what they consisted of, or where or how they were held, although the "net liquid assets" probably included what was being transferred from TD Waterhouse to the new accounts at Canaccord.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the box "Approximate annual income from all sources," $50,000 is typed in. At trial, Mr. Marlin said that amount sounded "excessive," since he was living on government subsidies, CPP and old age security. He did not know how the amounts ended up on the form. Mr. Marlin did not recall meeting with anyone from Canaccord and talking about these dollar amounts. His evidence on this point is uncontradicted.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Holmes was asked at trial about some of the information on the completed "Account Information" document. He said that he did not know how or where either the $500,000 in net liquid assets or the $200,000 in net fixed assets were held. He did not know whether anyone asked. He did not know where the $50,000 in approximate annual income from all sources came from. Mr. Moldovan was not asked.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There is a difference between the two copies in the section "Investment Objectives." On one copy (which came from Canaccord's file for MII), 100% is typed in under "Speculative High risk." In the other copy, there is a line through this number, and 100% has been written in by hand under "Short Term Trading Medium-High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"Investment Experience" section is identical on both copies, and information has been typed in. The boxes indicating "Extensive" experience in options, commodities/futures, venture situations and margin have all been checked. On the other hand, boxes for such things as common shares, preferred shares and mutual funds (among other categories) have been checked to indicate "Moderate" experience, even though Mr. Marlin was selling mutual funds in the 1980s. At trial, Mr. Marlin said that he did not have extensive experience in options, or in commodities/futures or venture solutions. He described his experience in margin accounts as moderate.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nature of MII's business is described as a private holding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Canaccord's file for MII also contains a "Supplemental Account Profile" form. This form has information about Mr. Marlin personally, and Mr. Holmes explained that the document is intended to record information about the person with beneficial ownership of a corporate client. In the context of the Option Program, information about Mr. Marlin was important because he was giving a personal guarantee for MII. Again some information on the form is typed, and some is written in by hand. At trial, no one was able to identify the source of the typed information. However, I conclude that, like the information on the "Account Information Legal Entity" form, the typed information was inserted at Canaccord on Mr. Moldovan's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form does a poor job of capturing information about Mr. Marlin. There is nothing on the form in the section for Mr. Marlin's spouse, although at the time Mrs. Marlin was still alive. "# of Dependents" is left blank. MII is typed in under "Employer's Name," although the form also shows "Self Employed" typed in as Mr. Marlin's occupation. Beside "Years with Employer," the figure "45" is typed in. What all of this is actually supposed to mean in relation to the "Know your client" rule is a mystery, since MII was in fact incorporated in 2004 and Mr. Marlin had been retired since about 1995. Mr. Marlin never made any secret of this. Mr. Marlin's correct birth date has been typed in. A reader would be informed he was in his 80s. I conclude that both Mr. Moldovan and Mr. Holmes knew how old Mr. Marlin was, and that in fact he was retired.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 section "Co-account Holder Assets," some figures are written in by hand. At trial, Mr. Marlin was asked about the handwritten figures, and when asked if it was his handwriting, indicated that he would say yes. However, he also said that he did not know what the numbers meant. For example, the figure "565,000" appears under estimated net liquid assets, "850,000" under estimated fixed assets and "1,415,000" under estimated total net worth. The circumstances in which the figures were placed on the form were never explained. In the absence of some credible explanation, I am not prepared to infer that Mr. Marlin, on his own, deliberately wrote down on this form figures purporting to represent his personal assets when he knew those figures did not accurately represent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Canaccord's file contained a page that Mr. Holmes identified as a client summary for MII's account that he printed in October 2005, while still at TD Waterhouse. There are some handwritten notes on the document. The notes appear to relate to MII and Mr. Marlin. The defendants observed in argument that the figures in these notes were "consistent" with, although "slightly different from," the handwritten figures that appear on the Supplemental Account Profile form. They submitted both that Mr. Marlin was in fact the source of the information about MII's assets and that he was willing to misrepresent his own assets. Mr. Holmes identified the handwriting on the TD Waterhouse client summary page as Mr. Moldovan's, and he said that he did not know how Mr. Moldovan got the information. However, Mr. Moldovan was not asked anything about the notes. As a result, I do not know anything about the circumstances in which the notes were created. In particular, I know nothing about when Mr. Moldovan made the notes, why he was making the notes, how he came to record what is in the notes or whether at any relevant time he reviewed anything in the notes with Mr. Marlin. In those circumstances, I am not prepared to infer that Mr. Marlin was the source of what is recorded in the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Marlin signed a "Margin Account Agreement" on behalf of MII, and an unlimited personal guarantee. In both, he consented to Canaccord obtaining personal and credit information from a variety of sources "for the purpose of establishing my identity, reputation and credit worthiness."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Marlin also signed a collection of form documents related specifically to option trading.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"Risk Acknowledgment Statement for Uncovered Option Writers" stated in part (</w:t>
      </w:r>
      <w:r>
        <w:rPr>
          <w:rFonts w:ascii="arial" w:eastAsia="arial" w:hAnsi="arial" w:cs="arial"/>
          <w:b/>
          <w:color w:val="000000"/>
          <w:sz w:val="20"/>
          <w:lang w:val="en-US" w:eastAsia="en-US" w:bidi="ar-SA"/>
        </w:rPr>
        <w:t>bold</w:t>
      </w:r>
      <w:r>
        <w:rPr>
          <w:rFonts w:ascii="arial" w:eastAsia="arial" w:hAnsi="arial" w:cs="arial"/>
          <w:color w:val="000000"/>
          <w:sz w:val="20"/>
          <w:lang w:val="en-US" w:eastAsia="en-US" w:bidi="ar-SA"/>
        </w:rPr>
        <w:t xml:space="preserve"> in original):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special risks associated with uncovered option writing which expose the investor to potentially significant losses. Therefore, this type of strategy may not be suitable for all clients approved for options transactions.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potential loss of uncovered call option writing is </w:t>
      </w:r>
      <w:r>
        <w:rPr>
          <w:rFonts w:ascii="arial" w:eastAsia="arial" w:hAnsi="arial" w:cs="arial"/>
          <w:b/>
          <w:color w:val="000000"/>
          <w:sz w:val="20"/>
          <w:lang w:val="en-US" w:eastAsia="en-US" w:bidi="ar-SA"/>
        </w:rPr>
        <w:t>unlimited</w:t>
      </w:r>
      <w:r>
        <w:rPr>
          <w:rFonts w:ascii="arial" w:eastAsia="arial" w:hAnsi="arial" w:cs="arial"/>
          <w:color w:val="000000"/>
          <w:sz w:val="20"/>
          <w:lang w:val="en-US" w:eastAsia="en-US" w:bidi="ar-SA"/>
        </w:rPr>
        <w:t>. The writer of an uncovered call is in an extremely risky position and must understand that he/she can incur large losses if the value of the underlying instrument increases above the exercise price. The Firm does not generally support this strategy.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with writing uncovered calls, the risk of writing uncovered put options is substantial.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Uncovered option writing is thus suitable only for the knowledgeable investor who understands the risks, has the financial capacity and ability to handle potentially large losses, and has sufficient liquid assets to meet applicable margin requirements.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risk statement does not and was not intended to enumerate all of the risks entailed in writing uncovered options.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NOTE: It is expected that you will read the document "</w:t>
      </w:r>
      <w:r>
        <w:rPr>
          <w:rFonts w:ascii="arial" w:eastAsia="arial" w:hAnsi="arial" w:cs="arial"/>
          <w:b/>
          <w:color w:val="000000"/>
          <w:sz w:val="20"/>
          <w:lang w:val="en-US" w:eastAsia="en-US" w:bidi="ar-SA"/>
        </w:rPr>
        <w:t>Risk Disclosure Statement for Futures and Options (Exchange Contracts)</w:t>
      </w:r>
      <w:r>
        <w:rPr>
          <w:rFonts w:ascii="arial" w:eastAsia="arial" w:hAnsi="arial" w:cs="arial"/>
          <w:color w:val="000000"/>
          <w:sz w:val="20"/>
          <w:lang w:val="en-US" w:eastAsia="en-US" w:bidi="ar-SA"/>
        </w:rPr>
        <w:t>" which was provided to you at the time the option account was opened.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undersigned acknowledges having read and understood the foregoing Risk Acknowledgement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Marlin's signature then appears.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At trial, Mr. Marlin acknowledged signing a letter dated November 11, 2005 and addressed to Canaccord to the attention of the Compliance Department and Mr. Moldovan. The text of the letter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Kenneth Marlin President and owner of Marlin Investments Inc [sic] Fully [sic] understand all the risks and implications of trading Uncovered US Index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Mr. Marlin could not remember reading the letter, although he recalled someone giving it to him to sign. Neither Mr. Moldovan nor Mr. Holmes was asked about it. The letter's purpose or the circumstances in which it was created were never explained. No one explained what use, if any, was made of it, or whether it was required in order to open MII's Canaccord accounts. Neither Mr. Moldovan nor Mr. Holmes testified that either of them relied on the contents of the letter in any way. I seriously doubt that reliance on the bald statement in the letter, to conclude that Mr. Marlin in fact fully understood </w:t>
      </w:r>
      <w:r>
        <w:rPr>
          <w:rFonts w:ascii="arial" w:eastAsia="arial" w:hAnsi="arial" w:cs="arial"/>
          <w:color w:val="000000"/>
          <w:sz w:val="20"/>
          <w:u w:val="single"/>
          <w:lang w:val="en-US" w:eastAsia="en-US" w:bidi="ar-SA"/>
        </w:rPr>
        <w:t>all</w:t>
      </w:r>
      <w:r>
        <w:rPr>
          <w:rFonts w:ascii="arial" w:eastAsia="arial" w:hAnsi="arial" w:cs="arial"/>
          <w:color w:val="000000"/>
          <w:sz w:val="20"/>
          <w:lang w:val="en-US" w:eastAsia="en-US" w:bidi="ar-SA"/>
        </w:rPr>
        <w:t xml:space="preserve"> the risks and implications of trading uncovered options, would be 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MII began trading options in the Option Program in November 2005. Protective puts were purchased for the S&amp;P 100 index options. However, MII's trading was not limited to the S&amp;P 100 index. It also included trades on gold and oil indexes. As Mr. Holmes recalled, within a few months after MII's accounts were opened at Canaccord, no protective puts were purchased for this trading, even though there was more volatility on those indexes. Mr. Moldovan looked after the OEX 100 side of the Option Program, while Mr. Holmes looked after the commodities.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Neither Mr. Moldovan nor Mr. Holmes had any notes or e-mail confirming instructions from clients (including MII) concerning trades. However, Mr. Moldovan explained that he communicated with clients (including Mr. Marlin on behalf of MII) in a variety of ways concerning their accounts at Canaccord: by telephone, by electronic newsletters, through the client's transactions records and monthly statements, through personal meetings and at seminars. Mr. Marlin was, of course, living in Surrey, while Mr. Moldovan and Mr. Holmes were in Kelowna. Neither Mr. Moldovan nor Mr. Holmes could recall seeing Mr. Marlin at a seminar after May 2007, although Mr. Moldovan's phone records indicate he was in reasonably regular contact with Mr. Marlin.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Moldovan identified an e-mail message sent by him dated May 21, 2007 as an example of an electronic newsletter. In his evidence-in-chief, he testified that the e-mail was sent to all clients, including MII. However, there is nothing on the face of the document to show this, and Mr. Marlin was not asked about the document. As of May 2007, he could not read material on a computer screen.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e-mail provides some useful insight into Mr. Moldovan's (and presumably also Mr. Holmes's) thinking about the Option Program and about the importance of margin. It also mentions a change concerning protective puts.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message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OEX Clients,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Happy Victoria 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"Strategy" and its 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important to remind ourselves the purpose of what we are doing - that is to create positive monthly cash flow, on a trade date settlement basis.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we also know at times, such as NOW, getting caught "deep in-the-money" on the CALLS, the cash flow is much harder to generate. Nevertheless, given the ability to "stay-the-game," EVENTUALLY, the higher cash flows will return, if you have FAITH in the fundamental principals [sic] of the strategy (and margin).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"MARGIN" Game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cannot stress the fact enough that, beyond the "fundamental beliefs" the MOST important aspect of what we are doing is based on MARGIN.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"unlimited" margin, you cannot loose [sic] at this game. However, that is NOT the case for most of 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first time ever, the recommended margin of $100,000 per 3 CALLS/PUTS, a total of 6 outstanding short combinations, is slightly not enough for the accounts with the lowest CALL positions.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for those clients with the June 640 CALLS, and the new July 640 CALLS, the margin, or collateral, or total equity in your account may not be sufficient. Meaning that, to hold the existing positions and the same quantity of contracts, additional margin is needed.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Insurance - Change in Strategy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PUT protective "crash" insurance was purchased in May, for the July expiration. We are applying a change in "protective put insurance" to all. If you still wish to maintain the "full", instead of the new "half" insurance strategy, please let me know, and I can buy it for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will automatically purchase protective puts every month for the "near term month" instead of buying it, as we have, for two months out.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their evidence, both Mr. Moldovan and Mr. Holmes talked about the importance of having margin or capital in order to stay invested or "stay in the game."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Holmes described the essence of the strategy as being having margin to stay in the game, and without a high net worth, an investor might not be able to do this. He explained further that an investor could lose a lot of money if forced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Moldovan's evidence was to a similar effect. The strategy required investors to have the ability to contribute more capital if need be; in other words, it was a margin strategy. They also had to have the financial resources to be able to withstand the consequences of option trading.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As of November 30, 2005, the market value of the cash and securities in MII's accounts at Canaccord (described as the "Total Consolidated Assets" on MII's account statements from Canaccord) was $200,552.69. Every month from December 2005 to August 2008, $2,000 was transferred out to an account belonging to MII at TD Canada Trust in Surrey. I did not hear any evidence from Mr. Marlin about this account, and I do not know what the account was used for or how much money was on deposit at any given time. When asked on cross-examination (at a point where it appeared to me that Mr. Marlin was really struggling with his memory), Mr. Marlin did not recall taking any income or dividends from MII in the years 2005 to 2008. He was not asked further about the monthly transfers of $2,000. Mr. Marlin personally deposited $29,000 to the MII Canaccord account in December 2006. He was not asked about this at the trial, and therefore I do not know anything about the source of these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of August 31, 2008, the value of the "Total Consolidated Assets" in MII's accounts at Canaccord was $258,891.76. However, the next few months brought disaster. As of December 31, 2008, and despite an additional contribution from MII of $60,000 in November, the value of the "Total Consolidated Assets" was reduced to $5,600.47.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Of course, MII was not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Moldovan invested his own money (about $200,000), as well as money that he borrowed, in the Option Program. He lost all of it. Although Mr. Moldovan considered himself a sophisticated investor, he was unable to take steps to avoid or recoup any of his losses when the markets crashed in the fall of 2008. He essentially lost everything.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Holmes also suffered personal losses in the hundreds of thousands of dollars: this was his whole investment in the Option Program. Like Mr. Moldovan, Mr. Holmes considered that he was a sophisticated investor. However, he was unable to survive the crash because he ran out of capital. Mr. Holmes said that his father (who was in his 70s) also invested in the Option Program and lost a substantial amount of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Industry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turn next to the industry practice. I will first discuss some of the regulatory framework, and in particular the "Know your client" rule, in which Mr. Moldovan and Mr. Holmes operated the Option Program, and then discuss the opinion evidence from Mr. Fox, a recognized expert in this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Regulatory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At the relevant time, the </w:t>
      </w:r>
      <w:r>
        <w:rPr>
          <w:rFonts w:ascii="arial" w:eastAsia="arial" w:hAnsi="arial" w:cs="arial"/>
          <w:b/>
          <w:i/>
          <w:color w:val="000000"/>
          <w:sz w:val="20"/>
          <w:lang w:val="en-US" w:eastAsia="en-US" w:bidi="ar-SA"/>
        </w:rPr>
        <w:t>Securities Rules</w:t>
      </w:r>
      <w:r>
        <w:rPr>
          <w:rFonts w:ascii="arial" w:eastAsia="arial" w:hAnsi="arial" w:cs="arial"/>
          <w:color w:val="000000"/>
          <w:sz w:val="20"/>
          <w:lang w:val="en-US" w:eastAsia="en-US" w:bidi="ar-SA"/>
        </w:rPr>
        <w:t xml:space="preserve">, </w:t>
      </w:r>
      <w:hyperlink r:id="rId991" w:history="1">
        <w:r>
          <w:rPr>
            <w:rFonts w:ascii="arial" w:eastAsia="arial" w:hAnsi="arial" w:cs="arial"/>
            <w:i/>
            <w:color w:val="0077CC"/>
            <w:sz w:val="20"/>
            <w:u w:val="single"/>
            <w:shd w:val="clear" w:color="auto" w:fill="FFFFFF"/>
            <w:lang w:val="en-US" w:eastAsia="en-US" w:bidi="ar-SA"/>
          </w:rPr>
          <w:t>B.C. Reg. 194/97</w:t>
        </w:r>
      </w:hyperlink>
      <w:r>
        <w:rPr>
          <w:rFonts w:ascii="arial" w:eastAsia="arial" w:hAnsi="arial" w:cs="arial"/>
          <w:color w:val="000000"/>
          <w:sz w:val="20"/>
          <w:lang w:val="en-US" w:eastAsia="en-US" w:bidi="ar-SA"/>
        </w:rPr>
        <w:t xml:space="preserve"> contained a specific rule concerning the obligation on an investment advisor to "Know your client" and concerning suitability. The rule (s. 48) provided in relevant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Know your client and suitability rules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(1) A registrant . . . must make enquiries concerning each client</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learn the essential facts relative to every client, including the identity and, if applicable, credit worthiness of the client and the reputation of the client if information known to the registrant causes doubt as to whether the client is of good business or financial reputation, and</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determine the general investment needs and objectives of the client, the appropriateness of a recommendation made to that client and the suitability of a proposed purchase or sale for that client.</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registrant considers that a proposed purchase or sale is not suitable for the investment needs and objectives of a client that is an individual, the registrant must make a reasonable effort to so advise the client before executing the proposed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of January 2008, industry standards were also described in the rule book of the Investment Industry Regulatory Organization of Canada ("IIROC"). IIROC was created in 2008 as a result of the consolidation of the Investment Dealers Association of Canada and Market Regulation Services Inc. IIROC Rule 1300 concerns supervision of accounts. Rule 1300.1(p) and (q) provide in relevant part:</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 . [E]ach Dealer Member shall use due diligence to ensure that the acceptance of any order from a customer is suitable for such customer based on factors including the customer's financial situation, investment knowledge, investment objectives and risk tolerance.</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Dealer Member, when recommending to a customer the purchase, sale, exchange or holding of any security, shall use due diligence to ensure that the recommendation is suitable for such customer based on factors including the customer's financial situation, investment knowledge, investment objectives and risk tolerance.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Canaccord's Policies and Procedures manual included a chapter (Chapter 4) on compliance. Section 4.8, entitled "Inappropriate High Risk Strategies,"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can be difficult to assess, but in general, older, low net worth, and most unsophisticated clients should not be participating in any material way in speculative securities.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the evidence read in from Mr. Moldovan's discovery as part of MII's case, Mr. Moldovan indicated that he was aware of the "Know your client" rule, although he was not specifically aware of s. 48 of the </w:t>
      </w:r>
      <w:r>
        <w:rPr>
          <w:rFonts w:ascii="arial" w:eastAsia="arial" w:hAnsi="arial" w:cs="arial"/>
          <w:b/>
          <w:i/>
          <w:color w:val="000000"/>
          <w:sz w:val="20"/>
          <w:lang w:val="en-US" w:eastAsia="en-US" w:bidi="ar-SA"/>
        </w:rPr>
        <w:t>Securities Rules</w:t>
      </w:r>
      <w:r>
        <w:rPr>
          <w:rFonts w:ascii="arial" w:eastAsia="arial" w:hAnsi="arial" w:cs="arial"/>
          <w:color w:val="000000"/>
          <w:sz w:val="20"/>
          <w:lang w:val="en-US" w:eastAsia="en-US" w:bidi="ar-SA"/>
        </w:rPr>
        <w:t xml:space="preserve"> or IIROC Rule 1300. Nevertheless, he agreed that, as a broker, he had to make sure he knew his clients sufficiently to ensure that a client was matched with appropriate securities. He agreed that the "Know your client" rule is the standard that applies to everyone in the securities industry and is generally accepted. Mr. Moldovan also agreed that he had an obligation initially to gather information about clients to make sure that they were going to be suitable participants in the Option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his evidence at trial, Mr. Moldovan agreed with the proposition that even if a client wanted to participate in the Option Program, the onus was on him to refuse if it was not suitable for that client. However, he also said that he was not aware he had to investigate concerning suitability. He was prepared to accept that "perhaps" he would need to know what other investments a client had, in order to ensure a balanced portfolio. However, in this case, he could not recall what he did. Mr. Moldovan could not recall whether he contacted Mr. Marlin to ask him questions about what was on the account opening documents, and I conclude that he probably did not. Mr. Moldovan had no notes of such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Mr. Holmes's discovery evidence read in at trial, he agreed that a broker needed to know his or her client, and that, not only was the obligation grounded in various regulatory requirements, it was also simply a matter of good, standard practice. He was familiar with IIROC Rule 1300. Mr. Holmes agreed that a broker needed to know a client's situation, and needed to make sure that each transaction that was executed for the client was appropriate for that client. Mr. Holmes agreed that the onus is on the broker to do the due diligence to make sure that the transaction is appropriate. He acknowledged that the Option Program was really only for sophisticated people who knew what they were doing and had the resources to back it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his evidence at trial, Mr. Holmes said that Mr. Moldovan was primarily the one who dealt with Mr. Marlin, something that Mr. Moldovan did not dispute. Mr. Holmes also said that he thought that Mr. Moldovan would have done the suitability review for MII. However, Mr. Moldovan was unable to say what he did. In any event, Mr. Holmes did not recall ever doing a suitability review himself. He agreed with the views expressed by his branch manager, Mr. Dickson, that the "Know your client" rule is a basic rule in the securities industry, and that to gather information, you would speak to the client at length, ask questions, do a bank check, and also try and do this on a regular basis. Mr. Holmes considered that updating client information every three years would be adequate, unless there was a material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Both Mr. Moldovan and Mr. Holmes were very firm in their views that the Option Program was not speculative investing.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MII filed an expert report from Mr. Fox concerning industry practices. The defendants did not require Mr. Fox to attend for cross-examination, and, accordingly, Mr. Fox did not testify at trial. The defendants did not tender any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Fox is an independent consultant with over 25 years' experience in the securities industry, and a principal with the firm Risk Management Services Inc. Among other things, Mr. Fox's firm provides regulatory risk consulting for investment dealers, mutual fund dealers, portfolio managers and others, as well as litigation support services for both plaintiffs and the securities industry. Mr. Fox has been qualified to give opinion evidence on broker standards and industry standards in courts in Ontario, B.C. and the Bahamas. Over his career, Mr. Fox has held several senior "compliance" positions, including that of "Chief Compliance Officer" and "Ultimate Designated Person." He has spoken at industry conferences and participated on several regulatory committees dealing with standards and practices of the financial services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order to prepare the report, plaintiffs' counsel provided Mr. Fox with a set of assumptions and a selection of documents. The documents included account statements and other documents relating to three other plaintiffs (Ms. Crane, and the Koplins). Mr. Fox was not provided with any documents or information relating specifically to MII or Mr. Marlin, nor was he asked to express an opinion on questions relating specifically to the circumstances of either MII or Mr. Marlin. Although Mr. Fox was not asked to and did not consider the specific circumstances of MII, I have found his opinions helpful both on questions that would apply generally to the relationship between a client and a broker and to anyone who invested in the Option Program (including MII), and on matters relating to the practices of a reasonably prudent investment advisor.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Mr. Fox's opinion, the appropriate investment objectives to engage the OEX options strategy would fall in the highest risk category available on the account information form, whether or not protective puts were purchased as part of the strategy. On the Canaccord Account Information form, this category was "Speculative High risk." This is where Mr. Moldovan had typed in "100%" for MII.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Fox explained that the probability of loss on the downside would decrease with the purchase of a protective put. However, the strategy required the investor to sell an uncovered - or "naked" - call option (i.e., no protective calls were purchased). The theoretical risk of selling a call option without owning the underlying security to sell or deliver if required to by the buyer is infinite. Thus, an investor's entire capital and more was at risk every time the investor sold a call option. Mr. Fox's opinion on this point is consistent with the statement in Canaccord's "Risk Acknowledgment Statement for Uncovered Option Writers."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Fox noted that, in his experience acting as a "designated registered options principal" of an investment dealer, special care was required and taken in the supervision of accounts engaged in naked call writing. He noted further that naked call writing is viewed as holding such risk that many firms simply do not permit the activity at all, even though they may permit options trading.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Mr. Fox's opinion, a reasonably prudent investment advisor would always consider the percentage of liquid assets that are exposed to loss at any one time as a result of the OEX options strategy, as the advisor should when recommending any investment to a client. Mr. Fox explained that industry standards as described in the IIROC rule book say that the investment advice of an advisor must be appropriate to a client, taking into account the client's financial circumstances, age, occupation and other factors. He noted in particular provisions of IIROC Rule 1300.1 (p) and (q), and said that the standards require that an advisor take into account the financial circumstances of the client when advising on "any security," not just on an option strategy. In Mr. Fox's opinion, taking into account the capital available to invest and the risk of loss to that capital is a fundamental consideration with any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Fox explained further that, in any option writing/selling strategy, the capital to sustain the strategy becomes extremely important, and margin is required by the regulations and the broker to be a safeguard against loss to both the client and the firm. In their evidence, both Mr. Moldovan and Mr. Holmes also confirmed the importance of having margin capital available in relation to participation in the Option Program, and the importance of having the financial resources to be able to withstand the consequences of option trading.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Mr. Fox's opinion, after taking into account the margin requirement for a particular trade and the risk tolerance of the client, a reasonably prudent investment advisor would then examine the amount of liquid assets that the client could put at risk. Mr. Fox explained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most cases, and in my experience, advisors will generally suggest to clients that they place no more than 10-25% of their liquid assets at risk at any one time. This amount will be greater or smaller depending upon the financial circumstances and age of the client. For instance, accepted investment wisdom dictates that a retired person should make investments that do not put their principal at risk, and certainly not if they require their principal to provide income in their retirement years. The reason being is that they are by definition no longer employed, need the funds to finance their retirement, and are unable to replace them if they were to suffer a loss. For certain retired persons it would be inappropriate for them to make any high risk investments. For others, a small percentage of high risk may be acceptable if it would not put their financial health 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Fox also noted the statement in Canaccord's Policy and Procedures manual that "in general, older, low net worth, and most unsophisticated clients should not be participating in any material way in speculative investments." In his view, this indicated that Canaccord recognized that speculation is normally not appropriate for older and/or unsophisticated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Fox noted that the account information forms he reviewed for Ms. Crane and the Koplins indicated they had "extensive" knowledge of the commodities and futures market, in addition to options and other high risk investments such as short selling. The MII account information form also has these same boxes checked indicating "extensive" experience in options, commodities and futures, and margin. Mr. Fox said that, in his experience, it is very rare to encounter a retail investor with sophisticated knowledge of the futures market, and that only few in the investment industry have this type of knowledge. In other words, "extensive" experience (whatever "extensive" might mean) in these areas is unusual.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Fox was asked to express his opinion on whether a reasonably prudent investment advisor would make any assessments as to the client's ability to meet margin calls prior to allowing the client to trade in options, and if his opinion was that an assessment would be made, to explain the nature of that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Fox explained that the ability of a client to meet a margin call has a direct bearing on whether the recommendation to engage in a particular strategy or stock purchase is in fact suitable, based on the client's financial circumstances. In the event that the margin in a client account falls below a certain level, the firm will demand more capital or ultimately may sell or close the position at what could prove an inopportune time for the client. Losses can result when the client's account falls under margin. Mr. Fox explained that, for these reasons, a reasonably prudent investment advisor would assess whether a client has sufficient capital so that an early margin call will not put them at risk of suffering a loss, prior to allowing the client to trade in options. If a client lacks the capital to meet a margin call, this invariably means that the client may suffer a loss that the client cannot afford.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Fox explained further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assessing a client's ability to meet margin calls the advisor must use "due diligence" to learn the essential facts of a client's financial circumstances. Do they have significant assets outside of their trading account; how much can they afford to put at risk, or are the funds in the trading account the only liquid assets available? These are questions that will and should be part of the process when making a suitability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Mr. Fox's opinion, a reasonably prudent investment advisor would not recommend a strategy that would put the client at a risk that was greater than the client could afford. Mr. Fox explained that trading uncovered index options is not a strategy that is suitable for the retail investor unless the investor has significant means and can afford large near term losses. If the investor can accept these types of losses and has the capital to stay with the strategy over the long term, then profits are possible. But to do this, the investor would also need to have the resolve and discipline not to panic when there are swings in the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Fox stated that his opinion on the point would not change even if the account information form had indicated an investment objective of "100% speculative high risk," rather than "100% short term trading medium-high risk." He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simple expedient of selecting another box or category on the application form would not be sufficient information for the advisor to change his/her recommendation for the client. Additional information would be required in order to satisfy compliance with the standard that the advisor use "due diligence" to learn essential facts and financial circumstances of a client. To be clear, the strategy must be suitable to the client and not merely conform to the information recorded on an account opening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final matter on which Mr. Fox was asked to express his opinion concerned the profile of an investor that would reasonably be considered a "suitable" investor for participation in the Option Program, with reference to the criteria normally used by a reasonably prudent investment advisor to make such an assessment. Mr. Fox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OEX Index option strategy on its own is a systematic approach to producing income through the action of selling combinations of options. First, it requires a very large capital base; much more than merely the margin requirements of a single trade. It is a strategy that may succeed over time but only if one has the capital to continue to roll over the losing positions and re-establish new ones that one will hope, eventually, will show a profit. It requires capital, but moreover it also requires the discipline to follow it without deviation - and potentially for a long period of time, as in the near term one may suffer adverse short term volatility.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strategy also requires the ability to withstand consistent short-term losses that may persist in the event that the market continues in one direction unchecked for a period of time. The investor must be able to withstand these losses. In addition, the investor must also be able to withstand the occasional large loss that will result from a "spike" in the markets.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Finally, the investor must have a certain level of sophistication and understanding of the mechanics and the risk/reward of the strategy so that they also understand the results that they are achieving on a month to month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those who may not fall into this bracket, it is difficult to see the need for it as a bona-fide holding in their portfolio. To make [a] suitability determination for this strategy it might include an investor who had some risk capital at their disposal; which if lost, would not represent any financial hardship. It would also require a sophisticated investor with a solid understanding of the dynamics of the options markets. It would not be appropriate for an investor looking for stable income or growth in their portfolio. It is a portfolio strategy that is market-neutral and does not require the markets to go up or down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There cannot be much doubt that an investment advisor in the position of Mr. Moldovan and Mr. Holmes owes a duty of care to the investment advisor's client. The scope of the duty varies with the nature of the particular relationship: see, e.g., </w:t>
      </w:r>
      <w:r>
        <w:rPr>
          <w:rFonts w:ascii="arial" w:eastAsia="arial" w:hAnsi="arial" w:cs="arial"/>
          <w:b/>
          <w:i/>
          <w:color w:val="000000"/>
          <w:sz w:val="20"/>
          <w:lang w:val="en-US" w:eastAsia="en-US" w:bidi="ar-SA"/>
        </w:rPr>
        <w:t>Quantum Financial Services (Canada) Ltd. v. Yip</w:t>
      </w:r>
      <w:r>
        <w:rPr>
          <w:rFonts w:ascii="arial" w:eastAsia="arial" w:hAnsi="arial" w:cs="arial"/>
          <w:color w:val="000000"/>
          <w:sz w:val="20"/>
          <w:lang w:val="en-US" w:eastAsia="en-US" w:bidi="ar-SA"/>
        </w:rPr>
        <w:t xml:space="preserve">, 1998 CanLII 3981, </w:t>
      </w:r>
      <w:hyperlink r:id="rId992" w:history="1">
        <w:r>
          <w:rPr>
            <w:rFonts w:ascii="arial" w:eastAsia="arial" w:hAnsi="arial" w:cs="arial"/>
            <w:i/>
            <w:color w:val="0077CC"/>
            <w:sz w:val="20"/>
            <w:u w:val="single"/>
            <w:shd w:val="clear" w:color="auto" w:fill="FFFFFF"/>
            <w:lang w:val="en-US" w:eastAsia="en-US" w:bidi="ar-SA"/>
          </w:rPr>
          <w:t>60 B.C.L.R. (3d) 365</w:t>
        </w:r>
      </w:hyperlink>
      <w:r>
        <w:rPr>
          <w:rFonts w:ascii="arial" w:eastAsia="arial" w:hAnsi="arial" w:cs="arial"/>
          <w:color w:val="000000"/>
          <w:sz w:val="20"/>
          <w:lang w:val="en-US" w:eastAsia="en-US" w:bidi="ar-SA"/>
        </w:rPr>
        <w:t xml:space="preserve"> (S.C.), at para. 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this case, and while they were employed at Canaccord, Mr. Moldovan and Mr. Holmes were offering and providing services to clients, including MII, that went well beyond those of a broker who merely makes sales and purchases on clients' instructions. Both Mr. Moldovan and Mr. Holmes held themselves out as "option specialists." They offered to provide clients, including MII, with advice and services concerning option trading, following the strategy that Mr. Moldovan had developed in the late 1990s and that evolved into the Option Program. According to Mr. Moldovan, clients came to him and Mr. Holmes for the Option Program. I do not doubt this. It was the basis of MII's relationship with Mr. Moldovan and Mr. Holmes during the time MII had accounts at Canaccord. MII followed Mr. Moldovan and Mr. Holmes from TD Waterhouse, with the objective of continuing to participate in the Option Program. MII then traded options in the Option Program, based on the recommendations of Mr. Moldovan and Mr. Holmes.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duty of care owed by an investment advisor is not only shaped by the particular relationship between advisor and client, but also by the regulatory framework that governs the relationship: see </w:t>
      </w:r>
      <w:r>
        <w:rPr>
          <w:rFonts w:ascii="arial" w:eastAsia="arial" w:hAnsi="arial" w:cs="arial"/>
          <w:b/>
          <w:i/>
          <w:color w:val="000000"/>
          <w:sz w:val="20"/>
          <w:lang w:val="en-US" w:eastAsia="en-US" w:bidi="ar-SA"/>
        </w:rPr>
        <w:t>Quantum</w:t>
      </w:r>
      <w:r>
        <w:rPr>
          <w:rFonts w:ascii="arial" w:eastAsia="arial" w:hAnsi="arial" w:cs="arial"/>
          <w:color w:val="000000"/>
          <w:sz w:val="20"/>
          <w:lang w:val="en-US" w:eastAsia="en-US" w:bidi="ar-SA"/>
        </w:rPr>
        <w:t>, at para. 83. Although Mr. Moldovan in particular may not have been specifically acquainted with, for example, IIROC Rule 1300, both Mr. Moldovan and Mr. Holmes accepted that they had obligations to comply with the "Know your client" and suitability rules, as part of standard practice. The considerations described in the Canaccord Policy and Procedures manual concerning "Inappropriate High Risk Strategies" would be an example of something that should be kept in mind when assessing whether an investment was suitable for a particular client, as an aspect of prudent and proper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An investment advisor is not a guarantor of financial success, so the question for determination is not whether the advisor's advice was correct or whether the client achieved the desired result. Rather, the question is whether the advisor has brought to bear an appropriate degree of care and skill in the exercise of his or her professional judgment. See </w:t>
      </w:r>
      <w:r>
        <w:rPr>
          <w:rFonts w:ascii="arial" w:eastAsia="arial" w:hAnsi="arial" w:cs="arial"/>
          <w:b/>
          <w:i/>
          <w:color w:val="000000"/>
          <w:sz w:val="20"/>
          <w:lang w:val="en-US" w:eastAsia="en-US" w:bidi="ar-SA"/>
        </w:rPr>
        <w:t>Varcoe v. Sterling</w:t>
      </w:r>
      <w:r>
        <w:rPr>
          <w:rFonts w:ascii="arial" w:eastAsia="arial" w:hAnsi="arial" w:cs="arial"/>
          <w:color w:val="000000"/>
          <w:sz w:val="20"/>
          <w:lang w:val="en-US" w:eastAsia="en-US" w:bidi="ar-SA"/>
        </w:rPr>
        <w:t xml:space="preserve"> </w:t>
      </w:r>
      <w:hyperlink r:id="rId993" w:history="1">
        <w:r>
          <w:rPr>
            <w:rFonts w:ascii="arial" w:eastAsia="arial" w:hAnsi="arial" w:cs="arial"/>
            <w:i/>
            <w:color w:val="0077CC"/>
            <w:sz w:val="20"/>
            <w:u w:val="single"/>
            <w:shd w:val="clear" w:color="auto" w:fill="FFFFFF"/>
            <w:lang w:val="en-US" w:eastAsia="en-US" w:bidi="ar-SA"/>
          </w:rPr>
          <w:t>(1992), 7 O.R. (3d) 204</w:t>
        </w:r>
      </w:hyperlink>
      <w:r>
        <w:rPr>
          <w:rFonts w:ascii="arial" w:eastAsia="arial" w:hAnsi="arial" w:cs="arial"/>
          <w:color w:val="000000"/>
          <w:sz w:val="20"/>
          <w:lang w:val="en-US" w:eastAsia="en-US" w:bidi="ar-SA"/>
        </w:rPr>
        <w:t xml:space="preserve"> (Gen. Div.), at p. 236. Thus, it is necessary to consider whether the advisor has acted in accordance with a practice that is accepted as proper by a person skilled in that profession.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A breach of duty (such as non-compliance with rules and regulations) does not, in and of itself, give rise to liability.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 plaintiff must still prove that the breach </w:t>
      </w:r>
      <w:r>
        <w:rPr>
          <w:rFonts w:ascii="arial" w:eastAsia="arial" w:hAnsi="arial" w:cs="arial"/>
          <w:color w:val="000000"/>
          <w:sz w:val="20"/>
          <w:u w:val="single"/>
          <w:lang w:val="en-US" w:eastAsia="en-US" w:bidi="ar-SA"/>
        </w:rPr>
        <w:t>caused</w:t>
      </w:r>
      <w:r>
        <w:rPr>
          <w:rFonts w:ascii="arial" w:eastAsia="arial" w:hAnsi="arial" w:cs="arial"/>
          <w:color w:val="000000"/>
          <w:sz w:val="20"/>
          <w:lang w:val="en-US" w:eastAsia="en-US" w:bidi="ar-SA"/>
        </w:rPr>
        <w:t xml:space="preserve"> the plaintiff to suffer damage. See </w:t>
      </w:r>
      <w:r>
        <w:rPr>
          <w:rFonts w:ascii="arial" w:eastAsia="arial" w:hAnsi="arial" w:cs="arial"/>
          <w:b/>
          <w:i/>
          <w:color w:val="000000"/>
          <w:sz w:val="20"/>
          <w:lang w:val="en-US" w:eastAsia="en-US" w:bidi="ar-SA"/>
        </w:rPr>
        <w:t>Junko v. Canaccord Capital, Toles</w:t>
      </w:r>
      <w:r>
        <w:rPr>
          <w:rFonts w:ascii="arial" w:eastAsia="arial" w:hAnsi="arial" w:cs="arial"/>
          <w:color w:val="000000"/>
          <w:sz w:val="20"/>
          <w:lang w:val="en-US" w:eastAsia="en-US" w:bidi="ar-SA"/>
        </w:rPr>
        <w:t xml:space="preserve">, </w:t>
      </w:r>
      <w:hyperlink r:id="rId994" w:history="1">
        <w:r>
          <w:rPr>
            <w:rFonts w:ascii="arial" w:eastAsia="arial" w:hAnsi="arial" w:cs="arial"/>
            <w:i/>
            <w:color w:val="0077CC"/>
            <w:sz w:val="20"/>
            <w:u w:val="single"/>
            <w:shd w:val="clear" w:color="auto" w:fill="FFFFFF"/>
            <w:lang w:val="en-US" w:eastAsia="en-US" w:bidi="ar-SA"/>
          </w:rPr>
          <w:t>2012 ONSC 6966</w:t>
        </w:r>
      </w:hyperlink>
      <w:r>
        <w:rPr>
          <w:rFonts w:ascii="arial" w:eastAsia="arial" w:hAnsi="arial" w:cs="arial"/>
          <w:color w:val="000000"/>
          <w:sz w:val="20"/>
          <w:lang w:val="en-US" w:eastAsia="en-US" w:bidi="ar-SA"/>
        </w:rPr>
        <w:t>, at para.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There can also be little doubt that the cardinal rule of the brokerage business is the "Know your client" rule. The rule is designed to ensure that a portfolio is suitable for the client: see </w:t>
      </w:r>
      <w:r>
        <w:rPr>
          <w:rFonts w:ascii="arial" w:eastAsia="arial" w:hAnsi="arial" w:cs="arial"/>
          <w:b/>
          <w:i/>
          <w:color w:val="000000"/>
          <w:sz w:val="20"/>
          <w:lang w:val="en-US" w:eastAsia="en-US" w:bidi="ar-SA"/>
        </w:rPr>
        <w:t>Junko</w:t>
      </w:r>
      <w:r>
        <w:rPr>
          <w:rFonts w:ascii="arial" w:eastAsia="arial" w:hAnsi="arial" w:cs="arial"/>
          <w:color w:val="000000"/>
          <w:sz w:val="20"/>
          <w:lang w:val="en-US" w:eastAsia="en-US" w:bidi="ar-SA"/>
        </w:rPr>
        <w:t xml:space="preserve">, at para. 52 and </w:t>
      </w:r>
      <w:r>
        <w:rPr>
          <w:rFonts w:ascii="arial" w:eastAsia="arial" w:hAnsi="arial" w:cs="arial"/>
          <w:b/>
          <w:i/>
          <w:color w:val="000000"/>
          <w:sz w:val="20"/>
          <w:lang w:val="en-US" w:eastAsia="en-US" w:bidi="ar-SA"/>
        </w:rPr>
        <w:t>Robinson v. Fundex Investments Inc.</w:t>
      </w:r>
      <w:r>
        <w:rPr>
          <w:rFonts w:ascii="arial" w:eastAsia="arial" w:hAnsi="arial" w:cs="arial"/>
          <w:color w:val="000000"/>
          <w:sz w:val="20"/>
          <w:lang w:val="en-US" w:eastAsia="en-US" w:bidi="ar-SA"/>
        </w:rPr>
        <w:t xml:space="preserve">, </w:t>
      </w:r>
      <w:hyperlink r:id="rId995" w:history="1">
        <w:r>
          <w:rPr>
            <w:rFonts w:ascii="arial" w:eastAsia="arial" w:hAnsi="arial" w:cs="arial"/>
            <w:i/>
            <w:color w:val="0077CC"/>
            <w:sz w:val="20"/>
            <w:u w:val="single"/>
            <w:shd w:val="clear" w:color="auto" w:fill="FFFFFF"/>
            <w:lang w:val="en-US" w:eastAsia="en-US" w:bidi="ar-SA"/>
          </w:rPr>
          <w:t>[2006] O.J. No. 2976</w:t>
        </w:r>
      </w:hyperlink>
      <w:r>
        <w:rPr>
          <w:rFonts w:ascii="arial" w:eastAsia="arial" w:hAnsi="arial" w:cs="arial"/>
          <w:color w:val="000000"/>
          <w:sz w:val="20"/>
          <w:lang w:val="en-US" w:eastAsia="en-US" w:bidi="ar-SA"/>
        </w:rPr>
        <w:t xml:space="preserve">, </w:t>
      </w:r>
      <w:hyperlink r:id="rId995" w:history="1">
        <w:r>
          <w:rPr>
            <w:rFonts w:ascii="arial" w:eastAsia="arial" w:hAnsi="arial" w:cs="arial"/>
            <w:i/>
            <w:color w:val="0077CC"/>
            <w:sz w:val="20"/>
            <w:u w:val="single"/>
            <w:shd w:val="clear" w:color="auto" w:fill="FFFFFF"/>
            <w:lang w:val="en-US" w:eastAsia="en-US" w:bidi="ar-SA"/>
          </w:rPr>
          <w:t>2006 CanLII 24459</w:t>
        </w:r>
      </w:hyperlink>
      <w:r>
        <w:rPr>
          <w:rFonts w:ascii="arial" w:eastAsia="arial" w:hAnsi="arial" w:cs="arial"/>
          <w:color w:val="000000"/>
          <w:sz w:val="20"/>
          <w:lang w:val="en-US" w:eastAsia="en-US" w:bidi="ar-SA"/>
        </w:rPr>
        <w:t xml:space="preserve"> (Ont. S.C.J.), at para. 101. The concept of suitability involves a consideration of a variety of factors relating to the investor: age, income and net worth, investment knowledge, investment objectives and risk tolerance. See </w:t>
      </w:r>
      <w:r>
        <w:rPr>
          <w:rFonts w:ascii="arial" w:eastAsia="arial" w:hAnsi="arial" w:cs="arial"/>
          <w:b/>
          <w:i/>
          <w:color w:val="000000"/>
          <w:sz w:val="20"/>
          <w:lang w:val="en-US" w:eastAsia="en-US" w:bidi="ar-SA"/>
        </w:rPr>
        <w:t>Davis v. Orion Securities Inc.</w:t>
      </w:r>
      <w:r>
        <w:rPr>
          <w:rFonts w:ascii="arial" w:eastAsia="arial" w:hAnsi="arial" w:cs="arial"/>
          <w:color w:val="000000"/>
          <w:sz w:val="20"/>
          <w:lang w:val="en-US" w:eastAsia="en-US" w:bidi="ar-SA"/>
        </w:rPr>
        <w:t xml:space="preserve">, </w:t>
      </w:r>
      <w:hyperlink r:id="rId996" w:history="1">
        <w:r>
          <w:rPr>
            <w:rFonts w:ascii="arial" w:eastAsia="arial" w:hAnsi="arial" w:cs="arial"/>
            <w:i/>
            <w:color w:val="0077CC"/>
            <w:sz w:val="20"/>
            <w:u w:val="single"/>
            <w:shd w:val="clear" w:color="auto" w:fill="FFFFFF"/>
            <w:lang w:val="en-US" w:eastAsia="en-US" w:bidi="ar-SA"/>
          </w:rPr>
          <w:t>2006 CanLII 26966</w:t>
        </w:r>
      </w:hyperlink>
      <w:r>
        <w:rPr>
          <w:rFonts w:ascii="arial" w:eastAsia="arial" w:hAnsi="arial" w:cs="arial"/>
          <w:color w:val="000000"/>
          <w:sz w:val="20"/>
          <w:lang w:val="en-US" w:eastAsia="en-US" w:bidi="ar-SA"/>
        </w:rPr>
        <w:t xml:space="preserve"> (Ont. S.C.J.),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forms that a client is asked to complete when an account is opened are one method whereby an investment advisor can collect information for purposes of the "Know your client" and suitability rules. However, these forms are not the only method for an investment advisor to know his or her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For example, the information-gathering process that Mr. Dickson described (and that Mr. Holmes agreed with) as part of complying with the "Know your client" rule went well beyond merely accepting at face value information on account opening forms. Mr. Fox expressed the views that the investment advisor must use due diligence to learn the essential facts of a client's financial circumstances, and that an investment strategy must be suitable to the client, not merely conform to the information recorded on an account opening form.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Here, much of the information on the forms was filled in at Canaccord, on Mr. Moldovan's instructions, before the forms were sent to Mr. Marlin. In other words, Mr. Moldovan, in his capacity as investment advisor, took on the initial responsibility to complete the forms. Mr. Moldovan could provide little assistance concerning how he gathered the information about MII and Mr. Marlin that ended up on the forms. His evidence is too thin to support a conclusion that, in carrying out this task, he exercised reasonable care. Mr. Marlin, for example, did not recall anyone from Canaccord contacting him, and his evidence is uncontradicted. As I noted above, some of the information typed on the Supplemental Account Profile form did not make much sense. Information that is incomplete or ambiguous or does not appear to make sense is a poor guide to "knowing your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find that it was Mr. Moldovan who made the decision to check the boxes indicating "extensive" knowledge of the commodities and futures markets and options, because unless those boxes were checked, the accounts would not be opened. He probably did not know the level of MII's (or Mr. Marlin's) experience with option trading, and made an assumption. Mr. Moldovan checked off "moderate" for mutual funds, even though Mr. Marlin in fact had experience selling mutual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defendants argue that, if the information on the account information forms is wrong, MII and Mr. Marlin are nevertheless bound, and that if the misrepresentations misled Canaccord into believing that MII was suitable for the Option Program when in fact it was not, Canaccord cannot be held accountable. They cite </w:t>
      </w:r>
      <w:r>
        <w:rPr>
          <w:rFonts w:ascii="arial" w:eastAsia="arial" w:hAnsi="arial" w:cs="arial"/>
          <w:b/>
          <w:i/>
          <w:color w:val="000000"/>
          <w:sz w:val="20"/>
          <w:lang w:val="en-US" w:eastAsia="en-US" w:bidi="ar-SA"/>
        </w:rPr>
        <w:t>Fraser Jewellers (1982) Ltd. v. Dominion Electric Protection Co.</w:t>
      </w:r>
      <w:r>
        <w:rPr>
          <w:rFonts w:ascii="arial" w:eastAsia="arial" w:hAnsi="arial" w:cs="arial"/>
          <w:color w:val="000000"/>
          <w:sz w:val="20"/>
          <w:lang w:val="en-US" w:eastAsia="en-US" w:bidi="ar-SA"/>
        </w:rPr>
        <w:t xml:space="preserve">, </w:t>
      </w:r>
      <w:hyperlink r:id="rId997" w:history="1">
        <w:r>
          <w:rPr>
            <w:rFonts w:ascii="arial" w:eastAsia="arial" w:hAnsi="arial" w:cs="arial"/>
            <w:i/>
            <w:color w:val="0077CC"/>
            <w:sz w:val="20"/>
            <w:u w:val="single"/>
            <w:shd w:val="clear" w:color="auto" w:fill="FFFFFF"/>
            <w:lang w:val="en-US" w:eastAsia="en-US" w:bidi="ar-SA"/>
          </w:rPr>
          <w:t>1997 CanLII 4452</w:t>
        </w:r>
      </w:hyperlink>
      <w:r>
        <w:rPr>
          <w:rFonts w:ascii="arial" w:eastAsia="arial" w:hAnsi="arial" w:cs="arial"/>
          <w:color w:val="000000"/>
          <w:sz w:val="20"/>
          <w:lang w:val="en-US" w:eastAsia="en-US" w:bidi="ar-SA"/>
        </w:rPr>
        <w:t xml:space="preserve">, </w:t>
      </w:r>
      <w:hyperlink r:id="rId997" w:history="1">
        <w:r>
          <w:rPr>
            <w:rFonts w:ascii="arial" w:eastAsia="arial" w:hAnsi="arial" w:cs="arial"/>
            <w:i/>
            <w:color w:val="0077CC"/>
            <w:sz w:val="20"/>
            <w:u w:val="single"/>
            <w:shd w:val="clear" w:color="auto" w:fill="FFFFFF"/>
            <w:lang w:val="en-US" w:eastAsia="en-US" w:bidi="ar-SA"/>
          </w:rPr>
          <w:t>148 D.L.R. (4th) 496</w:t>
        </w:r>
      </w:hyperlink>
      <w:r>
        <w:rPr>
          <w:rFonts w:ascii="arial" w:eastAsia="arial" w:hAnsi="arial" w:cs="arial"/>
          <w:color w:val="000000"/>
          <w:sz w:val="20"/>
          <w:lang w:val="en-US" w:eastAsia="en-US" w:bidi="ar-SA"/>
        </w:rPr>
        <w:t xml:space="preserve"> (Ont. C.A.), at para. 30, in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am unable to accept this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First, </w:t>
      </w:r>
      <w:r>
        <w:rPr>
          <w:rFonts w:ascii="arial" w:eastAsia="arial" w:hAnsi="arial" w:cs="arial"/>
          <w:b/>
          <w:i/>
          <w:color w:val="000000"/>
          <w:sz w:val="20"/>
          <w:lang w:val="en-US" w:eastAsia="en-US" w:bidi="ar-SA"/>
        </w:rPr>
        <w:t>Fraser Jewellers</w:t>
      </w:r>
      <w:r>
        <w:rPr>
          <w:rFonts w:ascii="arial" w:eastAsia="arial" w:hAnsi="arial" w:cs="arial"/>
          <w:color w:val="000000"/>
          <w:sz w:val="20"/>
          <w:lang w:val="en-US" w:eastAsia="en-US" w:bidi="ar-SA"/>
        </w:rPr>
        <w:t xml:space="preserve"> is a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case, not a case about liability of a broker or investment advisor. The account information forms are not intended to create contractual liability. They are a step in gathering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Second, I conclude that neither Mr. Moldovan nor Mr. Holmes in fact relied on the information on the forms signed by Mr. Marlin when the MII accounts were opened. Mr. Moldovan in particular knew how the forms were generated. I do not think it reasonable for him to generate a form indicating that Mr. Marlin was still earning an income from employment at age 82, without making some further inquiry about the facts. There is no evidence that he did, and the careless manner in which the forms were generated leads me to conclude that Mr. Moldovan never placed much importance on them, other than as a means to get the accounts opened. Moreover, neither Mr. Moldovan nor Mr. Holmes used the information on the forms to assess and determine the suitability of the Option Program for MII. Mr. Holmes acknowledged that he never did a suitability review at any time. Mr. Moldovan was not aware that he needed to investigate to make a determination about suitability, and if he did something, he could not recall what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Third, in the context of the "Know your client" rule, there is a limit to the use that can and should be made of the forms. This point is made, for example, by Lederer J. in </w:t>
      </w:r>
      <w:r>
        <w:rPr>
          <w:rFonts w:ascii="arial" w:eastAsia="arial" w:hAnsi="arial" w:cs="arial"/>
          <w:b/>
          <w:i/>
          <w:color w:val="000000"/>
          <w:sz w:val="20"/>
          <w:lang w:val="en-US" w:eastAsia="en-US" w:bidi="ar-SA"/>
        </w:rPr>
        <w:t>Parent v. Leach</w:t>
      </w:r>
      <w:r>
        <w:rPr>
          <w:rFonts w:ascii="arial" w:eastAsia="arial" w:hAnsi="arial" w:cs="arial"/>
          <w:color w:val="000000"/>
          <w:sz w:val="20"/>
          <w:lang w:val="en-US" w:eastAsia="en-US" w:bidi="ar-SA"/>
        </w:rPr>
        <w:t xml:space="preserve">, </w:t>
      </w:r>
      <w:hyperlink r:id="rId998" w:history="1">
        <w:r>
          <w:rPr>
            <w:rFonts w:ascii="arial" w:eastAsia="arial" w:hAnsi="arial" w:cs="arial"/>
            <w:i/>
            <w:color w:val="0077CC"/>
            <w:sz w:val="20"/>
            <w:u w:val="single"/>
            <w:shd w:val="clear" w:color="auto" w:fill="FFFFFF"/>
            <w:lang w:val="en-US" w:eastAsia="en-US" w:bidi="ar-SA"/>
          </w:rPr>
          <w:t>[2008] O.J. No. 2155</w:t>
        </w:r>
      </w:hyperlink>
      <w:r>
        <w:rPr>
          <w:rFonts w:ascii="arial" w:eastAsia="arial" w:hAnsi="arial" w:cs="arial"/>
          <w:color w:val="000000"/>
          <w:sz w:val="20"/>
          <w:lang w:val="en-US" w:eastAsia="en-US" w:bidi="ar-SA"/>
        </w:rPr>
        <w:t xml:space="preserve">, </w:t>
      </w:r>
      <w:hyperlink r:id="rId998" w:history="1">
        <w:r>
          <w:rPr>
            <w:rFonts w:ascii="arial" w:eastAsia="arial" w:hAnsi="arial" w:cs="arial"/>
            <w:i/>
            <w:color w:val="0077CC"/>
            <w:sz w:val="20"/>
            <w:u w:val="single"/>
            <w:shd w:val="clear" w:color="auto" w:fill="FFFFFF"/>
            <w:lang w:val="en-US" w:eastAsia="en-US" w:bidi="ar-SA"/>
          </w:rPr>
          <w:t>2008 CanLII 26688</w:t>
        </w:r>
      </w:hyperlink>
      <w:r>
        <w:rPr>
          <w:rFonts w:ascii="arial" w:eastAsia="arial" w:hAnsi="arial" w:cs="arial"/>
          <w:color w:val="000000"/>
          <w:sz w:val="20"/>
          <w:lang w:val="en-US" w:eastAsia="en-US" w:bidi="ar-SA"/>
        </w:rPr>
        <w:t xml:space="preserve"> (Ont. S.C.J.), at paras. 111 and following and paras. 162 and following. At best, they are a statement of a position at a point in time, and there are other sources of information that contribute to an advisor's knowledge about a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Fourth, Mr. Fox does not suggest that a reasonably prudent investment advisor would stop the "Know your client" process at the account information forms, nor did Mr. Dickson (with whose evidence Mr. Holmes agreed). In his report, Mr. Fox uses the term "due diligence" to describe the steps that a reasonably prudent investment advisor should take, and he says that an investment strategy must be suitable to the client and not merely conform to information recorded on an account opening form. In addition to being a matter of prudent practice, it simply makes common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my view, Mr. Moldovan and Mr. Holmes failed to take reasonable care in assessing MII's suitability for participation in the Option Program, and I conclude that if a proper assessment (as described by Mr. Fox, and consistent with the obligation to "Know your client") had been done, MII would not have been accepted as a client. Moreover, because of the undisputed importance of margin and the ability to "stay in the game," and because Mr. Marlin was giving a personal guarantee for MII, Mr. Marlin's personal circumstances needed to be taken into account in assessing whether the Option Program was suitable for MII. In that light, since Mr. Marlin was personally at risk, Mr. Moldovan and Mr. Holmes needed to consider whether participation in the Option Program was suitable for a retired person in his 80s. I find that they simply failed to do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defendants argue that, based on what was contained in the forms Mr. Marlin signed when the accounts were opened, MII looked suitable, and MII was a suitable client for the Option Program because Mr. Marlin was a sophisticated investor. However, I do not think this is sufficient to satisfy the defendants' obligations to take reasonable care in assessing MII's suitability.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It is true that Mr. Fox was not asked to express his opinion on whether MII was a suitable client. However, what is important for my purposes is that Mr. Fox does describe the profile of an investor that could be considered suitable for participating in the option trading program, with reference to the criteria normally used by a reasonably prudent investment advisor to make such an assessment. Based on his evidence, I am in a position to come to my own conclusions concerning MII, and whether the defendants complied with their duty to exercise reasonable skill and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As Mr. Fox describes, the investor requires a large capital base, discipline to follow the strategy without deviation for potentially a long period of time, the ability to withstand consistent short-term losses and the ability to withstand the occasional large loss. This description is consistent with both Mr. Moldovan's and Mr. Holmes's evidence concerning both basic features of the Option Program and the importance of margin. However, there is no indication that either Mr. Moldovan or Mr. Holmes spent any time with Mr. Marlin when the accounts were being opened at Canaccord to investigate and discuss with him whether MII fit this description, or whether MII (or Mr. Marlin) had capital available to "stay in the game" over the long term. In Mr. Fox's opinion, the program might be suitable for an investor who had some risk capital at their disposal, which, if lost, would not represent any financial hardship. However, there is no indication Mr. Moldovan or Mr. Holmes ever had this discussion with Mr. Marlin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Depending on the circumstances, it can be true that a broker is not obliged "to put his nose into his client's business": see </w:t>
      </w:r>
      <w:r>
        <w:rPr>
          <w:rFonts w:ascii="arial" w:eastAsia="arial" w:hAnsi="arial" w:cs="arial"/>
          <w:b/>
          <w:i/>
          <w:color w:val="000000"/>
          <w:sz w:val="20"/>
          <w:lang w:val="en-US" w:eastAsia="en-US" w:bidi="ar-SA"/>
        </w:rPr>
        <w:t>Reed v. McDermid St. Lawrence Ltd.</w:t>
      </w:r>
      <w:r>
        <w:rPr>
          <w:rFonts w:ascii="arial" w:eastAsia="arial" w:hAnsi="arial" w:cs="arial"/>
          <w:color w:val="000000"/>
          <w:sz w:val="20"/>
          <w:lang w:val="en-US" w:eastAsia="en-US" w:bidi="ar-SA"/>
        </w:rPr>
        <w:t xml:space="preserve"> </w:t>
      </w:r>
      <w:hyperlink r:id="rId999" w:history="1">
        <w:r>
          <w:rPr>
            <w:rFonts w:ascii="arial" w:eastAsia="arial" w:hAnsi="arial" w:cs="arial"/>
            <w:i/>
            <w:color w:val="0077CC"/>
            <w:sz w:val="20"/>
            <w:u w:val="single"/>
            <w:shd w:val="clear" w:color="auto" w:fill="FFFFFF"/>
            <w:lang w:val="en-US" w:eastAsia="en-US" w:bidi="ar-SA"/>
          </w:rPr>
          <w:t>(1990), 52 B.C.L.R. (2d) 265</w:t>
        </w:r>
      </w:hyperlink>
      <w:r>
        <w:rPr>
          <w:rFonts w:ascii="arial" w:eastAsia="arial" w:hAnsi="arial" w:cs="arial"/>
          <w:color w:val="000000"/>
          <w:sz w:val="20"/>
          <w:lang w:val="en-US" w:eastAsia="en-US" w:bidi="ar-SA"/>
        </w:rPr>
        <w:t xml:space="preserve"> (C.A.), at p. 270. However, here, the nature of the investment proposed to be made (one which Canaccord itself recognized as high risk, with potentially unlimited risk) and the importance of margin and having the capital to stay invested, coupled with Mr. Marlin's age, meant that properly assessing suitability was very important. Even if one accepts at face value the information on the account opening form concerning MII's assets, neither Mr. Moldovan nor Mr. Holmes made any inquiry about how those assets were held, for example. They were, therefore, not in a position to make a considered assessment about whether it made sense for MII to participate in the Option Program, or whether it was suitable.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defendants say that Mr. Marlin was a "sophisticated investor." I am not persuaded that as of the fall of 2005, Mr. Marlin was in fact a sophisticated investor. He certainly had a long history in the financial services industry, but that was several decades old as of 2005. Mr. Marlin had a current interest in learning and discussing different investment vehicles with others - his club members, for example. He had taken a course in option trading, and had done some paper trading to see how things would work. But I doubt whether these things made him a "sophisticated investor" in this area, where, based on Mr. Fox's opinion, "extensive experience" was rare.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share Mr. Fox's scepticism about the boxes checked off on the account information form, indicating "extensive experience" in areas where it would be unusual for a retail investor to have such experience. In context, I do not think a reasonably prudent investment advisor would place much weight on such representations. On the evidence, neither Mr. Moldovan nor Mr. Holmes did in fact place weight on what was in the forms.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agree with Mr. Stanley's submission that, like all the clients Mr. Moldovan and Mr. Holmes brought with them to Canaccord, Mr. Moldovan already regarded MII as suitable. In other words, Mr. Moldovan assumed MII was suitable, without actually looking at whether MII (with Mr. Marlin as guarantor) was in fact suitable. Mr. Holmes did not assess MII's suitability.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Even if Mr. Marlin could legitimately be described as a sophisticated investor with respect to option trading, there were other factors - particularly Mr. Marlin's age - that made the Option Program, where Mr. Marlin was giving a personal guarantee and where the ability to contribute margin capital was critical, an unsuitable investment for MII, his holding company. In my view, had a proper suitability assessment been undertaken by Mr. Moldovan and Mr. Holmes when MII became a client of Canaccord in the fall of 2005, consistent with the "Know your client" rule and the practices described by Mr. Fox in his report, MII would have been excluded from participation in the Option Program, as it was not a suitable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But for the failure of Mr. Moldovan and Mr. Holmes to take reasonable care in assessing suitability, MII would not have invested in the Option Program. Their breach of duty caused MII to suffer damage. Canaccord, as Mr. Moldovan's and Mr. Holmes's employer, is vicariously liable for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defendants argue that MII should be found to be contributorily negligent, and liability apportioned equally to MII and to the defendants. They argue that MII never informed Canaccord after October 2005 that the information on the account information forms was incorrect, something that might have permitted Canaccord to know that MII was inappropriate for the Option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However, I cannot accept this submission. Mr. Moldovan and Mr. Holmes had an obligation to know their client, and to undertake an assessment of MII's suitability for participation in the Option Program. I have concluded that they failed at the outset to take reasonable care in assessing MII's suitability. They did not do what a reasonably prudent investment advisor would and should have done, and they breached their duty to "Know your client." In those circumstances, I am not prepared to find that MII was also at fault for the damage caused.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Since I have concluded the defendants are liable based on the failure to take reasonable care in assessing suitability, I will deal only briefly with other grounds of liability advanced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MII says that the Option Program was negligently designed and managed, and that, since Mr. Moldovan and Mr. Holmes did not themselves have a reasonable understanding of the risks and rewards associated with the strategy, they were therefore never in a position to advise clients properly in respect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 do not agree that the Option Program was negligently designed. Mr. Fox, for example, does not express such a view. Rather, as I read his opinion (including his comment that it is a "portfolio strategy that is market-neutral"), the basic program was reasonably designed </w:t>
      </w:r>
      <w:r>
        <w:rPr>
          <w:rFonts w:ascii="arial" w:eastAsia="arial" w:hAnsi="arial" w:cs="arial"/>
          <w:color w:val="000000"/>
          <w:sz w:val="20"/>
          <w:u w:val="single"/>
          <w:lang w:val="en-US" w:eastAsia="en-US" w:bidi="ar-SA"/>
        </w:rPr>
        <w:t>provided that the investor was suitable</w:t>
      </w:r>
      <w:r>
        <w:rPr>
          <w:rFonts w:ascii="arial" w:eastAsia="arial" w:hAnsi="arial" w:cs="arial"/>
          <w:color w:val="000000"/>
          <w:sz w:val="20"/>
          <w:lang w:val="en-US" w:eastAsia="en-US" w:bidi="ar-SA"/>
        </w:rPr>
        <w:t>. The nature of the Program meant that the suitability assessment was especially important.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Moldovan (who had the most contact with Mr. Marlin) had confidence in the Option Program (as did Mr. Holmes). At trial, both Mr. Moldovan and Mr. Holmes strongly resisted describing the Program as a "speculative" investment. I have some doubts that they believed this, because someone at Canaccord (probably on Mr. Moldovan's instructions) typed in "100%" under "Speculative High risk" in the investment objectives section of the Account Information form for MII. However, assuming that in the fall of 2005 neither Mr. Moldovan nor Mr. Holmes thought the Option Program was a speculative investment, I think it unlikely that either would have told Mr. Marlin that MII was engaging in a speculative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What about level of risk however? In my view, the evidence (including Mr. Fox's opinion) supports the conclusion that the Option Program was at the very least a high-risk investment, and not suitable for many (probably most) investors, even with protective puts. Although (as illustrated by the May 2007 e-mail newsletter), Mr. Moldovan recognized the importance to the strategy of margin and the ability to meet margin calls, I am not persuaded that either he or Mr. Holmes fully appreciated </w:t>
      </w:r>
      <w:r>
        <w:rPr>
          <w:rFonts w:ascii="arial" w:eastAsia="arial" w:hAnsi="arial" w:cs="arial"/>
          <w:color w:val="000000"/>
          <w:sz w:val="20"/>
          <w:u w:val="single"/>
          <w:lang w:val="en-US" w:eastAsia="en-US" w:bidi="ar-SA"/>
        </w:rPr>
        <w:t>how</w:t>
      </w:r>
      <w:r>
        <w:rPr>
          <w:rFonts w:ascii="arial" w:eastAsia="arial" w:hAnsi="arial" w:cs="arial"/>
          <w:color w:val="000000"/>
          <w:sz w:val="20"/>
          <w:lang w:val="en-US" w:eastAsia="en-US" w:bidi="ar-SA"/>
        </w:rPr>
        <w:t xml:space="preserve"> important a large capital base, and the discipline to follow the strategy over the long term despite losses, were to success. They did not recognize that, despite their personal sophistication, they themselves were not suitable investors. In my view, the value of whatever advice they could give their clients (including MII) was therefore limited. In addition, probably neither Mr. Moldovan nor Mr. Holmes fully appreciated the critical importance of assessing the suitability of this particular investment for a client. This would be an explanation for why no proper suitability assessment was ever done for MII.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MII also argues that Mr. Moldovan and Mr. Holmes had a duty to have protective puts in place, and breached this duty by removing the protective puts, so that by September 2008, there were none. MII also points out that it was an express term of their employment contracts that Mr. Moldovan and Mr. Holmes have protective puts in place, and that no one could identify who - if anyone - approved trading naked put options, despite a requirement for prior approval in the Canaccord policies and procedures manual. In his evidence at trial, Mr. Marlin mentioned the existence of protective puts as something that was important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However, I see the removal of protective puts as an aspect of the suitability assessment. For the right client, removal of protective puts may not present a problem. In MII's case, the suitability assessment that ought to have been done at the outset was not done according to the standard that applies to a reasonably prudent investment advisor, and MII suffered damage as a result. In those circumstances, Mr. Moldovan's and Mr. Holmes's failure to have protective puts in place is not the cause of MII's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MII tendered an expert report from Mr. Dean E. Holley, which calculated net gains and losses in MII's accounts at Canaccord. Mr. Holley is a past executive director of the B.C. Securities Commission and is the founder and president of CMC Capital Market Consulting Corp. Since 1996, he has provided consulting services to public and private sector clients in matters relating to regulatory requirements, enforcement issues, securities trading, portfolio construction, investment suitability, industry standards of conduct and investor and professional education. He has been qualified to give opinion evidence before the B.C. and Alberta Securities Commissions, IIROC and the B.C. Supreme Court (among others). Mr. Holley was not required for cross-examination, and therefore did not testify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MII nominated a "Claim Period" from September 1, 2008 to December 31, 2008. Mr. Holley was asked, using MII's statements of account from Canaccord, to calculate the net gain or loss over that period. He was also asked to calculate the gains or losses MII experienced in its Canaccord accounts from account opening to August 31,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Holley calculated the losses during the Claim Period to be $311,291.29. He calculated the gains made by MII while it had accounts at Canaccord, and before the Claim Period, to be $98,339.07. If the gains are taken into account, and set off against the losses, the net losses are $212,952.22.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MII says that Canadian courts have adopted two approaches to the assessment of losses in a case such as this. One approach is to examine the impugned transactions and assess the loss associated with each. The other approach is to allow a plaintiff to nominate a claim period and examine the loss within that period. On that approach, gains outside the claim period are not taken into account. MII says the latter approach is the correct approach here, and that the defendants are not entitled to offset the losses against past profits. In support of its position, MII cites </w:t>
      </w:r>
      <w:r>
        <w:rPr>
          <w:rFonts w:ascii="arial" w:eastAsia="arial" w:hAnsi="arial" w:cs="arial"/>
          <w:b/>
          <w:i/>
          <w:color w:val="000000"/>
          <w:sz w:val="20"/>
          <w:lang w:val="en-US" w:eastAsia="en-US" w:bidi="ar-SA"/>
        </w:rPr>
        <w:t>Sharpe v. McCarthy</w:t>
      </w:r>
      <w:r>
        <w:rPr>
          <w:rFonts w:ascii="arial" w:eastAsia="arial" w:hAnsi="arial" w:cs="arial"/>
          <w:color w:val="000000"/>
          <w:sz w:val="20"/>
          <w:lang w:val="en-US" w:eastAsia="en-US" w:bidi="ar-SA"/>
        </w:rPr>
        <w:t xml:space="preserve"> </w:t>
      </w:r>
      <w:hyperlink r:id="rId1000" w:history="1">
        <w:r>
          <w:rPr>
            <w:rFonts w:ascii="arial" w:eastAsia="arial" w:hAnsi="arial" w:cs="arial"/>
            <w:i/>
            <w:color w:val="0077CC"/>
            <w:sz w:val="20"/>
            <w:u w:val="single"/>
            <w:shd w:val="clear" w:color="auto" w:fill="FFFFFF"/>
            <w:lang w:val="en-US" w:eastAsia="en-US" w:bidi="ar-SA"/>
          </w:rPr>
          <w:t>(1994), 94 B.C.L.R. (2d) 384</w:t>
        </w:r>
      </w:hyperlink>
      <w:r>
        <w:rPr>
          <w:rFonts w:ascii="arial" w:eastAsia="arial" w:hAnsi="arial" w:cs="arial"/>
          <w:color w:val="000000"/>
          <w:sz w:val="20"/>
          <w:lang w:val="en-US" w:eastAsia="en-US" w:bidi="ar-SA"/>
        </w:rPr>
        <w:t xml:space="preserve"> (C.A.) and </w:t>
      </w:r>
      <w:r>
        <w:rPr>
          <w:rFonts w:ascii="arial" w:eastAsia="arial" w:hAnsi="arial" w:cs="arial"/>
          <w:b/>
          <w:i/>
          <w:color w:val="000000"/>
          <w:sz w:val="20"/>
          <w:lang w:val="en-US" w:eastAsia="en-US" w:bidi="ar-SA"/>
        </w:rPr>
        <w:t>Zraik v. Levesque Securities Inc.</w:t>
      </w:r>
      <w:r>
        <w:rPr>
          <w:rFonts w:ascii="arial" w:eastAsia="arial" w:hAnsi="arial" w:cs="arial"/>
          <w:color w:val="000000"/>
          <w:sz w:val="20"/>
          <w:lang w:val="en-US" w:eastAsia="en-US" w:bidi="ar-SA"/>
        </w:rPr>
        <w:t xml:space="preserve">, </w:t>
      </w:r>
      <w:hyperlink r:id="rId1001" w:history="1">
        <w:r>
          <w:rPr>
            <w:rFonts w:ascii="arial" w:eastAsia="arial" w:hAnsi="arial" w:cs="arial"/>
            <w:i/>
            <w:color w:val="0077CC"/>
            <w:sz w:val="20"/>
            <w:u w:val="single"/>
            <w:shd w:val="clear" w:color="auto" w:fill="FFFFFF"/>
            <w:lang w:val="en-US" w:eastAsia="en-US" w:bidi="ar-SA"/>
          </w:rPr>
          <w:t>[2001] O.J. No. 5083</w:t>
        </w:r>
      </w:hyperlink>
      <w:r>
        <w:rPr>
          <w:rFonts w:ascii="arial" w:eastAsia="arial" w:hAnsi="arial" w:cs="arial"/>
          <w:color w:val="000000"/>
          <w:sz w:val="20"/>
          <w:lang w:val="en-US" w:eastAsia="en-US" w:bidi="ar-SA"/>
        </w:rPr>
        <w:t xml:space="preserve">, </w:t>
      </w:r>
      <w:hyperlink r:id="rId1001" w:history="1">
        <w:r>
          <w:rPr>
            <w:rFonts w:ascii="arial" w:eastAsia="arial" w:hAnsi="arial" w:cs="arial"/>
            <w:i/>
            <w:color w:val="0077CC"/>
            <w:sz w:val="20"/>
            <w:u w:val="single"/>
            <w:shd w:val="clear" w:color="auto" w:fill="FFFFFF"/>
            <w:lang w:val="en-US" w:eastAsia="en-US" w:bidi="ar-SA"/>
          </w:rPr>
          <w:t>2001 CanLII 21223</w:t>
        </w:r>
      </w:hyperlink>
      <w:r>
        <w:rPr>
          <w:rFonts w:ascii="arial" w:eastAsia="arial" w:hAnsi="arial" w:cs="arial"/>
          <w:color w:val="000000"/>
          <w:sz w:val="20"/>
          <w:lang w:val="en-US" w:eastAsia="en-US" w:bidi="ar-SA"/>
        </w:rPr>
        <w:t xml:space="preserve">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defendants say that the gains must be taken into account. They say that the Option Program was a strategy, month after month, that MII engaged in for three years; that each trade was linked to another trade (where an expiring option was bought back and a new one sold) as a single transaction; and that these were not discrete and independent trades. The defendants argue further that MII says the Option Program was inappropriate or unsuitable for it, not that individual transactions were unsuitable, and therefore all activity should be taken into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defendants say that </w:t>
      </w:r>
      <w:r>
        <w:rPr>
          <w:rFonts w:ascii="arial" w:eastAsia="arial" w:hAnsi="arial" w:cs="arial"/>
          <w:b/>
          <w:i/>
          <w:color w:val="000000"/>
          <w:sz w:val="20"/>
          <w:lang w:val="en-US" w:eastAsia="en-US" w:bidi="ar-SA"/>
        </w:rPr>
        <w:t>Sharpe v. McCarthy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Zraik v. Levesque Securities</w:t>
      </w:r>
      <w:r>
        <w:rPr>
          <w:rFonts w:ascii="arial" w:eastAsia="arial" w:hAnsi="arial" w:cs="arial"/>
          <w:color w:val="000000"/>
          <w:sz w:val="20"/>
          <w:lang w:val="en-US" w:eastAsia="en-US" w:bidi="ar-SA"/>
        </w:rPr>
        <w:t xml:space="preserve"> (and the cases that have followed it) are distinguishable on the facts, because, in those cases, the transactions in question (ones with losses; ones with gains) were separate and distinct, and the plaintiff was held to be entitled to adopt one transaction but not the other. The defendants submit that, on the facts here, I should follow the approach taken in </w:t>
      </w:r>
      <w:r>
        <w:rPr>
          <w:rFonts w:ascii="arial" w:eastAsia="arial" w:hAnsi="arial" w:cs="arial"/>
          <w:b/>
          <w:i/>
          <w:color w:val="000000"/>
          <w:sz w:val="20"/>
          <w:lang w:val="en-US" w:eastAsia="en-US" w:bidi="ar-SA"/>
        </w:rPr>
        <w:t>Allen v. Girard</w:t>
      </w:r>
      <w:r>
        <w:rPr>
          <w:rFonts w:ascii="arial" w:eastAsia="arial" w:hAnsi="arial" w:cs="arial"/>
          <w:color w:val="000000"/>
          <w:sz w:val="20"/>
          <w:lang w:val="en-US" w:eastAsia="en-US" w:bidi="ar-SA"/>
        </w:rPr>
        <w:t xml:space="preserve">, </w:t>
      </w:r>
      <w:hyperlink r:id="rId1002" w:history="1">
        <w:r>
          <w:rPr>
            <w:rFonts w:ascii="arial" w:eastAsia="arial" w:hAnsi="arial" w:cs="arial"/>
            <w:i/>
            <w:color w:val="0077CC"/>
            <w:sz w:val="20"/>
            <w:u w:val="single"/>
            <w:shd w:val="clear" w:color="auto" w:fill="FFFFFF"/>
            <w:lang w:val="en-US" w:eastAsia="en-US" w:bidi="ar-SA"/>
          </w:rPr>
          <w:t>2002 BCSC 1354</w:t>
        </w:r>
      </w:hyperlink>
      <w:r>
        <w:rPr>
          <w:rFonts w:ascii="arial" w:eastAsia="arial" w:hAnsi="arial" w:cs="arial"/>
          <w:color w:val="000000"/>
          <w:sz w:val="20"/>
          <w:lang w:val="en-US" w:eastAsia="en-US" w:bidi="ar-SA"/>
        </w:rPr>
        <w:t xml:space="preserve">, </w:t>
      </w:r>
      <w:hyperlink r:id="rId1002" w:history="1">
        <w:r>
          <w:rPr>
            <w:rFonts w:ascii="arial" w:eastAsia="arial" w:hAnsi="arial" w:cs="arial"/>
            <w:i/>
            <w:color w:val="0077CC"/>
            <w:sz w:val="20"/>
            <w:u w:val="single"/>
            <w:shd w:val="clear" w:color="auto" w:fill="FFFFFF"/>
            <w:lang w:val="en-US" w:eastAsia="en-US" w:bidi="ar-SA"/>
          </w:rPr>
          <w:t>5 B.C.L.R. (4th) 320</w:t>
        </w:r>
      </w:hyperlink>
      <w:r>
        <w:rPr>
          <w:rFonts w:ascii="arial" w:eastAsia="arial" w:hAnsi="arial" w:cs="arial"/>
          <w:color w:val="000000"/>
          <w:sz w:val="20"/>
          <w:lang w:val="en-US" w:eastAsia="en-US" w:bidi="ar-SA"/>
        </w:rPr>
        <w:t xml:space="preserve">, where (at para. 212) Hood J. distinguished </w:t>
      </w:r>
      <w:r>
        <w:rPr>
          <w:rFonts w:ascii="arial" w:eastAsia="arial" w:hAnsi="arial" w:cs="arial"/>
          <w:b/>
          <w:i/>
          <w:color w:val="000000"/>
          <w:sz w:val="20"/>
          <w:lang w:val="en-US" w:eastAsia="en-US" w:bidi="ar-SA"/>
        </w:rPr>
        <w:t>Sharpe v. McCarthy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agree with the defendants concerning the method of assessment. Both gains and losses should be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Unlike </w:t>
      </w:r>
      <w:r>
        <w:rPr>
          <w:rFonts w:ascii="arial" w:eastAsia="arial" w:hAnsi="arial" w:cs="arial"/>
          <w:b/>
          <w:i/>
          <w:color w:val="000000"/>
          <w:sz w:val="20"/>
          <w:lang w:val="en-US" w:eastAsia="en-US" w:bidi="ar-SA"/>
        </w:rPr>
        <w:t>Sharpe v. McCarthy</w:t>
      </w:r>
      <w:r>
        <w:rPr>
          <w:rFonts w:ascii="arial" w:eastAsia="arial" w:hAnsi="arial" w:cs="arial"/>
          <w:color w:val="000000"/>
          <w:sz w:val="20"/>
          <w:lang w:val="en-US" w:eastAsia="en-US" w:bidi="ar-SA"/>
        </w:rPr>
        <w:t xml:space="preserve">, this is not a case where the complaint is about individual transactions that are separate and distinct from one another. Rather, the transactions and trades are linked. They are part of a systematic approach to producing income through the action of selling combinations of options, that may succeed over time, if one has sufficient discipline and capital. Moreover, I have found the defendants liable on the basis that they failed to exercise reasonable care in assessing whether participation in the Option Program was suitable for MII, and that but for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MII should and would have been excluded from the Program at the outset. In those circumstances, MII would not have suffered the losses, but also would not have enjoyed the gains. In my view, to put MII back in the position it would have been in had the breach of duty not occurred, both the gains and the losses should be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therefore assess MII's damages in the sum of $212,952.22.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 and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In summary, I find that the defendants were negligent in that they failed to take reasonable care in assessing whether participation in the Option Program was suitable for MII, and, as a result of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MII suffered damage. MII was not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I award MII damages in the sum of $212,952.22. MII shall have judgment against the defendants, jointly and severally, for that amount, together with interest pursuant to the </w:t>
      </w:r>
      <w:r>
        <w:rPr>
          <w:rFonts w:ascii="arial" w:eastAsia="arial" w:hAnsi="arial" w:cs="arial"/>
          <w:b/>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Subject to any submissions that the parties may wish to make, MII is entitled to costs on Scale B. The parties are at liberty to make arrangements to make submissions with respect to costs within 30 days of these reasons. Submissions may be made in writing or orally, as the parties may wish.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E.J. ADAIR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2" style="position:absolute;z-index:251892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03"/>
          <w:headerReference w:type="default" r:id="rId1004"/>
          <w:footerReference w:type="even" r:id="rId1005"/>
          <w:footerReference w:type="default" r:id="rId1006"/>
          <w:headerReference w:type="first" r:id="rId1007"/>
          <w:footerReference w:type="first" r:id="rId100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09" w:history="1">
        <w:r>
          <w:rPr>
            <w:rFonts w:ascii="arial" w:eastAsia="arial" w:hAnsi="arial" w:cs="arial"/>
            <w:b/>
            <w:bCs/>
            <w:i/>
            <w:color w:val="0077CC"/>
            <w:kern w:val="32"/>
            <w:sz w:val="28"/>
            <w:szCs w:val="32"/>
            <w:u w:val="single"/>
            <w:shd w:val="clear" w:color="auto" w:fill="FFFFFF"/>
            <w:lang w:val="en-US" w:eastAsia="en-US" w:bidi="ar-SA"/>
          </w:rPr>
          <w:t>Carew v. Goose, [2005] B.C.J. No. 1457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Joyce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11 - 12,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24,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Chilliwack Registry No. S9890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1457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949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31 C.C.L.T. (3d) 295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44 C.L.R. (3d) 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141 A.C.W.S. (3d) 399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1574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10" w:history="1">
        <w:r>
          <w:rPr>
            <w:rFonts w:ascii="arial" w:eastAsia="arial" w:hAnsi="arial" w:cs="arial"/>
            <w:i/>
            <w:color w:val="0077CC"/>
            <w:sz w:val="20"/>
            <w:u w:val="single"/>
            <w:shd w:val="clear" w:color="auto" w:fill="FFFFFF"/>
            <w:lang w:val="en-US" w:eastAsia="en-US" w:bidi="ar-SA"/>
          </w:rPr>
          <w:t>[2005] B.C.T.C. 949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Richard Carew and Valerie Irene Stevens, plaintiffs, and Jonathon Mark Goose, Lisa Goose, City of Chilliwack, John Wall, Terra Engineering Ltd. and Golder Associates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3"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9" w:name="Keywords_40"/>
      <w:bookmarkEnd w:id="289"/>
      <w:r>
        <w:rPr>
          <w:rFonts w:ascii="arial" w:eastAsia="arial" w:hAnsi="arial" w:cs="arial"/>
          <w:b/>
          <w:color w:val="000000"/>
          <w:sz w:val="20"/>
          <w:lang w:val="en-US" w:eastAsia="en-US" w:bidi="ar-SA"/>
        </w:rPr>
        <w:t xml:space="preserve">Civil procedure — Pleadings — Amendment of — After expiry of limitation period — Adding subsequent facts — Statement of claim — Adding new cause of action — Judgments and orders — Summary judgments — To dismiss action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0" w:name="Case Summary_39"/>
            <w:bookmarkEnd w:id="29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Carew and Stevens, against the defendants, the Gooses, Wall, City of Chilliwack, Terra Engineering and Golder Associates, to amend the statement of claim. Golder sought dismissal of the plaintiff's claim against it. The action against Golder and Terra was for negligent provision of services. In 1996, the plaintiffs purchased a house from the Gooses. The land on which the house was situated was sliding, causing serious structural damage to the plaintiffs' house. The housing development was approved by the city in 1991 and 1992 in part based on reports prepared by Terra which concluded the site would be appropriate for a housing development. In 1993 and 1994, Golder did a preliminary assessment of a different and adjacent area. It identified slope failures as a potential hazard. In 1995, the Gooses retained Golder to provide a site specific geotechnical report in order to obtain a building permit for construction of their house. Golder stated that evaluation of the potential for large scale natural hazards was beyond the scope of its report, but concluded that the risk of major instability was low. The plaintiffs did not read Golder's report before buying the property. The plaintiffs wanted to amend the statement of claim to add further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Golder, including that Golder knew about the susceptibility of the adjacent area to landslides. The plaintiffs also sought to add a new claim against Golder for breach of duty to warn. Both parties had expert reports to support their position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1" w:name="Holdings of Court_38"/>
            <w:bookmarkEnd w:id="291"/>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were permitted amend the claim to add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not to add the claim for duty to warn. Golder's application was dismissed. Assuming the limitation period for duty to warn had expired, it would have been just and convenient to allow the amendment since the factual foundation for the two causes of action was essentially the same. However, the facts alleged did not create a duty of care that the law currently recognized. Golder owed a duty of care to the city and the Gooses, but there was no direct connection between Golder and the plaintiffs as subsequent purchasers of the property. Although it could be reasonably foreseeable that failure to warn the owner would harm subsequent purchasers, there was not sufficient proximity between Golder and the plaintiffs. The plaintiffs' claim was for pure economic loss. The court was not prepared to recognize the duty as a new category under the principles for pure economic loss. Golder did not assume responsibility for the plaintiffs, and the plaintiffs did not rely on Golder. A duty of care in these circumstances would raise the spectre of indeterminate liability. This was not an appropriate case for determination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on a summary application. The court might unwittingly make decisions that could prejudice other parties, including Terra. Limitation of liability and conflicting expert evidence should be dealt with at trial.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2" w:name="Legislation Cited_30"/>
      <w:bookmarkEnd w:id="29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4"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 Rule 18A(11)(a) (ii), Rule 19(7)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 266 s. 4(4), s. 6(4), s. 6(5)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3" w:name="Counsel_41"/>
      <w:bookmarkEnd w:id="29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5" style="position:absolute;z-index:251803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D.S. Boyle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Golder Associates Ltd.: G.A. Urquhart,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City of Chilliwack: W. Baker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Terra Engineering Ltd.: C. Rusnak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Cascade Engineering in Action #S9836: B. Allard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R. Gytenbeek, plaintiff in Action #S13028</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4" w:name="Judgment_41"/>
      <w:bookmarkEnd w:id="294"/>
      <w:r>
        <w:pict>
          <v:line id="_x0000_s1236" style="position:absolute;z-index:25185382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5" w:name="JOYCE J."/>
            <w:bookmarkEnd w:id="295"/>
            <w:r>
              <w:rPr>
                <w:rFonts w:ascii="arial" w:eastAsia="arial" w:hAnsi="arial" w:cs="arial"/>
                <w:b/>
                <w:color w:val="000000"/>
                <w:sz w:val="30"/>
                <w:lang w:val="en-US" w:eastAsia="en-US" w:bidi="ar-SA"/>
              </w:rPr>
              <w:t>JOYCE J.</w:t>
            </w:r>
          </w:p>
        </w:tc>
      </w:tr>
    </w:tbl>
    <w:p>
      <w:pPr>
        <w:numPr>
          <w:numId w:val="2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 AND NATURE OF 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September 1996, the plaintiffs purchased from the defendants, Jonathon and Lisa Goose (the "Gooses"), a house which had been constructed in 1995 by the defendant John Wall on Lot 14 in a subdivision known as the Patterson Development, which is located on one of the hillsides east of Chilliwack, British Columbia. The land upon which the plaintiffs' house and a number of other houses in the subdivision are situated is sliding, slowly but measurable, northward. The movement of the land has caused and is continuing to cause serious structural damage to the plaintiffs' house and those of the other residents in the subdivision.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Patterson Development was approved by the City of Chilliwack (the "City") in 1991 and 1992, based in part upon reports prepared by the defendant Terra Engineering Ltd. ("Terra"). Trow Consulting Engineers Ltd. is the successor company to Terra.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March 1995, the Gooses retained the defendant Golder Associates Ltd. ("Golder") to provide a geotechnical report with respect to their property in order to obtain a building permit for the construction of their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have sued the defendants for damages, including the cost of repairs and loss in value of their property. The action against the Gooses is based on breach of contract while the action against the other defendants is founded in tort law. In the action as currently framed, the plaintiffs allege that Golder owed a duty of care to the plaintiffs "to exercise reasonable skill, diligence and competence as professional engineers when conducting the geotechnical assessment for the proposed residence" and breached that duty. Counsel for the plaintiffs categorizes this claim as negligent provision of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plaintiffs apply to amend their statement of claim to add further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Golder and Terra and to add a new claim against Golder that is based on the alleged breach of a duty of care that they say arises from a duty owed by Golder to warn the Gooses and the City of the potential instability of the hillside.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Golder resists the application to amend the statement of claim and applies under Rule 18A to have the whole of the action against it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This action and a number of other actions brought by other property owners in the subdivision affected by the unstable hillside are currently set for trial commencing in September 2006.</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1990 the Official Community Plan for the City of Chilliwack designated the area in which the Patterson Development is located as a Development Permit Area, which required that the City be provided with a geotechnical study that identified environmental and geotechnical hazards.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1991 Terra undertook a preliminary geotechnical assessment of the lands on which the Patterson Development is located. Terra's report dated November 15, 1991 contained the following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soil conditions on the uplands portion of the site likely consist of colluvium, with mixed, sand, gravel, boulders, and silt. We anticipate this material would in turn be underlain by glacial till at depth. The colluvium likely was formed thousands of years ago from weathering of the adjacent mountains. Recent activity is not apparent on the site, however, analysis of the overall weathering and tectonics process of the adjacent area is beyond the scope of this report. Extensive investigation which would likely be well beyond the means of any single property developer would be required to assess the possibility of future seismic induced slides. We anticipate the soil conditions in the lowland area would consist of similar colluvium likely underlain by Fraser River sediments consisting of sand and silt.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examination of the site included a visual inspection of the property with no actual field work undertaken. From this inspection, no visual signs of slope instability were found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a geotechnical point of view we believe the immediate site would be suitable for the type of development contemplated. Further assessment to determine actual locations of buildings would be required for lots 3 thru 9. The suitability for development of lots 10 thru 14 would require further investigation including a soils field investigation for analysis of slope stability and required foundation systems.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July 1991, Terra undertook further geotechnical studies with respect to the Patterson Development. As part of its investigation, Terra excavated several test pits using a backhoe but no deep drilling was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Terra reports were provided to the City by the developers of the Patterson Development to support their application for a development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1993 and 1994 Golder undertook a preliminary assessment of the Marble Hill Subdivision, a different subdivision that is adjacent to, and located to the southeast of, the Patterson Development. Golder's work involved interpreting aerial photographs, several days of ground inspection, viewing the property from a helicopter and excavating test pits. In its report dated October 20, 1993, Golder identified a number of potential geological hazards at the Marble Hill subdivision, which they placed into three groups: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small magnitude geological hazards (such as local slope failures);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medium-magnitude geological hazards (such as large rock avalanches and debris flows);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large magnitude geological hazards (major landslides affecting several square kilometres of terrain).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Golder stated that "all three groups of hazards need to be addressed and understood before successful development of the Marble Hill subdivision can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Golder's report of October 20, 1993 also contained these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potential for massive instability is a feature of the zone of the North Cascade Mountains between Chilliwack and Hope.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direct evidence was obtained during the helicopter overview which would indicate impending slope failure, although the vegetation cover was often found to be dense.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Questions which have to be asked are not only the origin and extent of the past instability, but whether it could have been an intermittent frequent event, or only a unique geological failure which is unlikely to be repeated in the future. If the events are periodic, the return period of different magnitude events would need to be established.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although there is evidence which suggests that large major instability is unlikely on the slopes above the Marble Hill Subdivision, a more rigorous investigation is required to support this conclusion prior to further planning.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a further report dated March 8, 1994 report, Golder made these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Types of Activity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reactivation of past slides, or the generation of new slides, as the result of changed ground conditions due to factors such as soil creep, adverse groundwater levels or seismic activity must be addressed prior to the permitting of new large-scale residential developments.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 RISKS TO DEVELOPMENT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potential large magnitude instability on the southern slopes described in Section 4.4 and 5 could cause risks to development in part of the Marble Hill subdivision, but the assessment of that risk is based on assumed geology, geotechnical parameters and conditions which are difficult to quantify.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our judgment that residential development planned within Zone A (subject to the guidelines given in section 7) would not be affected by slides of magnitudes similar to those experienced in post-glacial time. However, due to the run-out from potential debris failures on the steep slopes to the south, and the uncertainty surround the explanation of some of the topographical features, residential development should not be planned for Zone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When the Gooses sought to construct a home on Lot 14, the City required a geotechnical report and the Gooses sought out Golder to provide a report. On March 21, 1995, Golder provided Mr. Goose with a proposal for geotechnical investigation of the property. The proposal read,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our understanding that as part of the construction permitting process the District of Chilliwack requires a geotechnical assessment of the site by a professional engineer to determine the potential for geologic hazards and the general soil and groundwater conditions. Based on the results of our field investigation and a review of the proposed residence construction plans, we will make recommendations regarding development and use of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April 11, 1995, Golder provided its report, which read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purpose of this work was to carry out a site specific assessment of the suitability of the property for proposed residential structure, based on the potential for natural hazards events on and in the vicinity of the site.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Evaluation of the potential for large scale natural hazards associated with the mountainous areas upslope of the site area is beyond the scope of work for this individual single family lot within an approved subdivision and is not addressed herein.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SLOPE STABILITY CONSIDERATIONS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Local Hazards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results of the site inspection, review of the available topographic information and current building plans, it is our opinion that the risk of major instability initiating at or near this site or as the result of construction is low given present conditions. The slopes appear to be in a state of general equilibrium except at the local oversteepened sections of the upper and lower slopes which are discussed in Section 2.0.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Golder recommended that Mr. Goose retain a qualified geotechnical engineer to carry out site inspections during layout and construction of foundations and retaining walls but Mr. Goose did not ask Golder to provide such inspections or any other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City received a copy of the Golder report and granted a building permit. The Gooses proceeded with construction of the house, which was completed and subsequently sold to the plaintiffs in September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house has suffered significant structural damage. There is a two inch wide crack in the basement floor and a two inch crack in the foundation wall, which has sheared the rebar. The cracks are widening and have caused damage to drywall and windows. No repairs have yet been undertaken to the house and, as far as I am aware, no way has been found to stop the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While the investigation of the movement of the lands comprising the Patterson Development are ongoing, the most recent expert evidence confirms that there is an active, deep-seated landslide in which a large mass of land is slowly sliding down the hillside towards the north.</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 TO AMEND THE STATEMENT OF CLAIM</w:t>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present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current statement of claim makes the following allegations against Golder: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 The Defendant Golder owed a duty of care to the Plaintiffs, to exercise all reasonable skill, diligence and competence as professional engineers when conducting the geotechnical assessment of the proposed residence at the Property.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Terra and the Defendant Golder breached its duty of care to the Plaintiffs, particulars of which are set forth in paragraph 9 of this Statement of Claim.</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Terra and the Defendant Golder:</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assess, adequately or at all, the soil and ground water conditions on the Property;</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detect a deep seated soil mass failure, or the potential for a deep seated soil mass failure, resulting in ground movement and major distress to the house constructed on the Property;</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adequately or at all, to make recommendations for the siting, earthworks, drainage, and foundation designs relating to the proposed dwelling on the Property;</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exercise all reasonable care, skill, diligence and competence as professional engineers.</w:t>
      </w:r>
    </w:p>
    <w:p>
      <w:pPr>
        <w:numPr>
          <w:numId w:val="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proposed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seek to add the following allegations concerning Golder and Terra in what would be new paragraphs 12 and 13:</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susceptibility of the Patterson Development and adjacent areas to landslides was known to Geotechnical Professionals, including Golder and Trow (formerly Terra), and materials on the subject had been presented to the Engineering community and were available to Golder and Trow (formerly Terra) as early as January 1989.</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Golder undertook a preliminary assessment of property immediately southeast of the Patterson Development (the "Neighbouring Property") in 1993 and 1994. A draft report was issued by Golder on or about October 20, 1993 and another on or about March 8, 1994. These reports involved interpretation of air photos, several days of on-ground inspection, helicopter over flights and test pit excavations. Past and present landslide activity is noted and divided into three categories. It is emphasized that all three must be addressed and understood before development can proceed. In particular, further detailed geotechnical investigations involving drilling and test pitting is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plaintiffs also seek to amend the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Golder by adding further particulars to paragraph 9 (which would be a new paragraph 17) and by adding an additional paragraph 18, as set out below:</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Trow (formerly Terra) and the Defendant Golder:</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investigate, consider or appreciate the body of knowledge available to Engineering Professionals about the susceptibility of the Patterson Development, including the Property and adjacent areas to landslides;</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undertake adequate geotechnical investigation, analysis or design; and</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consider the impact of grading and road construction that was ongoing without design or inspection by qualified professional engineers.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the Defendant Golder:</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consider that its own corporate position cast doubt on the developability of the Property and called for greater investigative effort to be undertaken and a substantially greater set back than was possible given the Property's geometry;</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review or fully consider previous research and reports on natural hazards in the vicinity of the Property as they had committed to do in their scope of work;</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properly consider the significance of a recent unstable cut at the bottom of the slope at the site or other observable indications of instability; and</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review or properly consider the reports of Trow (formerly Terra) aforesaid, and failed to consider whether sufficient investigations had been undertaken to determine that the Patterson Development, including the Property, was suitable for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plaintiffs also seek to amend to include a new claim based on a duty to warn, as set out in the following proposed paragraphs:</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Golder owed a further duty of care to the City, the Defendant Wall, the Defendants Goose and their successors in title of the Property, including the Plaintiffs to warn them that the Patterson Development, including the Property, was susceptible to landslide activity and instability and that its suitability for development was unknown and that further detailed geotechnical investigations involving drilling and test pitting was recommended prior to development.</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Golder breached its aforesaid duty and failed to warn the Defendants Goose, the Defendant Wall, the City or the Plaintiffs as aforesaid or at all.</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Had the Defendant Golder warned the Defendants Goose, the Defendant Wall, the City and the Plaintiffs as aforesaid, the Plaintiffs would have avoided the damages, loss and expense that they have suffered, and continue to suffer as a result of the instability of the Property and the resulting damage to the residence thereon.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While the proposed paragraphs 19 - 21 refer to a duty to warn the plaintiffs as well as the Gooses, Wall and the City, counsel for the plaintiffs took the position during his submissions that Golder did not owe a duty to warn the plaintiffs directly; he submitted that the duty was to warn the City and the Gooses but that this duty translated into a duty of care owed towards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support of these allegations, the plaintiffs intend to rely on three main bodies of evidence:</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that it was well known within the geotechnical community and well known to Golder that the area on which the Patterson Development formed a part was a "large, deep-seated landslide area". The plaintiffs allege that Golder knew that the lands on which the Gooses' residence was to be built formed part of an area that had been formed by ancient landslide activity;</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that Golder had undertaken geotechnical investigations and prepared draft reports in 1993 and 1994 with respect to property to the south and up the hillside from the Patterson Development and that as a result of that work Golder knew or should have known that there was a potential for future landslides in the area that encompassed the Goose property; and</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that Golder had reviewed the Terra reports and knew or should have known that they were deficient in that Terra had done insufficient field work to enable it to express an opinion with respect to the suitability of the lands for residential development because of the unknown extent of the risk of major landslide.</w:t>
      </w:r>
    </w:p>
    <w:p>
      <w:pPr>
        <w:numPr>
          <w:numId w:val="1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positions with respect to the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Golder opposes the amendments on the grounds that:</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they give rise to a new cause of action, which is barred by the Limitation Act, </w:t>
      </w:r>
      <w:hyperlink r:id="rId120"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will cause prejudice;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inconsistent with other facts alleged by the plaintiffs and are therefore contrary to Rule 19(7) of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With regard to the proposed amendment to add paragraphs 19 - 21, Golder submits that no duty of care exists as alleged. If Golder is correct the amendment must be refused. Because counsel dealt with this issue of law during their submissions on the 18A application I have decided to deal with it in that part of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plaintiffs allege that Golder owed a duty of care to subsequent owners of the property, including themselves, to take reasonable care in the preparation of its report and that it was negligent in expressing its opinion that the Goose property was suitable for the construction of a residence, which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resulted in their loss. They submit that the amendments reflected in the new paragraphs 12, 13, 17, and 18 are simply further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do not raise new causes of action and that they are unaffected by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plaintiffs concede that paragraphs 19 - 21 plead a new cause of action. They assert that Golder owed an independent duty to warn the Gooses and the City that the land was susceptible to landslide and that the breach of this duty to warn gives rise to a cause of action in their favour. They submit that the limitation period for this cause of action has not elapsed. They say that even if the limitation period has elapsed Golder would not be prejudiced by the amendment and that it would be just and convenient to allow the amendment.</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governing principles regarding an application to amend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legal principles that govern the granting of amendments to pleadings were recently reviewed and stated by Garson J. in Forliti (Guardian ad litem of) v. Woolley </w:t>
      </w:r>
      <w:hyperlink r:id="rId1011" w:history="1">
        <w:r>
          <w:rPr>
            <w:rFonts w:ascii="arial" w:eastAsia="arial" w:hAnsi="arial" w:cs="arial"/>
            <w:i/>
            <w:color w:val="0077CC"/>
            <w:sz w:val="20"/>
            <w:u w:val="single"/>
            <w:shd w:val="clear" w:color="auto" w:fill="FFFFFF"/>
            <w:lang w:val="en-US" w:eastAsia="en-US" w:bidi="ar-SA"/>
          </w:rPr>
          <w:t>(2003), 17 B.C.L.R. (4th) 184</w:t>
        </w:r>
      </w:hyperlink>
      <w:r>
        <w:rPr>
          <w:rFonts w:ascii="arial" w:eastAsia="arial" w:hAnsi="arial" w:cs="arial"/>
          <w:color w:val="000000"/>
          <w:sz w:val="20"/>
          <w:lang w:val="en-US" w:eastAsia="en-US" w:bidi="ar-SA"/>
        </w:rPr>
        <w:t xml:space="preserve">, </w:t>
      </w:r>
      <w:hyperlink r:id="rId1011" w:history="1">
        <w:r>
          <w:rPr>
            <w:rFonts w:ascii="arial" w:eastAsia="arial" w:hAnsi="arial" w:cs="arial"/>
            <w:i/>
            <w:color w:val="0077CC"/>
            <w:sz w:val="20"/>
            <w:u w:val="single"/>
            <w:shd w:val="clear" w:color="auto" w:fill="FFFFFF"/>
            <w:lang w:val="en-US" w:eastAsia="en-US" w:bidi="ar-SA"/>
          </w:rPr>
          <w:t>2003 BCSC 1082</w:t>
        </w:r>
      </w:hyperlink>
      <w:r>
        <w:rPr>
          <w:rFonts w:ascii="arial" w:eastAsia="arial" w:hAnsi="arial" w:cs="arial"/>
          <w:color w:val="000000"/>
          <w:sz w:val="20"/>
          <w:lang w:val="en-US" w:eastAsia="en-US" w:bidi="ar-SA"/>
        </w:rPr>
        <w:t xml:space="preserve"> at paras. 13 and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13 The general principles with respect to amendments were set out by McLachlin J. (as she then was) in Victoria Grey Metro Trust Company v. Fort Gary Trust Company </w:t>
      </w:r>
      <w:hyperlink r:id="rId1012" w:history="1">
        <w:r>
          <w:rPr>
            <w:rFonts w:ascii="arial" w:eastAsia="arial" w:hAnsi="arial" w:cs="arial"/>
            <w:i/>
            <w:color w:val="0077CC"/>
            <w:sz w:val="20"/>
            <w:u w:val="single"/>
            <w:shd w:val="clear" w:color="auto" w:fill="FFFFFF"/>
            <w:lang w:val="en-US" w:eastAsia="en-US" w:bidi="ar-SA"/>
          </w:rPr>
          <w:t>(1982), 30 B.C.L.R. (2d) 45</w:t>
        </w:r>
      </w:hyperlink>
      <w:r>
        <w:rPr>
          <w:rFonts w:ascii="arial" w:eastAsia="arial" w:hAnsi="arial" w:cs="arial"/>
          <w:color w:val="000000"/>
          <w:sz w:val="20"/>
          <w:lang w:val="en-US" w:eastAsia="en-US" w:bidi="ar-SA"/>
        </w:rPr>
        <w:t xml:space="preserve"> at pages 46 - 47 (S.C.):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Before addressing the proposed pleadings, I refer to the principles which govern the granting of amendments to pleadings. The basic rule, set out expressly in the former rules and no doubt still applicable, is that such amendments should be permitted as are necessary to determine the real question in issue between the parties ... However, the court will not allow useless amendments ... it may be noted that it is only in the clearest cases that a pleading will be struck out as disclosing no reasonable claim; </w:t>
      </w:r>
      <w:r>
        <w:rPr>
          <w:rFonts w:ascii="arial" w:eastAsia="arial" w:hAnsi="arial" w:cs="arial"/>
          <w:color w:val="000000"/>
          <w:sz w:val="20"/>
          <w:u w:val="single"/>
          <w:lang w:val="en-US" w:eastAsia="en-US" w:bidi="ar-SA"/>
        </w:rPr>
        <w:t>where there is doubt on either the facts or law, the matter should be allowed to proceed for determination at trial</w:t>
      </w:r>
      <w:r>
        <w:rPr>
          <w:rFonts w:ascii="arial" w:eastAsia="arial" w:hAnsi="arial" w:cs="arial"/>
          <w:color w:val="000000"/>
          <w:sz w:val="20"/>
          <w:lang w:val="en-US" w:eastAsia="en-US" w:bidi="ar-SA"/>
        </w:rPr>
        <w:t xml:space="preserve"> .... If there is any doubt, it should be resolved in favour of permitting the pleadings to stand ... While these cases deal with striking out claims already pleaded, consistency demands that the same considerations apply to the question of amendment to permit new claims.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Quintette Coal Ltd. v. Bow Valley Resource Services Ltd. </w:t>
      </w:r>
      <w:hyperlink r:id="rId1013" w:history="1">
        <w:r>
          <w:rPr>
            <w:rFonts w:ascii="arial" w:eastAsia="arial" w:hAnsi="arial" w:cs="arial"/>
            <w:i/>
            <w:color w:val="0077CC"/>
            <w:sz w:val="20"/>
            <w:u w:val="single"/>
            <w:shd w:val="clear" w:color="auto" w:fill="FFFFFF"/>
            <w:lang w:val="en-US" w:eastAsia="en-US" w:bidi="ar-SA"/>
          </w:rPr>
          <w:t>(1986), 6 B.C.L.R. (2d) 347</w:t>
        </w:r>
      </w:hyperlink>
      <w:r>
        <w:rPr>
          <w:rFonts w:ascii="arial" w:eastAsia="arial" w:hAnsi="arial" w:cs="arial"/>
          <w:color w:val="000000"/>
          <w:sz w:val="20"/>
          <w:lang w:val="en-US" w:eastAsia="en-US" w:bidi="ar-SA"/>
        </w:rPr>
        <w:t xml:space="preserve"> at 354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14 Hunt v. T &amp; N plc,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concerned an application, pursuant to Rule 19(24), to strike a statement of claim because it disclosed no reasonable cause of action. As noted by McLachlin J. in Victoria Grey, and by Lysyk J. in Quintette, the test on such an application would be similar or analogous to the test to be applied on an application to amend a statement of claim. At [paragraph] 52, Wilson J. held: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fact that a pleading reveals "an arguable, difficult or important point of law" cannot justify striking out part of the statement of claim. Indeed, I would go so far as to suggest that where a statement of claim reveals a difficult and important point of law, it may well be critical that the action be allowed to proceed. Only in this way can we be sure that the common law in general, and the law of torts in particular, will continue to evolve to meet the legal challenges that arise in our modern industrial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 Analysis</w:t>
      </w:r>
      <w:r>
        <w:rPr>
          <w:rFonts w:ascii="arial" w:eastAsia="arial" w:hAnsi="arial" w:cs="arial"/>
          <w:sz w:val="20"/>
          <w:lang w:val="en-US" w:eastAsia="en-US" w:bidi="ar-SA"/>
        </w:rPr>
        <w:cr/>
      </w:r>
    </w:p>
    <w:p>
      <w:pPr>
        <w:numPr>
          <w:numId w:val="2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Paragraphs 12 and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Counsel for Golder submits that the facts alleged in the proposed paragraphs 12 - 13 and 19 - 21 constitute "a new combination of facts" that raise a new and distinct cause of action against Golder, namely the failure of a duty to warn. While I confess considerable difficulty in seeing much distinction between the duty to warn of risk of landslide and a duty not to negligently express an opinion as to the suitability of the lot for constructing a house because of the failure to recognize and state the presence of a risk of landslide, counsel for the plaintiffs concedes that paragraphs 19 - 21 plead a new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allegations made in the proposed new paragraphs 12 and 13 allege knowledge and prior experience on the part of Golder that relate to both causes of action in my view. They are amendments that the plaintiffs could seek to make even if they did not wish to advance a separate claim based on a duty to warn. In that event, no issue would arise concerning a limitation period. I will therefore permit the plaintiffs to plead paragraphs 12 and 13.</w:t>
      </w:r>
      <w:r>
        <w:rPr>
          <w:rFonts w:ascii="arial" w:eastAsia="arial" w:hAnsi="arial" w:cs="arial"/>
          <w:sz w:val="20"/>
          <w:lang w:val="en-US" w:eastAsia="en-US" w:bidi="ar-SA"/>
        </w:rPr>
        <w:cr/>
      </w:r>
    </w:p>
    <w:p>
      <w:pPr>
        <w:numPr>
          <w:numId w:val="2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Paragraphs 17(e) - (g) and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Counsel for Golder submits that the allegations in proposed subparagraphs 17(e) to (g) and paragraph 18 are inconsistent with other allegations in the statement of claim and are therefore contrary to Rule 19(7), which provides that "a party shall not plead an allegation of fact or a new ground or claim inconsistent with the party's previous pleading". Golder's argument is as follows. In paragraph 8 of the proposed further amended statement of claim, the plaintiffs refer expressly to Golder's report of April 11, 1995. Consequently, that report can be considered to determine the substance and true nature of the plaintiffs' allegations (see Monenco Ltd. v. Commonwealth Insurance Co., </w:t>
      </w:r>
      <w:hyperlink r:id="rId1014" w:history="1">
        <w:r>
          <w:rPr>
            <w:rFonts w:ascii="arial" w:eastAsia="arial" w:hAnsi="arial" w:cs="arial"/>
            <w:i/>
            <w:color w:val="0077CC"/>
            <w:sz w:val="20"/>
            <w:u w:val="single"/>
            <w:shd w:val="clear" w:color="auto" w:fill="FFFFFF"/>
            <w:lang w:val="en-US" w:eastAsia="en-US" w:bidi="ar-SA"/>
          </w:rPr>
          <w:t>[2001] 2 S.C.R. 699</w:t>
        </w:r>
      </w:hyperlink>
      <w:r>
        <w:rPr>
          <w:rFonts w:ascii="arial" w:eastAsia="arial" w:hAnsi="arial" w:cs="arial"/>
          <w:color w:val="000000"/>
          <w:sz w:val="20"/>
          <w:lang w:val="en-US" w:eastAsia="en-US" w:bidi="ar-SA"/>
        </w:rPr>
        <w:t xml:space="preserve">, </w:t>
      </w:r>
      <w:hyperlink r:id="rId1014" w:history="1">
        <w:r>
          <w:rPr>
            <w:rFonts w:ascii="arial" w:eastAsia="arial" w:hAnsi="arial" w:cs="arial"/>
            <w:i/>
            <w:color w:val="0077CC"/>
            <w:sz w:val="20"/>
            <w:u w:val="single"/>
            <w:shd w:val="clear" w:color="auto" w:fill="FFFFFF"/>
            <w:lang w:val="en-US" w:eastAsia="en-US" w:bidi="ar-SA"/>
          </w:rPr>
          <w:t>2001 SCC 49</w:t>
        </w:r>
      </w:hyperlink>
      <w:r>
        <w:rPr>
          <w:rFonts w:ascii="arial" w:eastAsia="arial" w:hAnsi="arial" w:cs="arial"/>
          <w:color w:val="000000"/>
          <w:sz w:val="20"/>
          <w:lang w:val="en-US" w:eastAsia="en-US" w:bidi="ar-SA"/>
        </w:rPr>
        <w:t xml:space="preserve"> at para. 36). The April 11, 1995 report contains the following limitation: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Evaluation of the potential for large scale natural hazards associated with the mountainous areas upslope of the site area is beyond the scope of work for this individual single family lot within an approved subdivision and is not addressed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Golder says the allegations in subparagraphs 17(e) to (g) and paragraph 18 cannot stand in the face of the foregoing limitation on the scope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correctness of Golder's submission depends upon acceptance of the proposition that by using the words of limitation set out above Golder effectively eliminated any responsibility to advise with respect to any large scale events, including the risk of deep-seated failure and consequential risk of a large mass landslide. The plaintiffs take the position that the limitation in the report refers to natural hazards "associated with the mountainous areas upslope", including avalanches. They say that the failure that has occurred in this case is not such a hazard and is not excluded from consideration by the limiting words. This is an issue to be determined at trial. It should not be determined in the context of an application by the plaintiffs to amend their pleadings so that they can advance their interpretation of the limitation.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will therefore permit the plaintiffs to plead the new subparagraphs 17(e) to (g) and paragraph 18.</w:t>
      </w:r>
      <w:r>
        <w:rPr>
          <w:rFonts w:ascii="arial" w:eastAsia="arial" w:hAnsi="arial" w:cs="arial"/>
          <w:sz w:val="20"/>
          <w:lang w:val="en-US" w:eastAsia="en-US" w:bidi="ar-SA"/>
        </w:rPr>
        <w:cr/>
      </w:r>
    </w:p>
    <w:p>
      <w:pPr>
        <w:numPr>
          <w:numId w:val="2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Paragraphs 19 - 21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As I have already noted, counsel for the plaintiffs concedes that paragraphs 19 to 21 of the proposed further amended statement of claim raise a new cause of action, although he submits that the factual foundation for this cause of action is essentially the same as that for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performance of services. Counsel for Golder submits the six year limitation period for bringing this cause of action has passed. During the hearing, counsel for Golder submitted the limitation period had elapsed before Golder was made a party to this action but it appears that submission was based on an erroneous belief that Golder was added in 2002. In fact, Golder was made a party in May 2000, less than 6 years after Golder provided its report. Thus, if the limitation period has elapsed, it elapsed after Golder was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Counsel for the plaintiffs submits that the running of the limitation period was postponed by the operation of s. 6(4) of the Limitation Act,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with respect to an action referred to in subsection (3) until the identity of the defendant is known to the plaintiff and those facts within the plaintiff's means of knowledge are such that a reasonable person, knowing those facts and having taken the appropriate advice a reasonable person would seek on those facts, would regard those facts as showing that</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Subsection (3) includes an action 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Subsection 6(5) defines "facts" as including:</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duty owed to the plaintiff by the defendant, and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breach of a duty caused injury, damage or loss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Counsel for the plaintiffs submits that it was not until the solicitor for the plaintiffs conducted examinations for discoveries and undertook further investigations that he believed that a further cause of action existed, namely breach of a duty to warn. Counsel further submits that it was not until the plaintiffs received a report from their expert, Dr. Sevigny, that they were in a position to be aware of the existence of the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my view, the court does not have all of the evidence necessary to determine at this stage whether or not the six year limitation has or has not expired. As such, I intend to approach the matter on the assumption that it has expired and to determine whether it would be just and convenient to allow the amendment even though the result of allowing the amendment would be to take away the limitation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Section 4(4)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any action the court may allow the amendment of a pleading, on terms as to costs or otherwise that the court considers just, even if between the issue of the writ and the application for amendment a fresh cause of action disclosed by the amendment would have become barred by the lapse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existence of a limitation defence is clearly a factor to consider when deciding whether or not to add a party or allow an amendment to plead a new cause of action but it is not determinative of the issue. In ASM Capital Corp. v. Mercer International Inc. </w:t>
      </w:r>
      <w:hyperlink r:id="rId1015" w:history="1">
        <w:r>
          <w:rPr>
            <w:rFonts w:ascii="arial" w:eastAsia="arial" w:hAnsi="arial" w:cs="arial"/>
            <w:i/>
            <w:color w:val="0077CC"/>
            <w:sz w:val="20"/>
            <w:u w:val="single"/>
            <w:shd w:val="clear" w:color="auto" w:fill="FFFFFF"/>
            <w:lang w:val="en-US" w:eastAsia="en-US" w:bidi="ar-SA"/>
          </w:rPr>
          <w:t>(1999), 69 B.C.L.R. (3d) 177</w:t>
        </w:r>
      </w:hyperlink>
      <w:r>
        <w:rPr>
          <w:rFonts w:ascii="arial" w:eastAsia="arial" w:hAnsi="arial" w:cs="arial"/>
          <w:color w:val="000000"/>
          <w:sz w:val="20"/>
          <w:lang w:val="en-US" w:eastAsia="en-US" w:bidi="ar-SA"/>
        </w:rPr>
        <w:t xml:space="preserve"> at 182, </w:t>
      </w:r>
      <w:hyperlink r:id="rId1015" w:history="1">
        <w:r>
          <w:rPr>
            <w:rFonts w:ascii="arial" w:eastAsia="arial" w:hAnsi="arial" w:cs="arial"/>
            <w:i/>
            <w:color w:val="0077CC"/>
            <w:sz w:val="20"/>
            <w:u w:val="single"/>
            <w:shd w:val="clear" w:color="auto" w:fill="FFFFFF"/>
            <w:lang w:val="en-US" w:eastAsia="en-US" w:bidi="ar-SA"/>
          </w:rPr>
          <w:t>1999 BCCA 353</w:t>
        </w:r>
      </w:hyperlink>
      <w:r>
        <w:rPr>
          <w:rFonts w:ascii="arial" w:eastAsia="arial" w:hAnsi="arial" w:cs="arial"/>
          <w:color w:val="000000"/>
          <w:sz w:val="20"/>
          <w:lang w:val="en-US" w:eastAsia="en-US" w:bidi="ar-SA"/>
        </w:rPr>
        <w:t xml:space="preserve"> Cumming J.A. stated the law as follows, starting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4(4) of the Limitation Act confers a discretionary jurisdiction on the court to permit a defendant to amend a counterclaim to allege a cause of action which has become statute-barred since the commencement of the plaintiff's action but not before. This interpretation of s. 4(4) is supported by the language of the section; by reference to the 1974 proposals of the B.C. Law Reform Commission in its Report on the Limitation Act; and this Court's decision in Daco Developments Ltd. et al v. Norman Lewis Co. Ltd. </w:t>
      </w:r>
      <w:hyperlink r:id="rId1016" w:history="1">
        <w:r>
          <w:rPr>
            <w:rFonts w:ascii="arial" w:eastAsia="arial" w:hAnsi="arial" w:cs="arial"/>
            <w:i/>
            <w:color w:val="0077CC"/>
            <w:sz w:val="20"/>
            <w:u w:val="single"/>
            <w:shd w:val="clear" w:color="auto" w:fill="FFFFFF"/>
            <w:lang w:val="en-US" w:eastAsia="en-US" w:bidi="ar-SA"/>
          </w:rPr>
          <w:t>(1982), 33 B.C.L.R. 273</w:t>
        </w:r>
      </w:hyperlink>
      <w:r>
        <w:rPr>
          <w:rFonts w:ascii="arial" w:eastAsia="arial" w:hAnsi="arial" w:cs="arial"/>
          <w:color w:val="000000"/>
          <w:sz w:val="20"/>
          <w:lang w:val="en-US" w:eastAsia="en-US" w:bidi="ar-SA"/>
        </w:rPr>
        <w:t xml:space="preserve"> (C.A.) (also see Hogan v. McKay (1984), 42 C.P.C. 264 (B.C.S.C.) and Lewis v. McGhan Medical Corp. </w:t>
      </w:r>
      <w:hyperlink r:id="rId1017" w:history="1">
        <w:r>
          <w:rPr>
            <w:rFonts w:ascii="arial" w:eastAsia="arial" w:hAnsi="arial" w:cs="arial"/>
            <w:i/>
            <w:color w:val="0077CC"/>
            <w:sz w:val="20"/>
            <w:u w:val="single"/>
            <w:shd w:val="clear" w:color="auto" w:fill="FFFFFF"/>
            <w:lang w:val="en-US" w:eastAsia="en-US" w:bidi="ar-SA"/>
          </w:rPr>
          <w:t>(1995), 37 C.P.C. (3d) 22</w:t>
        </w:r>
      </w:hyperlink>
      <w:r>
        <w:rPr>
          <w:rFonts w:ascii="arial" w:eastAsia="arial" w:hAnsi="arial" w:cs="arial"/>
          <w:color w:val="000000"/>
          <w:sz w:val="20"/>
          <w:lang w:val="en-US" w:eastAsia="en-US" w:bidi="ar-SA"/>
        </w:rPr>
        <w:t xml:space="preserve">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discretion to be exercised by a chambers judge in deciding whether to grant leave to a defendant to amend a counterclaim to plead a cause of action that has become statute-barred since the commencement of the original action requires the chambers judge to consider:</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prejudice to the parties;</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delay in seeking the amendment, and</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explanation for delay.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Strictly speaking, the law in this Province is that there is a presumption of prejudice in favour of the party opposing the amendments: Med Finance Co. S.A. v. Bank of Montreal </w:t>
      </w:r>
      <w:hyperlink r:id="rId1018" w:history="1">
        <w:r>
          <w:rPr>
            <w:rFonts w:ascii="arial" w:eastAsia="arial" w:hAnsi="arial" w:cs="arial"/>
            <w:i/>
            <w:color w:val="0077CC"/>
            <w:sz w:val="20"/>
            <w:u w:val="single"/>
            <w:shd w:val="clear" w:color="auto" w:fill="FFFFFF"/>
            <w:lang w:val="en-US" w:eastAsia="en-US" w:bidi="ar-SA"/>
          </w:rPr>
          <w:t>(1993), 79 B.C.L.R. (2d) 222</w:t>
        </w:r>
      </w:hyperlink>
      <w:r>
        <w:rPr>
          <w:rFonts w:ascii="arial" w:eastAsia="arial" w:hAnsi="arial" w:cs="arial"/>
          <w:color w:val="000000"/>
          <w:sz w:val="20"/>
          <w:lang w:val="en-US" w:eastAsia="en-US" w:bidi="ar-SA"/>
        </w:rPr>
        <w:t xml:space="preserve"> (C.A.). Certain obiter dictum in recent decisions of this Court have questioned the correctness of this aspect of the Court's judgment in Med Finance. See: Teal Cedar Products (1977) Ltd. v. Dale Intermediaries Ltd. </w:t>
      </w:r>
      <w:hyperlink r:id="rId1019"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(C.A.) and Tri-Line Expressways v. Ansari </w:t>
      </w:r>
      <w:hyperlink r:id="rId1020" w:history="1">
        <w:r>
          <w:rPr>
            <w:rFonts w:ascii="arial" w:eastAsia="arial" w:hAnsi="arial" w:cs="arial"/>
            <w:i/>
            <w:color w:val="0077CC"/>
            <w:sz w:val="20"/>
            <w:u w:val="single"/>
            <w:shd w:val="clear" w:color="auto" w:fill="FFFFFF"/>
            <w:lang w:val="en-US" w:eastAsia="en-US" w:bidi="ar-SA"/>
          </w:rPr>
          <w:t>(1997), 30 B.C.L.R. (3d) 222</w:t>
        </w:r>
      </w:hyperlink>
      <w:r>
        <w:rPr>
          <w:rFonts w:ascii="arial" w:eastAsia="arial" w:hAnsi="arial" w:cs="arial"/>
          <w:color w:val="000000"/>
          <w:sz w:val="20"/>
          <w:lang w:val="en-US" w:eastAsia="en-US" w:bidi="ar-SA"/>
        </w:rPr>
        <w:t xml:space="preserve"> (C.A.). However, it is not necessary nor is it open to us on this appeal to resolve this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addition to the presumed prejudice, Golder submits an amendment would cause prejudice because the plaintiffs delivered the proposed amendments in October 2004 but did not deliver their notice of motion until January 4, 2005, only seven days before the hearing of Golder's application under Rule 18A and thus caused prejudice to the 18A application. In my view, any prejudice caused by late delivery could have been overcome by an adjournment of the 18A application. Golder did not seek an adjournment.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Golder submits further that if the amendment is allowed it will have to bear the expense of investigating events that began 10 years ago, which may result in additional discoveries or the loss of evidence. Golder has yet to conduct any discoveries. Further, I accept the submission on behalf of the plaintiffs that while the causes of action may be distinct in terms of the duty, the factual foundation for them is essentially the same. Golder has to undertake the same factual investigations whether the amendments to add paragraphs 19 to 21 are granted or not. In my opinion, these circumstances are sufficient to rebut the alleged prejudice, actual or presumed.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am therefore of the view that if the claim that the plaintiffs wish to advance through these amendments is one that the law recognizes, then it would be just to permit the amendment. However, as will be seen I am of the opinion that the facts alleged do not create a duty of care that the law currently recognizes nor one that I am prepared to recognize as a new category under the principles applicable to recovery for pure economic loss.</w:t>
      </w:r>
      <w:r>
        <w:rPr>
          <w:rFonts w:ascii="arial" w:eastAsia="arial" w:hAnsi="arial" w:cs="arial"/>
          <w:sz w:val="20"/>
          <w:lang w:val="en-US" w:eastAsia="en-US" w:bidi="ar-SA"/>
        </w:rPr>
        <w:cr/>
      </w:r>
    </w:p>
    <w:p>
      <w:pPr>
        <w:numPr>
          <w:numId w:val="2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TRIAL APPLICATION</w:t>
      </w:r>
    </w:p>
    <w:p>
      <w:pPr>
        <w:numPr>
          <w:numId w:val="3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of the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As stated above, in addition to resisting the amendments to the statement of claim, Golder applies to have the whole action against it dismissed. Golder submits that the action against it can and should be determined in its favour on this application on the grounds that it was not negligent in fact in failing to know that there was a deep seated failure, i.e. an active slide, and that, in any event there is no duty in law owed by Golder to the plaintiffs under the existing claim or the proposed new claim. Counsel for Golder submits that the action as currently pleaded is incorrectly framed as "negligent provision of services". He submits that if Golder committed any error, which is denied, it was a negligent misstatement; however the plaintiffs are not entitled to recover damages on the basis of negligent misstatement because there was no reliance by them. Counsel for Golder also suggests that the Gooses and Wall were negligent in the construction of the house, although he did not press that point during oral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plaintiffs take the position that the issues of whether Golder owed them a duty of care and whether it failed to meet a reasonable standard of care in preparing its report can be determined under Rule 18A. They submit as well that the issue whether Golder had a duty to warn the Gooses and the City can be determined under Rule 18A. They submit, however, that it would be premature and inappropriate to determine now whether it breached the duty to warn because that would require a consideration of the adequacy of the Terra reports, which could prejudice Terra. The plaintiffs also submit that it would be premature to determine whether there is a causal connection between the damages suffered by the plaintiffs and Golder's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its duty to warn or to determine the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Terra does not oppose Golder's application provided the court can make the necessary determinations of fact and law without prejudicing its position in the action. Terra says that it would be inappropriate to make any adverse findings against it on this application and if the court is in the position of having to do so in order to determine the application, it should dismiss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City submits that it is not possible for this court to determine the issues as between the plaintiffs and Golder without making determinations of fact and/or law that may prejudice the other parties and that may embarrass the trial of the action by tying the hands of the trial judge.</w:t>
      </w:r>
      <w:r>
        <w:rPr>
          <w:rFonts w:ascii="arial" w:eastAsia="arial" w:hAnsi="arial" w:cs="arial"/>
          <w:sz w:val="20"/>
          <w:lang w:val="en-US" w:eastAsia="en-US" w:bidi="ar-SA"/>
        </w:rPr>
        <w:cr/>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Principles applicable to the determination of some but not all of the issues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Court of Appeal has urged caution in dealing with an application under Rule 18A where the court is not able to determine all issues or where the determination of issues between two parties may embarrass the trial concerning the remaining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Parsons v. Finch </w:t>
      </w:r>
      <w:hyperlink r:id="rId1021" w:history="1">
        <w:r>
          <w:rPr>
            <w:rFonts w:ascii="arial" w:eastAsia="arial" w:hAnsi="arial" w:cs="arial"/>
            <w:i/>
            <w:color w:val="0077CC"/>
            <w:sz w:val="20"/>
            <w:u w:val="single"/>
            <w:shd w:val="clear" w:color="auto" w:fill="FFFFFF"/>
            <w:lang w:val="en-US" w:eastAsia="en-US" w:bidi="ar-SA"/>
          </w:rPr>
          <w:t>(2003), 16 B.C.L.R. (4th) 86</w:t>
        </w:r>
      </w:hyperlink>
      <w:r>
        <w:rPr>
          <w:rFonts w:ascii="arial" w:eastAsia="arial" w:hAnsi="arial" w:cs="arial"/>
          <w:color w:val="000000"/>
          <w:sz w:val="20"/>
          <w:lang w:val="en-US" w:eastAsia="en-US" w:bidi="ar-SA"/>
        </w:rPr>
        <w:t xml:space="preserve">, </w:t>
      </w:r>
      <w:hyperlink r:id="rId1021" w:history="1">
        <w:r>
          <w:rPr>
            <w:rFonts w:ascii="arial" w:eastAsia="arial" w:hAnsi="arial" w:cs="arial"/>
            <w:i/>
            <w:color w:val="0077CC"/>
            <w:sz w:val="20"/>
            <w:u w:val="single"/>
            <w:shd w:val="clear" w:color="auto" w:fill="FFFFFF"/>
            <w:lang w:val="en-US" w:eastAsia="en-US" w:bidi="ar-SA"/>
          </w:rPr>
          <w:t>2003 BCCA 409</w:t>
        </w:r>
      </w:hyperlink>
      <w:r>
        <w:rPr>
          <w:rFonts w:ascii="arial" w:eastAsia="arial" w:hAnsi="arial" w:cs="arial"/>
          <w:color w:val="000000"/>
          <w:sz w:val="20"/>
          <w:lang w:val="en-US" w:eastAsia="en-US" w:bidi="ar-SA"/>
        </w:rPr>
        <w:t xml:space="preserve"> at paras. 43 - 47, Rowles J.A. reviewed the proper approach where the parties seek the determination of some but not all of the issues by way of Rule 18A: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43 Whether an issue sought to be determined by the parties would assist the efficient resolution of the proceeding has been the subject of a number of decisions in this Court including North Vancouver District v. Lunde </w:t>
      </w:r>
      <w:hyperlink r:id="rId1022" w:history="1">
        <w:r>
          <w:rPr>
            <w:rFonts w:ascii="arial" w:eastAsia="arial" w:hAnsi="arial" w:cs="arial"/>
            <w:i/>
            <w:color w:val="0077CC"/>
            <w:sz w:val="20"/>
            <w:u w:val="single"/>
            <w:shd w:val="clear" w:color="auto" w:fill="FFFFFF"/>
            <w:lang w:val="en-US" w:eastAsia="en-US" w:bidi="ar-SA"/>
          </w:rPr>
          <w:t>(1998), 162 D.L.R. (4th) 402</w:t>
        </w:r>
      </w:hyperlink>
      <w:r>
        <w:rPr>
          <w:rFonts w:ascii="arial" w:eastAsia="arial" w:hAnsi="arial" w:cs="arial"/>
          <w:color w:val="000000"/>
          <w:sz w:val="20"/>
          <w:lang w:val="en-US" w:eastAsia="en-US" w:bidi="ar-SA"/>
        </w:rPr>
        <w:t xml:space="preserve">, Jam's International Ventures Ltd. v. Westbank Holdings Ltd., </w:t>
      </w:r>
      <w:hyperlink r:id="rId1023" w:history="1">
        <w:r>
          <w:rPr>
            <w:rFonts w:ascii="arial" w:eastAsia="arial" w:hAnsi="arial" w:cs="arial"/>
            <w:i/>
            <w:color w:val="0077CC"/>
            <w:sz w:val="20"/>
            <w:u w:val="single"/>
            <w:shd w:val="clear" w:color="auto" w:fill="FFFFFF"/>
            <w:lang w:val="en-US" w:eastAsia="en-US" w:bidi="ar-SA"/>
          </w:rPr>
          <w:t>[2001] B.C.J. No. 548</w:t>
        </w:r>
      </w:hyperlink>
      <w:r>
        <w:rPr>
          <w:rFonts w:ascii="arial" w:eastAsia="arial" w:hAnsi="arial" w:cs="arial"/>
          <w:color w:val="000000"/>
          <w:sz w:val="20"/>
          <w:lang w:val="en-US" w:eastAsia="en-US" w:bidi="ar-SA"/>
        </w:rPr>
        <w:t xml:space="preserve">, </w:t>
      </w:r>
      <w:hyperlink r:id="rId1023" w:history="1">
        <w:r>
          <w:rPr>
            <w:rFonts w:ascii="arial" w:eastAsia="arial" w:hAnsi="arial" w:cs="arial"/>
            <w:i/>
            <w:color w:val="0077CC"/>
            <w:sz w:val="20"/>
            <w:u w:val="single"/>
            <w:shd w:val="clear" w:color="auto" w:fill="FFFFFF"/>
            <w:lang w:val="en-US" w:eastAsia="en-US" w:bidi="ar-SA"/>
          </w:rPr>
          <w:t>2001 BCCA 121</w:t>
        </w:r>
      </w:hyperlink>
      <w:r>
        <w:rPr>
          <w:rFonts w:ascii="arial" w:eastAsia="arial" w:hAnsi="arial" w:cs="arial"/>
          <w:color w:val="000000"/>
          <w:sz w:val="20"/>
          <w:lang w:val="en-US" w:eastAsia="en-US" w:bidi="ar-SA"/>
        </w:rPr>
        <w:t xml:space="preserve">, Scott v. Fulton, </w:t>
      </w:r>
      <w:hyperlink r:id="rId1024" w:history="1">
        <w:r>
          <w:rPr>
            <w:rFonts w:ascii="arial" w:eastAsia="arial" w:hAnsi="arial" w:cs="arial"/>
            <w:i/>
            <w:color w:val="0077CC"/>
            <w:sz w:val="20"/>
            <w:u w:val="single"/>
            <w:shd w:val="clear" w:color="auto" w:fill="FFFFFF"/>
            <w:lang w:val="en-US" w:eastAsia="en-US" w:bidi="ar-SA"/>
          </w:rPr>
          <w:t>[2000] B.C.J. No. 367</w:t>
        </w:r>
      </w:hyperlink>
      <w:r>
        <w:rPr>
          <w:rFonts w:ascii="arial" w:eastAsia="arial" w:hAnsi="arial" w:cs="arial"/>
          <w:color w:val="000000"/>
          <w:sz w:val="20"/>
          <w:lang w:val="en-US" w:eastAsia="en-US" w:bidi="ar-SA"/>
        </w:rPr>
        <w:t xml:space="preserve">, </w:t>
      </w:r>
      <w:hyperlink r:id="rId1024" w:history="1">
        <w:r>
          <w:rPr>
            <w:rFonts w:ascii="arial" w:eastAsia="arial" w:hAnsi="arial" w:cs="arial"/>
            <w:i/>
            <w:color w:val="0077CC"/>
            <w:sz w:val="20"/>
            <w:u w:val="single"/>
            <w:shd w:val="clear" w:color="auto" w:fill="FFFFFF"/>
            <w:lang w:val="en-US" w:eastAsia="en-US" w:bidi="ar-SA"/>
          </w:rPr>
          <w:t>2000 BCCA 124</w:t>
        </w:r>
      </w:hyperlink>
      <w:r>
        <w:rPr>
          <w:rFonts w:ascii="arial" w:eastAsia="arial" w:hAnsi="arial" w:cs="arial"/>
          <w:color w:val="000000"/>
          <w:sz w:val="20"/>
          <w:lang w:val="en-US" w:eastAsia="en-US" w:bidi="ar-SA"/>
        </w:rPr>
        <w:t xml:space="preserve">, Bacchus Agents (1981) Ltd. v. Philippe Dandurand Wines Ltd. </w:t>
      </w:r>
      <w:hyperlink r:id="rId1025" w:history="1">
        <w:r>
          <w:rPr>
            <w:rFonts w:ascii="arial" w:eastAsia="arial" w:hAnsi="arial" w:cs="arial"/>
            <w:i/>
            <w:color w:val="0077CC"/>
            <w:sz w:val="20"/>
            <w:u w:val="single"/>
            <w:shd w:val="clear" w:color="auto" w:fill="FFFFFF"/>
            <w:lang w:val="en-US" w:eastAsia="en-US" w:bidi="ar-SA"/>
          </w:rPr>
          <w:t>(2002) 164 BCAC 300</w:t>
        </w:r>
      </w:hyperlink>
      <w:r>
        <w:rPr>
          <w:rFonts w:ascii="arial" w:eastAsia="arial" w:hAnsi="arial" w:cs="arial"/>
          <w:color w:val="000000"/>
          <w:sz w:val="20"/>
          <w:lang w:val="en-US" w:eastAsia="en-US" w:bidi="ar-SA"/>
        </w:rPr>
        <w:t xml:space="preserve">, </w:t>
      </w:r>
      <w:hyperlink r:id="rId1025" w:history="1">
        <w:r>
          <w:rPr>
            <w:rFonts w:ascii="arial" w:eastAsia="arial" w:hAnsi="arial" w:cs="arial"/>
            <w:i/>
            <w:color w:val="0077CC"/>
            <w:sz w:val="20"/>
            <w:u w:val="single"/>
            <w:shd w:val="clear" w:color="auto" w:fill="FFFFFF"/>
            <w:lang w:val="en-US" w:eastAsia="en-US" w:bidi="ar-SA"/>
          </w:rPr>
          <w:t>2002 BCCA 138</w:t>
        </w:r>
      </w:hyperlink>
      <w:r>
        <w:rPr>
          <w:rFonts w:ascii="arial" w:eastAsia="arial" w:hAnsi="arial" w:cs="arial"/>
          <w:color w:val="000000"/>
          <w:sz w:val="20"/>
          <w:lang w:val="en-US" w:eastAsia="en-US" w:bidi="ar-SA"/>
        </w:rPr>
        <w:t xml:space="preserve">, Kaba v. Cambridge Western Leaseholds Ltd. </w:t>
      </w:r>
      <w:hyperlink r:id="rId1026" w:history="1">
        <w:r>
          <w:rPr>
            <w:rFonts w:ascii="arial" w:eastAsia="arial" w:hAnsi="arial" w:cs="arial"/>
            <w:i/>
            <w:color w:val="0077CC"/>
            <w:sz w:val="20"/>
            <w:u w:val="single"/>
            <w:shd w:val="clear" w:color="auto" w:fill="FFFFFF"/>
            <w:lang w:val="en-US" w:eastAsia="en-US" w:bidi="ar-SA"/>
          </w:rPr>
          <w:t>(1997) 43 B.C.L.R. (3d) 80</w:t>
        </w:r>
      </w:hyperlink>
      <w:r>
        <w:rPr>
          <w:rFonts w:ascii="arial" w:eastAsia="arial" w:hAnsi="arial" w:cs="arial"/>
          <w:color w:val="000000"/>
          <w:sz w:val="20"/>
          <w:lang w:val="en-US" w:eastAsia="en-US" w:bidi="ar-SA"/>
        </w:rPr>
        <w:t xml:space="preserve"> (C.A.) and Prevost (Committee of) v. Vetter </w:t>
      </w:r>
      <w:r>
        <w:rPr>
          <w:rFonts w:ascii="arial" w:eastAsia="arial" w:hAnsi="arial" w:cs="arial"/>
          <w:i/>
          <w:color w:val="000000"/>
          <w:sz w:val="20"/>
          <w:lang w:val="en-US" w:eastAsia="en-US" w:bidi="ar-SA"/>
        </w:rPr>
        <w:t>(2002) 100 B.C.L.R. (3d) 44</w:t>
      </w:r>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44 In North Vancouver District v. Lunde </w:t>
      </w:r>
      <w:hyperlink r:id="rId1022" w:history="1">
        <w:r>
          <w:rPr>
            <w:rFonts w:ascii="arial" w:eastAsia="arial" w:hAnsi="arial" w:cs="arial"/>
            <w:i/>
            <w:color w:val="0077CC"/>
            <w:sz w:val="20"/>
            <w:u w:val="single"/>
            <w:shd w:val="clear" w:color="auto" w:fill="FFFFFF"/>
            <w:lang w:val="en-US" w:eastAsia="en-US" w:bidi="ar-SA"/>
          </w:rPr>
          <w:t>(1998), 162 D.L.R. (4th) 402</w:t>
        </w:r>
      </w:hyperlink>
      <w:r>
        <w:rPr>
          <w:rFonts w:ascii="arial" w:eastAsia="arial" w:hAnsi="arial" w:cs="arial"/>
          <w:color w:val="000000"/>
          <w:sz w:val="20"/>
          <w:lang w:val="en-US" w:eastAsia="en-US" w:bidi="ar-SA"/>
        </w:rPr>
        <w:t xml:space="preserve"> at 413-414, Lambert J.A.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With respect, it seems to me that if the answer to an issue sought to be tried under Rule 18A will only resolve the whole proceeding if one answer is given, but not if a different answer is given, then the applicant should be required to demonstrate, and the judge should be expected to decide, that the administration of justice, as it affects not just the parties to the motion, but also the orderly use of court time, will be enhanced by dealing with the issue as a separate issue.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then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46 In Bacchus Agents (1981) Ltd. v. Philippe Dandurand Wines Ltd., supra, at para. 22, Southin J.A. noted that the appeal raised "important, rare and unsettled questions of law identified in the outlines of the parties". In that case, Southin J.A. expressed the opinion that the summary trial judge had erred in deciding important issues of law in an action that might ultimately fail on its facts.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47 In Prevost (Committee of) v. Vetter, supra, this Court held that where there is an extensive overlapping of issues, one issue ought not to be tried discretely on a summary trial. The following summary of Prevost, which appears in McLachlin &amp; Taylor, British Columbia Practice (looseleaf, Butterworths Canada Ltd. Issue 49 (Jan/03) under the heading "Preliminary objections to Proceedings under R 18A" sets out the pitfalls of determining a single issue on a summary trial of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with reference to Rule 18A(8)(b)(i) and (ii):</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decision in Prevost (Committee of) v. Vetter ... illustrates why in some cases, it may be necessary for the court to invoke both branches of R. 18A(8)(b) and dismiss a summary trial application that deals with some, but not all, of the issues necessary to resolve the dispute between the litigants. The summary trial judge was asked to decide, and did decide, the issues of whether the appellants owed the plaintiff a duty of care to prevent him from coming to harm while off their premises, at the hands of a person (the defendant driver) who became impaired while on their premises, and if so, whether the appellants breached that duty of care. The parties did not intend that the summary trial judge decide whether the appellants' breach of duty caused the injuries suffered by the plaintiff. Rather, they contemplated that causation, assessment of damages, and issues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be decided in a subsequent trial, if necessary, should the appellants fail in their attempt to have the action dismissed summarily. One of the problems identified by the Court of Appeal was that the question of whether the appellants owed a duty of care to the plaintiff and the question of the standard of care involved findings concerning the state of intoxication of the defendant driver, and those findings were important, and thus intertwined, with the issue of causation. As it was not possible for the summary trial judge to determine the issues of duty of care and breach of the standard of care without making findings of fact that were crucial to the issue of causation, and as the parties agreed that causation remained a live issue, they should not have asked the summary trial judge to determine those issues on a summary trial and he should not have done so. In those circumstances, the issues were not suitable for determination under 18A(8)(b)(i). Furthermore, even if the findings of duty and breach could stand and the question of causation could be tried separately, the ultimate trial judge might arrive at contrary findings as to the defendant driver's impairment, or as to the manifestations thereof, after hearing full evidence on that issue. It was possible, as well, that the trial judge might find that impairment, if any, was not a causative factor in the accident. The evidence in the case suggested a distinct possibility that the findings reached on this summary trial would turn out to be irrelevant. If so, the summary trial would have been a waste of judicial time and would have served only to delay the ultimate resolution of the case, which had been set for hearing as a conventional trial on a date shortly after the summary trial. The result would be the kind of inefficient resolution of the proceeding, to which R. 18A(8)(b)(ii) refers.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If I am able to determine that Golder did not owe the plaintiff any duty of care or did not breach any duty of care that was owed, that would dispose of the action against Golder. Otherwise, the action against Golder will have to proceed to trial. It is suggested that if I were to determine the issue of Golder's duty of care in relation to the report of April 11, 1995, i.e. the provision of services, I would risk making determinations of fact or of law that may prejudice the plaintiffs or other defendants in relation to those claims that are not the subject matter of this application. In order to assess the risk it is necessary to consider in greater detail the nature of the claim against Golder and how the issues that arise within it may overlap with or affect the other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The claim based on negligent provision of services</w:t>
      </w:r>
      <w:r>
        <w:rPr>
          <w:rFonts w:ascii="arial" w:eastAsia="arial" w:hAnsi="arial" w:cs="arial"/>
          <w:sz w:val="20"/>
          <w:lang w:val="en-US" w:eastAsia="en-US" w:bidi="ar-SA"/>
        </w:rPr>
        <w:cr/>
      </w:r>
    </w:p>
    <w:p>
      <w:pPr>
        <w:numPr>
          <w:numId w:val="3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will go into some detail describing the positions adopted by the parties regarding Golder's alleged duty of care to the Gooses, in order to assess whether the determination of this question is appropriate on an 18A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plaintiffs submit the starting point of the analysis is the test set out in Anns and others v. London Borough of Merton, [1978] A.C. 728 (H.L.) as accepted and restated by the Supreme Court of Canada in Kamloops (City) v. Nielsen, </w:t>
      </w:r>
      <w:hyperlink r:id="rId258"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10 D.L.R. (4th) 641</w:t>
        </w:r>
      </w:hyperlink>
      <w:r>
        <w:rPr>
          <w:rFonts w:ascii="arial" w:eastAsia="arial" w:hAnsi="arial" w:cs="arial"/>
          <w:color w:val="000000"/>
          <w:sz w:val="20"/>
          <w:lang w:val="en-US" w:eastAsia="en-US" w:bidi="ar-SA"/>
        </w:rPr>
        <w:t>. In response to the two-part test set out in Kamloops (City) v. Nielsen, the plaintiffs submit that:</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sufficiently close relationship between the parties so that, in the reasonable contemplation of Golder, carelessness on its part might cause damage to a subsequent purchaser of the Goose property; and</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no policy considerations that ought to negate (a) the scope of the duty, (b) the class of persons to whom it is owed or (c) the damages to which a breach of it may give rise so as to preclude recovery for their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Cooper v. Hobart, </w:t>
      </w:r>
      <w:hyperlink r:id="rId900"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the Supreme Court of Canada revisited and refined the Anns test. The circumstances of that case are described in the headnote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October 1997, the Registrar of Mortgage Brokers, a statutory regulator, suspended a registered mortgage broker's licence and issued a freeze order in respect of its assets because funds provided by investors were allegedly used by the broker for unauthorized purposes. The appellant, one of over 3,000 investors who advanced money to the broker, brought an action against the Registrar alleging that he breached the duty of care that he owed to the appellant and other investors. The appellant asserted that by August 1996 the Registrar was aware of serious violations of the B.C. Mortgage Brokers Act committed by the broker and should have acted earlier to suspend its licence and to notify the investors that the broker was under investigation. According to the appellant, if the Registrar had acted more promptly, the losses suffered by the investors would have been avoided or diminished.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Court set out the issue and its conclusion at p. 541: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present appeal revisits the Anns test (from Anns v. Merton London Borough Council, [1978] A.C. 728 (H.L.)) and, in particular, highlights and hones the role of policy concerns in determining the scope of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appellant is an investor who alleges that the Registrar of Mortgage Brokers, a statutory regulator, is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failing to oversee the conduct of an investment company which the Registrar licensed. The question is whether the Registrar owes a private law duty of care to members of the investing public giving rise to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economic losses that the investors sustained. Such a duty of care is as yet unrecognized by Canadian courts. For the reasons that follow, we find that this is not a proper case in which to recognize a new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Court held that, properly understood, the two part test involved policy considerations at each step. At p. 549 the Court noted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House of Lords in Anns for the first time expressly recognized the policy component in determining the extension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principle. However, it left doubt on the precise content of the first and second branches of the new formulation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principle. This gave rise to debate -- debate which the submissions in this case revive. Was the first branch concerned with foreseeability only or foreseeability and proximity? If the latter, was there duplication between policy considerations relevant to proximity at the first stage and the second stage of the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answering this question, the court said at p. 550: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brief compass, we suggest that at this stage in the evolution of the law, both in Canada and abroad, the Anns analysis is best understood as follows. At the first stage of the Anns test, two questions arise: (1) was the harm that occurred the reasonably foreseeable consequence of the defendant's act? and (2) are there reasons, notwithstanding the proximity between the parties established in the first part of this test, that tort liability should not be recognized here? The proximity analysis involved at the first stage of the Anns test focuses on factors arising from the relationship between the plaintiff and the defendant. These factors include questions of policy, in the broad sense of that word. If foreseeability and proximity are established at the first stage, a </w:t>
      </w:r>
      <w:r>
        <w:rPr>
          <w:rFonts w:ascii="arial" w:eastAsia="arial" w:hAnsi="arial" w:cs="arial"/>
          <w:b/>
          <w:color w:val="000000"/>
          <w:sz w:val="20"/>
          <w:lang w:val="en-US" w:eastAsia="en-US" w:bidi="ar-SA"/>
        </w:rPr>
        <w:t>prima facie</w:t>
      </w:r>
      <w:r>
        <w:rPr>
          <w:rFonts w:ascii="arial" w:eastAsia="arial" w:hAnsi="arial" w:cs="arial"/>
          <w:color w:val="000000"/>
          <w:sz w:val="20"/>
          <w:lang w:val="en-US" w:eastAsia="en-US" w:bidi="ar-SA"/>
        </w:rPr>
        <w:t xml:space="preserve"> duty of care arises. At the second stage of the Anns test, the question still remains whether there are residual policy considerations outside the relationship of the parties that may negative the imposition of a duty of care. It may be, as the Privy Council suggests in Yuen Kun Yeu, [1988] 1 A.C. 175, that such considerations will not often prevail. However, we think it useful expressly to ask, before imposing a new duty of care, whether despite foreseeability and proximity of relationship, there are other policy reasons why the duty should not be imposed.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the first branch of the Anns test, reasonable foreseeability of the harm must be supplemented by proximity. The question is what is meant by proximity. Two things may be said. The first is that "proximity" is generally used in the authorities to characterize the type of relationship in which a duty of care may arise. The second is that sufficiently proximate relationships are identified through the use of categories. The categories are not closed and new categories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introduced. But generally, proximity is established by reference to these categories. This provides certainty to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while still permitting it to evolve to meet the needs of new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the first point, it seems clear that the word "proximity" in connection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from the outset and throughout its history been used to describe the type of relationship in which a duty of care to guard against foreseeable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imposed. "Proximity" is the term used to describe the "close and direct" relationship that Lord Atkin described as necessary to grounding a duty of care in Donoghue v. Stevenson, [1932] A.C. 562.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this Court stated in Hercules Managements Ltd. v. Ernst &amp; Young, </w:t>
      </w:r>
      <w:hyperlink r:id="rId1027"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at para. 24, per La Forest J.:</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label "proximity", as it was used by Lord Wilberforce in Anns, supra, was clearly intended to connote that the circumstances of the relationship inhering between the plaintiff and the defendant are of </w:t>
      </w:r>
      <w:r>
        <w:rPr>
          <w:rFonts w:ascii="arial" w:eastAsia="arial" w:hAnsi="arial" w:cs="arial"/>
          <w:b/>
          <w:color w:val="000000"/>
          <w:sz w:val="20"/>
          <w:lang w:val="en-US" w:eastAsia="en-US" w:bidi="ar-SA"/>
        </w:rPr>
        <w:t>such a nature that the defendant may be said to be under an obligation to be mindful of the plaintiff's legitimate interests in conducting his or her affairs.</w:t>
      </w:r>
      <w:r>
        <w:rPr>
          <w:rFonts w:ascii="arial" w:eastAsia="arial" w:hAnsi="arial" w:cs="arial"/>
          <w:color w:val="000000"/>
          <w:sz w:val="20"/>
          <w:lang w:val="en-US" w:eastAsia="en-US" w:bidi="ar-SA"/>
        </w:rPr>
        <w:t xml:space="preserve"> [emphasis added in Cooper]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Defining the relationship may involve looking at expectations, representations, reliance, and the property or other interests involved. Essentially, these are factors that allow us to evaluate the closeness of the relationship between the plaintiff and the defendant and to determine whether it is just and fair having regard to that relationship to impose a duty of care in law upon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With regard to the second part of the first step of the analysis, the Court listed several categories in which proximity has been recognized. When a case falls within one of these situations or an analogous one and reasonable foreseeability is established, a prima facie duty of care arises. The categories specifically referred to by the Court were:</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situation where the defendant's act foreseeably causes physical harm to the plaintiff or the plaintiff's property;</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for negligent misstatement;</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misfeasance in public office;</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municipality, which owes a duty to prospective purchasers of real estate to inspect housing developments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governmental authorities who have undertaken a policy of road maintenance owe a duty of care to execute the maintenance in a non-negligent manner;</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relational economic loss (related to a contract's performance) may give rise to a tort duty of care in certain situations;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duty to warn of the risk of danger of products and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Other recognized categories where the proximity test will be satisfied that were not mentioned by the Court in Cooper are:</w:t>
      </w:r>
      <w:r>
        <w:rPr>
          <w:rFonts w:ascii="arial" w:eastAsia="arial" w:hAnsi="arial" w:cs="arial"/>
          <w:sz w:val="20"/>
          <w:lang w:val="en-US" w:eastAsia="en-US" w:bidi="ar-SA"/>
        </w:rPr>
        <w:cr/>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performance of services and</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provision of dangerous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second stage of the Anns test involves assessment of residual policy considerations. With regard to this aspect of the test the Court said at p. 554: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[Residual policy considerations] are not concerned with the relationship between the parties, but with the effect of recognizing a duty of care on other legal obligations, the legal system and society more generally. Does the law already provide a remedy? Would recognition of the duty of care create the spectre of unlimited liability to an unlimited class? Are there other reasons of broad policy that suggest that the duty of care should not be recognized? Following this approach, this Court declined to find liability in Hercules Managements, supra, on the ground that to recognize a duty of care would raise the spectre of liability to an indeterminate class of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 555: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second step of Anns generally arises only in cases where the duty of care asserted does not fall within a recognized category of recovery. Where it does, we may be satisfied that there are no overriding policy considerations that would negative the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this case, the plaintiffs' claim is for purely economic loss. The plaintiffs accept that the question of recoverability in tort for pure economic loss is to be approached on a category by category basis as advocated by Professor Feldthusen in his article, "Economic Loss in the Supreme Court of Canada: Yesterday and Tomorrow" (1990-1991) 17 Can. Bus. L.J. 356. Professor Feldthusen identified five different categories of cases where recovery in tort for purely economic loss has been recognized:</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independent liability of Statutory Public Authorities;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misrepresentation;</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performance of a service;</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supply of shoddy goods or structures;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Relational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the Supreme Court of Canada, LaForest J. adopted this category approach in his dissenting judgment in Canadian National Railway Co. v. Norsk Pacific Steamship Co., </w:t>
      </w:r>
      <w:hyperlink r:id="rId902" w:history="1">
        <w:r>
          <w:rPr>
            <w:rFonts w:ascii="arial" w:eastAsia="arial" w:hAnsi="arial" w:cs="arial"/>
            <w:i/>
            <w:color w:val="0077CC"/>
            <w:sz w:val="20"/>
            <w:u w:val="single"/>
            <w:shd w:val="clear" w:color="auto" w:fill="FFFFFF"/>
            <w:lang w:val="en-US" w:eastAsia="en-US" w:bidi="ar-SA"/>
          </w:rPr>
          <w:t>[1992] 1 S.C.R. 1021</w:t>
        </w:r>
      </w:hyperlink>
      <w:r>
        <w:rPr>
          <w:rFonts w:ascii="arial" w:eastAsia="arial" w:hAnsi="arial" w:cs="arial"/>
          <w:color w:val="000000"/>
          <w:sz w:val="20"/>
          <w:lang w:val="en-US" w:eastAsia="en-US" w:bidi="ar-SA"/>
        </w:rPr>
        <w:t xml:space="preserve">, </w:t>
      </w:r>
      <w:hyperlink r:id="rId902" w:history="1">
        <w:r>
          <w:rPr>
            <w:rFonts w:ascii="arial" w:eastAsia="arial" w:hAnsi="arial" w:cs="arial"/>
            <w:i/>
            <w:color w:val="0077CC"/>
            <w:sz w:val="20"/>
            <w:u w:val="single"/>
            <w:shd w:val="clear" w:color="auto" w:fill="FFFFFF"/>
            <w:lang w:val="en-US" w:eastAsia="en-US" w:bidi="ar-SA"/>
          </w:rPr>
          <w:t>91 D.L.R. (4th) 289</w:t>
        </w:r>
      </w:hyperlink>
      <w:r>
        <w:rPr>
          <w:rFonts w:ascii="arial" w:eastAsia="arial" w:hAnsi="arial" w:cs="arial"/>
          <w:color w:val="000000"/>
          <w:sz w:val="20"/>
          <w:lang w:val="en-US" w:eastAsia="en-US" w:bidi="ar-SA"/>
        </w:rPr>
        <w:t xml:space="preserve"> and again in Winnipeg Condominium Corporation No. 36 v. Bird Construction Co. </w:t>
      </w:r>
      <w:hyperlink r:id="rId1028" w:history="1">
        <w:r>
          <w:rPr>
            <w:rFonts w:ascii="arial" w:eastAsia="arial" w:hAnsi="arial" w:cs="arial"/>
            <w:i/>
            <w:color w:val="0077CC"/>
            <w:sz w:val="20"/>
            <w:u w:val="single"/>
            <w:shd w:val="clear" w:color="auto" w:fill="FFFFFF"/>
            <w:lang w:val="en-US" w:eastAsia="en-US" w:bidi="ar-SA"/>
          </w:rPr>
          <w:t>[1995] 1 S.C.R. 85</w:t>
        </w:r>
      </w:hyperlink>
      <w:r>
        <w:rPr>
          <w:rFonts w:ascii="arial" w:eastAsia="arial" w:hAnsi="arial" w:cs="arial"/>
          <w:color w:val="000000"/>
          <w:sz w:val="20"/>
          <w:lang w:val="en-US" w:eastAsia="en-US" w:bidi="ar-SA"/>
        </w:rPr>
        <w:t xml:space="preserve">, </w:t>
      </w:r>
      <w:hyperlink r:id="rId1028" w:history="1">
        <w:r>
          <w:rPr>
            <w:rFonts w:ascii="arial" w:eastAsia="arial" w:hAnsi="arial" w:cs="arial"/>
            <w:i/>
            <w:color w:val="0077CC"/>
            <w:sz w:val="20"/>
            <w:u w:val="single"/>
            <w:shd w:val="clear" w:color="auto" w:fill="FFFFFF"/>
            <w:lang w:val="en-US" w:eastAsia="en-US" w:bidi="ar-SA"/>
          </w:rPr>
          <w:t>121 D.L.R. (4th) 193</w:t>
        </w:r>
      </w:hyperlink>
      <w:r>
        <w:rPr>
          <w:rFonts w:ascii="arial" w:eastAsia="arial" w:hAnsi="arial" w:cs="arial"/>
          <w:color w:val="000000"/>
          <w:sz w:val="20"/>
          <w:lang w:val="en-US" w:eastAsia="en-US" w:bidi="ar-SA"/>
        </w:rPr>
        <w:t>, where he wrote the judgment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Counsel for the plaintiffs submits that the present case falls within the third or perhaps the fourth category, i.e. negligent performance of a service or negligent supply of a shoddy structure. Counsel for Golder, on the other hand, submits that if there were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his client it would fall under the second category, i.e. negligent misrepresentation, for which there could be no recovery because there was no reliance by the plaintiffs, they having not read Golder's report before they bought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Counsel for the plaintiffs argues that the situation in this case is analogous to Winnipeg Condominium, a case upon which he relies heavily. In Winnipeg Condominium, a land developer contracted with a general contractor in 1972 to build an apartment building in accordance with plans and specifications prepared by an architectural firm. The building, once constructed, was converted into a condominium in 1978 and the appellant became the registered owner of the property. In 1982 the appellant became concerned about the masonry work on the exterior cladding of the building and retained the same firm architects who had designed the structure and a firm of consulting engineers to inspect the building. The architects and engineers provided an opinion that the building was structurally sound. In 1989 a section of cladding fell from the building causing the condominium corporation to make further inspections that revealed structural defects in the masonry. The owner replaced the cladding and sought to recover the cost from the contractor, the subcontractor and the architectural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contractor and subcontractor brought applications to strike the claim against them as disclosing no cause of action and for summary judgment. The Manitoba Court of Queens Bench dismissed both applications, </w:t>
      </w:r>
      <w:hyperlink r:id="rId1029" w:history="1">
        <w:r>
          <w:rPr>
            <w:rFonts w:ascii="arial" w:eastAsia="arial" w:hAnsi="arial" w:cs="arial"/>
            <w:i/>
            <w:color w:val="0077CC"/>
            <w:sz w:val="20"/>
            <w:u w:val="single"/>
            <w:shd w:val="clear" w:color="auto" w:fill="FFFFFF"/>
            <w:lang w:val="en-US" w:eastAsia="en-US" w:bidi="ar-SA"/>
          </w:rPr>
          <w:t>[1992] M.J. No. 542</w:t>
        </w:r>
      </w:hyperlink>
      <w:r>
        <w:rPr>
          <w:rFonts w:ascii="arial" w:eastAsia="arial" w:hAnsi="arial" w:cs="arial"/>
          <w:color w:val="000000"/>
          <w:sz w:val="20"/>
          <w:lang w:val="en-US" w:eastAsia="en-US" w:bidi="ar-SA"/>
        </w:rPr>
        <w:t xml:space="preserve">. The respondent general contractor appealed to the Court of Appeal but the subcontractor did not. The appeal was dismissed with respect to the summary judgment application but allowed with respect to the motion to strike, </w:t>
      </w:r>
      <w:hyperlink r:id="rId1030" w:history="1">
        <w:r>
          <w:rPr>
            <w:rFonts w:ascii="arial" w:eastAsia="arial" w:hAnsi="arial" w:cs="arial"/>
            <w:i/>
            <w:color w:val="0077CC"/>
            <w:sz w:val="20"/>
            <w:u w:val="single"/>
            <w:shd w:val="clear" w:color="auto" w:fill="FFFFFF"/>
            <w:lang w:val="en-US" w:eastAsia="en-US" w:bidi="ar-SA"/>
          </w:rPr>
          <w:t>[1993] M.J. No. 156</w:t>
        </w:r>
      </w:hyperlink>
      <w:r>
        <w:rPr>
          <w:rFonts w:ascii="arial" w:eastAsia="arial" w:hAnsi="arial" w:cs="arial"/>
          <w:color w:val="000000"/>
          <w:sz w:val="20"/>
          <w:lang w:val="en-US" w:eastAsia="en-US" w:bidi="ar-SA"/>
        </w:rPr>
        <w:t>. The Supreme Court of Canada allowed the appeal and held that the action should proceed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the Supreme Court of Canada LaForest J. stated the issue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May a general contractor responsible for the construction of a building be held tortiously liable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a subsequent purchaser of the building, who is not in contractual privity with the contractor, for the cost of repairing defects in the building arising out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its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After referring to the categories identified by Professor Feldthusen, LaForest J. said at para.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stressed in Norsk that the question of recoverability for economic loss must be approached with reference to the unique and distinct policy issues raised in each of these categories. That is because ultimately the issues concerning recovery for economic loss are concerned with determining the proper ambit of the law of tort, an exercise that must take account of the various situations where that question may arise. This case raises issues different from that in Norsk, which fell within the fifth category. The present case, which involves the alleged negligent construction of a building, falls partially within the fourth category, although subject to an important caveat. The negligently supplied structure in this case was not merely shoddy; it was dangerous. In my view, this is important because the degree of danger to persons and other property created by the negligent construction of a building is a cornerstone of the policy analysis that must take place in determining whether the cost of repair of the building is recoverable in tort. As I will attempt to show, a distinction can be drawn on a policy level between "dangerous" defects in buildings and merely "shoddy" construction in buildings and that, at least with respect to dangerous defects, compelling policy reasons exist for the imposition upon contractors of tortious liability for the cost of repair of these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At para. 21 LaForest stated his conclusion with respect to the issue before the court in these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where a contractor (or any other person) is negligent in planning or constructing a building, and where that building is found to contain defects resulting from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pose a real and substantial danger to the occupants of the building, the reasonable cost of repairing the defects and putting the building back into a non-dangerous state are recoverable in tort by the occupants. The underlying rationale for this conclusion is that a person who participates in the construction of a large and permanent structure which, if negligently constructed, has the capacity to cause serious damage to other persons and property in the community, should be held to a reasonable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With respect to the first branch of the Anns test LaForest said at paras. 35 - 37: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35 In my view, it is reasonably foreseeable to contractors that, if they design or construct a building negligently and if that building contains latent defects as a result of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subsequent purchasers of the building may suffer personal injury or damage to other property when those defects manifest themselves. A lack of contractual privity between the contractor and the inhabitants at the time the defect becomes manifest does not make the potential for injury any less foreseeable. Buildings are permanent structures that are commonly inhabited by many different persons over their useful life. By constructing the building negligently, contractors (or any other person responsible for the design and construction of a building) create a foreseeable danger that will threaten not only the original owner, but every inhabitant during the useful life of the building.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36 In my view, the reasonable likelihood that a defect in a building will cause injury to its inhabitants is also sufficient to ground a contractor's duty in tort to subsequent purchasers of the building for the cost of repairing the defect if that defect is discovered prior to any injury and if it poses a real and substantial danger to the inhabitants of the building. In coming to this conclusion, I adopt the reasoning of Laskin J. in Rivtow, which I find highly persuasive. If a contractor can be held liable in tort where he or she constructs a building negligently and, as a result of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building causes damage to persons or property, it follows that the contractor should also be held liable in cases where the dangerous defect is discovered and the owner of the building wishes to mitigate the danger by fixing the defect and putting the building back into a non-dangerous state. In both cases, the duty in tort serves to protect the bodily integrity and property interests of the inhabitants of the building.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37 Apart from the logical force of holding contractors liable for the cost of repair of dangerous defects, there is also a strong underlying policy justification for imposing liability in these cases. ... Maintaining a bar against recoverability for the cost of repair of dangerous defects provides no incentive for plaintiffs to mitigate potential losses and tends to encourage economically inefficient behaviour. ... Allowing recovery against contractors in tort for the cost of repair of dangerous defects thus serves an important preventative function by encouraging socially responsible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Winnipeg Condominium the Court expressly declined to opine as to whether contractors should in principle be held to owe a duty to subsequent purchasers for the cost of repairing non-dangerous defects in buildings but noted that the case before the Court was distinguishable on a policy level from cases where the workmanship is merely shoddy or substandard but not dangerously defective.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Counsel for the plaintiffs submits that the principles enunciated in Winnipeg Condominium are not limited to those situations where the defendant has actually constructed the building. In support he refers to the following statement at para. 43 of the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conclude that the law in Canada has now progressed to the point where it can be said that contractors (as well as subcontractors, architects and engineers) who take part in the design and construction of a building will owe a duty in tort to subsequent purchasers of the building if it can be shown that it was foreseeable that a failure to take reasonable care in constructing the building would create defects that pose a substantial danger to the health and safety of the occupants. Where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established and such defects manifest themselves before any damage to persons or property occurs, they should, in my view, be liable for the reasonable cost of repairing the defects and putting the building back into a non-dangerous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Counsel for the plaintiffs submits further that while the plaintiffs' house may not pose any immediate danger of injury, it is nonetheless a potentially dangerous structure similar to that which existed in Winnipeg Condominium. He argues that if nothing is done, the house will eventually fall down and could cause injury to its inhabitants. He submits that actual danger need not be present at this time; it is sufficient if there is a real potential for danger. This submission appears to have support from the recent decision from the Ontario Court of Appeal, Mariani v. Lemstra </w:t>
      </w:r>
      <w:hyperlink r:id="rId1031" w:history="1">
        <w:r>
          <w:rPr>
            <w:rFonts w:ascii="arial" w:eastAsia="arial" w:hAnsi="arial" w:cs="arial"/>
            <w:i/>
            <w:color w:val="0077CC"/>
            <w:sz w:val="20"/>
            <w:u w:val="single"/>
            <w:shd w:val="clear" w:color="auto" w:fill="FFFFFF"/>
            <w:lang w:val="en-US" w:eastAsia="en-US" w:bidi="ar-SA"/>
          </w:rPr>
          <w:t>(2004), 246 D.L.R. (4th) 489</w:t>
        </w:r>
      </w:hyperlink>
      <w:r>
        <w:rPr>
          <w:rFonts w:ascii="arial" w:eastAsia="arial" w:hAnsi="arial" w:cs="arial"/>
          <w:color w:val="000000"/>
          <w:sz w:val="20"/>
          <w:lang w:val="en-US" w:eastAsia="en-US" w:bidi="ar-SA"/>
        </w:rPr>
        <w:t xml:space="preserve">, </w:t>
      </w:r>
      <w:hyperlink r:id="rId1031" w:history="1">
        <w:r>
          <w:rPr>
            <w:rFonts w:ascii="arial" w:eastAsia="arial" w:hAnsi="arial" w:cs="arial"/>
            <w:i/>
            <w:color w:val="0077CC"/>
            <w:sz w:val="20"/>
            <w:u w:val="single"/>
            <w:shd w:val="clear" w:color="auto" w:fill="FFFFFF"/>
            <w:lang w:val="en-US" w:eastAsia="en-US" w:bidi="ar-SA"/>
          </w:rPr>
          <w:t>39 C.L.R. (3d) 71</w:t>
        </w:r>
      </w:hyperlink>
      <w:r>
        <w:rPr>
          <w:rFonts w:ascii="arial" w:eastAsia="arial" w:hAnsi="arial" w:cs="arial"/>
          <w:color w:val="000000"/>
          <w:sz w:val="20"/>
          <w:lang w:val="en-US" w:eastAsia="en-US" w:bidi="ar-SA"/>
        </w:rPr>
        <w:t xml:space="preserve"> (application for leave to appeal to the S.C.C. dismissed </w:t>
      </w:r>
      <w:hyperlink r:id="rId1032" w:history="1">
        <w:r>
          <w:rPr>
            <w:rFonts w:ascii="arial" w:eastAsia="arial" w:hAnsi="arial" w:cs="arial"/>
            <w:i/>
            <w:color w:val="0077CC"/>
            <w:sz w:val="20"/>
            <w:u w:val="single"/>
            <w:shd w:val="clear" w:color="auto" w:fill="FFFFFF"/>
            <w:lang w:val="en-US" w:eastAsia="en-US" w:bidi="ar-SA"/>
          </w:rPr>
          <w:t>[2004] S.C.C.A. No. 355</w:t>
        </w:r>
      </w:hyperlink>
      <w:r>
        <w:rPr>
          <w:rFonts w:ascii="arial" w:eastAsia="arial" w:hAnsi="arial" w:cs="arial"/>
          <w:color w:val="000000"/>
          <w:sz w:val="20"/>
          <w:lang w:val="en-US" w:eastAsia="en-US" w:bidi="ar-SA"/>
        </w:rPr>
        <w:t>). That case involved the negligent construction of a house that resulted in a defective centre structural wall that caused serious cracking and a defective building envelope that caused excessive dampness and, eventually, the formation of toxic mould. The trial judge found that the two defects rendered the house dangerous and, following Winnipeg Condominium, held the former owners of the home liable on the basis, amongst others, that they had acted as general contractor and designer and had negligently designed and built a dangerous home. On appeal, one of the grounds argued was that while the wall was not stable, it was not dangerous in the sense that there was any risk to personal safety or of imminent collapse. In rejecting that submission the Court said at paras. 31 - 32: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I would not interfere with the trial judge's findings with respect to dangerousness. There was expert evidence that the centre wall was unstable and dangerous within the meaning of the Ontario Building Code, R.R.O. 1990. While those same experts agreed that there was no danger of imminent collapse, there was evidence that the defect made the building unstable and that, if not repaired, it might collapse under a heavy snow load and that if not repaired, "a catastrophic condition may prevail". Similarly, with regard to the problem with the building envelope, it is evident from what has actually happened that if not remedied, the entry of water into the structure can lead to a condition hazardous to health and to property in the home.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In my view, the evidence on both defects is capable of bringing the case within the Winnipeg Condominium principle. That case does not require the level of immediate danger suggested by the argument advanced by the Lemstras. The operative principle is explicitly preventative. Recovery for the economic loss of repair is allowed to avoid the greater cost of recovery for personal injury should the danger materialize and this must mean that the plaintiff is entitled to claim for the cost of repairs required to avoid the danger and to prevent it from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plaintiffs also refer to the recent decision of this court in Burnett v. Took Engineering Inc., </w:t>
      </w:r>
      <w:hyperlink r:id="rId1033" w:history="1">
        <w:r>
          <w:rPr>
            <w:rFonts w:ascii="arial" w:eastAsia="arial" w:hAnsi="arial" w:cs="arial"/>
            <w:i/>
            <w:color w:val="0077CC"/>
            <w:sz w:val="20"/>
            <w:u w:val="single"/>
            <w:shd w:val="clear" w:color="auto" w:fill="FFFFFF"/>
            <w:lang w:val="en-US" w:eastAsia="en-US" w:bidi="ar-SA"/>
          </w:rPr>
          <w:t>[2000] B.C.J. No. 2302</w:t>
        </w:r>
      </w:hyperlink>
      <w:r>
        <w:rPr>
          <w:rFonts w:ascii="arial" w:eastAsia="arial" w:hAnsi="arial" w:cs="arial"/>
          <w:color w:val="000000"/>
          <w:sz w:val="20"/>
          <w:lang w:val="en-US" w:eastAsia="en-US" w:bidi="ar-SA"/>
        </w:rPr>
        <w:t xml:space="preserve">, </w:t>
      </w:r>
      <w:hyperlink r:id="rId1033" w:history="1">
        <w:r>
          <w:rPr>
            <w:rFonts w:ascii="arial" w:eastAsia="arial" w:hAnsi="arial" w:cs="arial"/>
            <w:i/>
            <w:color w:val="0077CC"/>
            <w:sz w:val="20"/>
            <w:u w:val="single"/>
            <w:shd w:val="clear" w:color="auto" w:fill="FFFFFF"/>
            <w:lang w:val="en-US" w:eastAsia="en-US" w:bidi="ar-SA"/>
          </w:rPr>
          <w:t>2000 BCSC 1630</w:t>
        </w:r>
      </w:hyperlink>
      <w:r>
        <w:rPr>
          <w:rFonts w:ascii="arial" w:eastAsia="arial" w:hAnsi="arial" w:cs="arial"/>
          <w:color w:val="000000"/>
          <w:sz w:val="20"/>
          <w:lang w:val="en-US" w:eastAsia="en-US" w:bidi="ar-SA"/>
        </w:rPr>
        <w:t xml:space="preserve"> where Ralph J. considered an engineer's liability to a home owner for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preparation of a foundation plan for the builder. In that case there was no contractual relationship between the plaintiff and the engineer and no question of reliance. Ralph J. analyzed the duty of care issue under the heading "Negligent Performance of a Service" and stated at para.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that these decisions support a conclusion that where a person provides a professional service, such as that of an engineer, in which it is reasonably foreseeable that a third party may suffer damage as a result of a negligent performance of that service, that professional person may owe a duty of care to the third party. That duty will be limited, however, by the application of the two-part test in Anns v. Merton London Borough Council,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Without undertaking any analysis of the Anns test, Ralph J. concluded (at para. 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was within the reasonable contemplation of [the engineer] that carelessness on his part would cause damage to a person in the position of [the owner] and I conclude that [the engineer] owed a duty of care to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plaintiffs concede that Golder did not take part in the construction of the house and did not provide any design plans per se but they say Golder was involved in the design of the house by giving an opinion as to the suitability of the lot and that it provided services. They say it is reasonably foreseeable that if Golder was negligent in providing those services, i.e. careless in its investigation and in giving its opinion regarding the stability of the land, that carelessness could cause damage not only to the Gooses, with whom it contracted, but with subsequent occupants of the house. They submit that there is both foreseeability and proximity.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plaintiffs submit further that there is no policy concern relating to indeterminate liability that should negate the duty of care. They say that the potential class of claimants is limited to those who are subsequent owners of this specific piece of property and that, in any event, now that the damage has been discovered, the chain of causation with regard to any potential future owners has likely been broken.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response to the plaintiffs' argument, counsel for Golder submits that even if it could be said that it is reasonably foreseeable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Golder's part in providing advice to the Gooses could cause loss to a subsequent purchaser (which is disputed), that is not enough. Foreseeability must be supplemented by proximity and Golder says that element is lacking. Counsel for Golder submits that the circumstances of this case do not fit within any of the categories where the degree of proximity necessary to found a duty of care has been recognized. He says this case does not fit within the category of provision of defective and dangerous structures with which Winnipeg Condominium was concerned for two reasons. First, he submits that unlike the defendants in Winnipeg Condominium, Golder was not involved in the design or construction of this house. He submits that Golder provided a site-specific opinion as to the suitability of the lot for construction of a residence. It had no part in the design of the house or the manner in which it was sited on the lot and provided no on-site inspections during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Furthermore, counsel for Golder submits the building is not dangerous. It has suffered damage, has diminished in value and may become uninhabitable if a way cannot be found to stop the ground from moving but it is not dangerous, which he says was a vital consideration in Winnipeg Condominium.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Counsel for Golder further submits that this case does not come within the "negligent provision of services" category of cases where recovery for economic loss has been permitted. He says a distinction should be drawn between giving an opinion and providing services. He argues that in the provision of services cases there is an assumption of responsibility by the professional, which is the foundation for the finding of a duty of care. He says that not only did Golder not assume responsibility for the condition of the hillside, it expressly disclaimed responsibility for large scale hazards, such as a deep-seated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Golder submits that the circumstances of this case do not fall within any category currently recognized by law for the recovery of economic loss and cannot meet the test under Cooper v. Hobart for the creation of a new category. He submits the relationship between Golder and the plaintiffs cannot be said to be close and direct and there can be no finding of proximity because:</w:t>
      </w:r>
      <w:r>
        <w:rPr>
          <w:rFonts w:ascii="arial" w:eastAsia="arial" w:hAnsi="arial" w:cs="arial"/>
          <w:sz w:val="20"/>
          <w:lang w:val="en-US" w:eastAsia="en-US" w:bidi="ar-SA"/>
        </w:rPr>
        <w:cr/>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had no knowledge of each other;</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reliance by the plaintiff and no assumption of responsibility by Golder;</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Golder expressly excluded expressing an opinion on the then unknown cause of the damage and it would be unjust to impose a duty of care in relation to an event (a deep-seated failure) that remained unknown to all for 9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have taken some time to set out the competing arguments with respect to the issue of the existence of a duty of care. However, the first question is whether this court can or should determine that issue as between Golder and the plaintiffs' on this summary application. It is understandable that Golder, who is a defendant in only one of several actions that are to be tried at the same time, would like to determine the issue at this stage and possibly avoid having to participate in a lengthy trial. I have concluded, however, that the question of what duty of care, if any, Golder owed to the plaintiffs when providing geotechnical advice to the Gooses involves considerations that are similar to those that will arise when in determining what duty of care, if any, Terra owed to the plaintiffs when providing geotechnical advice to the City in connection with the development of the subdivision. Counsel for Terra has advised the court that he intends to make the same sort of arguments that Golder has made in support of Terra's submission that it owed no duty of care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 am concerned that if I were to determine the issue of Golder's duty of care in respect of the provision of services, I might unwittingly make decisions that could prejudice other parties and other claims. The determination of this issue at this stage might embarrass the court if upon the consideration of all of the evidence led at trial the court came to the realization that decisions made here were premature and were no longer supportable once all of the evidence was heard. On this important and difficult issue I find myself in the same situation as Donald J. (as he then was) in Privest Properties Ltd. v. Foundation Co. of Canada, </w:t>
      </w:r>
      <w:hyperlink r:id="rId1034" w:history="1">
        <w:r>
          <w:rPr>
            <w:rFonts w:ascii="arial" w:eastAsia="arial" w:hAnsi="arial" w:cs="arial"/>
            <w:i/>
            <w:color w:val="0077CC"/>
            <w:sz w:val="20"/>
            <w:u w:val="single"/>
            <w:shd w:val="clear" w:color="auto" w:fill="FFFFFF"/>
            <w:lang w:val="en-US" w:eastAsia="en-US" w:bidi="ar-SA"/>
          </w:rPr>
          <w:t>[1990] B.C.J. No. 1349</w:t>
        </w:r>
      </w:hyperlink>
      <w:r>
        <w:rPr>
          <w:rFonts w:ascii="arial" w:eastAsia="arial" w:hAnsi="arial" w:cs="arial"/>
          <w:color w:val="000000"/>
          <w:sz w:val="20"/>
          <w:lang w:val="en-US" w:eastAsia="en-US" w:bidi="ar-SA"/>
        </w:rPr>
        <w:t xml:space="preserve"> (S.C.), when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too complex a case for Rule 18A. As I ranged through the issues on this application, I felt that I was attempting to cross a legal minefield, not knowing where to step to avoid making decisions with unforeseen consequences or unintended results. I was acutely conscious of the presence of third party insurance companies circling overhead, waiting to see what can be plucked from my reasons to support their position on indemnity coverage. While trying to confine myself to Foundation's position I concluded that I would inevitably have to make findings that impacted on other parties in ways that I could not, because of the complexity of the case, fully anticipate.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conclude that this issue is not appropriate for 18A determination.</w:t>
      </w:r>
      <w:r>
        <w:rPr>
          <w:rFonts w:ascii="arial" w:eastAsia="arial" w:hAnsi="arial" w:cs="arial"/>
          <w:sz w:val="20"/>
          <w:lang w:val="en-US" w:eastAsia="en-US" w:bidi="ar-SA"/>
        </w:rPr>
        <w:cr/>
      </w:r>
    </w:p>
    <w:p>
      <w:pPr>
        <w:numPr>
          <w:numId w:val="3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plaintiffs submit that Golder was negligent in providing its opinion in the report dated April 11, 1995 that "the risk of major instability initiating at or near this site or as the result of construction is low given present conditions". The plaintiffs say Golder was negligent in providing the foregoing opinion in light of the following circumstances:</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information well known amongst the geotechnical community that the eastern hillsides were the site of a former slide area;</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Golder's knowledge concerning potential landslide activity and the need for further detailed geotechnical investigations, which they acquired in 1993 and 1994 when they did a preliminary assessment of a portion of the eastern hillside to the southeast of the Patterson Development;</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Golder's review of the Terra reports, from which it was apparent that Terra had not undertaken any field work, with the exception of six test pits dug using a backhoe.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Golder submits that even if it owed a duty of care towards the plaintiffs there is no evidence that it was negligent with respect to the report of April 11, 1995 and the issue of a deep-seated failure. Golder submits that all of the evidence points to the conclusion that the cause of the subsidence is a deep-seated failure some 32 to 46 meters under the surface. There is no evidence of any surficial soil failure affecting the plaintiffs' property or any of the other lots in the subdivision. Counsel for Golder submits there is no evidence that the services that Golder performed in relation to the April 11, 1995 letter fell below the standard of care required of a professional geotechnical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Golder says firstly that the purpose of the report of April 11, 1995 was to assess a single lot, not the whole site. It was to address surficial conditions, not to investigate and report on potential deep seated failures, which is what has occurred. Golder says the scope of the report was expressly limited on its face. As I have already indicated when discussing the duty of care, I am of the opinion that the question of the effect of the limiting words in the report and the scope of the work that Golder undertook is a matter that requires a trial where all the relevant evidence, including expert evidence, can be heard and subjected to cross-examination. In my view, this issue should not be determined on a summary application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Counsel for Golder says further that in order to assess whether a professional has been negligent the law requires an independent objective report which indicates that the services performed by the professional are not in accordance with the standards in the profession. He says this is lacking. Shortly before the hearing of this application the plaintiffs received the most recent report of a geotechnical engineer, Dr. K. Wayne Savigny, which critiques the April 11, 1995 Golder report. Dr. Savigny is also critical of the work done by Terra. In his concluding paragraph, Dr. Savigny opines that Golder knew or ought to have known that the Terra reports were deficient and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Golder Associates Ltd. knew that the subdivision was situated on a deep-seated landslide and had a responsibility to alert its client to this fact based on its stated scope of work to assess the "... potential for natural hazard events on and in the vicinity of the site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Golder challenges the opinions expressed by Dr. Savigny. In the short time that was available, Golder was only able to counter Dr. Savigny's opinion with a report from Mr. Richard Butler, a principal of Golder. In response to Dr. Savigny's opinion set out above, Mr. Butler stated that Golder was entitled to rely on the adequacy and suitability of the Terra reports and that Golder had "no suitable or adequate basis or geotechnical engineering information to justify the provision of a warning about landslide activity and susceptibility of Lot 14 to such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have read and considered the reports of these two professional engineers along with other expert evidence filed in this proceeding. I do not intend to review the expert reports in detail or examine the factual foundations for them because I am of the opinion that it is not appropriate to attempt to resolve the conflicting expert evidence and determine the issue whether or not Golder met the requisite standard of care on this application. I am of the view that the issues can only be properly considered at a trial where the experts can be examined and cross examined. If I were to determine these issues involving Golder, it seems to me I would necessarily have to make findings of fact that affect Terra and its position in the lawsuit, in particular decisions about the adequacy of the Terra reports. For the reasons stated previously, I conclude that is to be avoided, and therefore this issue is not to be determined on this 18A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 The claim based on failure to warn</w:t>
      </w:r>
      <w:r>
        <w:rPr>
          <w:rFonts w:ascii="arial" w:eastAsia="arial" w:hAnsi="arial" w:cs="arial"/>
          <w:sz w:val="20"/>
          <w:lang w:val="en-US" w:eastAsia="en-US" w:bidi="ar-SA"/>
        </w:rPr>
        <w:cr/>
      </w:r>
    </w:p>
    <w:p>
      <w:pPr>
        <w:numPr>
          <w:numId w:val="40"/>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now turn to a consideration of whether or not I can determine at this stage of the proceeding the issue of whether or not Golder owed the plaintiffs a duty to care founded upon a duty to warn the Gooses and the City. While counsel argued this issue on the basis that the proposed amendments formed part of the pleadings, it is clear that if there is not duty of care in law there is no basis to amend.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plaintiffs submit that Golder owed a duty to warn the Gooses and the City of the risks of building a house on property located in the Patterson Road subdivision arising from the fact that the land was on a deep seated slide which had a potential to become active. The plaintiffs submit that while the duty to warn was owed to the Gooses and the City, this duty translates into a duty of care owed to them and that if they can prove all of the other necessary elements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they may recover damages for their economic loss from Golder founded upon this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observe at the outset of my discussion of this issue that counsel were unable to provide any authority where a defendant has been held to owe a duty of care to the plaintiff based upon a duty to warn that is owed, not to the plaintiff, but to a third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Counsel for the plaintiffs submits that the present case is analogous to Rivtow Marine Ltd. v. Washington Iron Works, </w:t>
      </w:r>
      <w:hyperlink r:id="rId1035" w:history="1">
        <w:r>
          <w:rPr>
            <w:rFonts w:ascii="arial" w:eastAsia="arial" w:hAnsi="arial" w:cs="arial"/>
            <w:i/>
            <w:color w:val="0077CC"/>
            <w:sz w:val="20"/>
            <w:u w:val="single"/>
            <w:shd w:val="clear" w:color="auto" w:fill="FFFFFF"/>
            <w:lang w:val="en-US" w:eastAsia="en-US" w:bidi="ar-SA"/>
          </w:rPr>
          <w:t>[1974] S.C.R. 1189</w:t>
        </w:r>
      </w:hyperlink>
      <w:r>
        <w:rPr>
          <w:rFonts w:ascii="arial" w:eastAsia="arial" w:hAnsi="arial" w:cs="arial"/>
          <w:color w:val="000000"/>
          <w:sz w:val="20"/>
          <w:lang w:val="en-US" w:eastAsia="en-US" w:bidi="ar-SA"/>
        </w:rPr>
        <w:t xml:space="preserve">, </w:t>
      </w:r>
      <w:hyperlink r:id="rId1035" w:history="1">
        <w:r>
          <w:rPr>
            <w:rFonts w:ascii="arial" w:eastAsia="arial" w:hAnsi="arial" w:cs="arial"/>
            <w:i/>
            <w:color w:val="0077CC"/>
            <w:sz w:val="20"/>
            <w:u w:val="single"/>
            <w:shd w:val="clear" w:color="auto" w:fill="FFFFFF"/>
            <w:lang w:val="en-US" w:eastAsia="en-US" w:bidi="ar-SA"/>
          </w:rPr>
          <w:t>40 D.L.R. (3d) 530</w:t>
        </w:r>
      </w:hyperlink>
      <w:r>
        <w:rPr>
          <w:rFonts w:ascii="arial" w:eastAsia="arial" w:hAnsi="arial" w:cs="arial"/>
          <w:color w:val="000000"/>
          <w:sz w:val="20"/>
          <w:lang w:val="en-US" w:eastAsia="en-US" w:bidi="ar-SA"/>
        </w:rPr>
        <w:t>. In that case the plaintiff was the charterer of a specialized self-loading log barge that was equipped with special cranes that were designed and manufactured by the defendant Washington Ironworks and supplied and serviced by the defendant Walkem Machinery &amp; Equipment Limited. Because of the danger presented by a crack that developed in one of the cranes the plaintiff was forced to remove its barge from service for a period of time to have it repaired. The defendants knew of the defect in the crane but had failed to warn the plaintiff. Based upon the defendants' failure to warn, the plaintiff was successful in recovering the economic loss it suffered in having its crane out of service. In giving the majority judgment, Ritchie J. said at p. 1201: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think it desirable to formulate a general outline of the development of the law as I see it governing the liability for breach of the duty to warn resting upon those who are instrumental in furnishing, to third parties with whom they have no contractual relationship, a machine which to their knowledge is dangerous and likely to cause damage when being used for the purpose for which it was designed and intended.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Rivtow the court imposed a duty on the defendants because of the particular relationship of the parties. Not only were the defendants aware of the risk, they were aware that the plaintiff relied upon them for advice. As Ritchie J. said at p. 1207: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present case, both Washington as manufacturer and Walkem as its representative, knew that the appellant relied on them for advice concerning the operation of the pintle cranes and in my opinion a clear duty lay upon them both to warn the appellant of the necessity for repairs as soon as they had become aware of the defects and the potential danger attendant thereon.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Counsel for the plaintiffs submits that Golder owed a similar duty because:</w:t>
      </w:r>
      <w:r>
        <w:rPr>
          <w:rFonts w:ascii="arial" w:eastAsia="arial" w:hAnsi="arial" w:cs="arial"/>
          <w:sz w:val="20"/>
          <w:lang w:val="en-US" w:eastAsia="en-US" w:bidi="ar-SA"/>
        </w:rPr>
        <w:cr/>
      </w:r>
    </w:p>
    <w:p>
      <w:pPr>
        <w:numPr>
          <w:numId w:val="4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knew that the Patterson Road subdivision was located upon a deep seated slide;</w:t>
      </w:r>
    </w:p>
    <w:p>
      <w:pPr>
        <w:numPr>
          <w:numId w:val="4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aware of the potential for reactivation of past slides or the generation of new slides;</w:t>
      </w:r>
    </w:p>
    <w:p>
      <w:pPr>
        <w:numPr>
          <w:numId w:val="4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aware that extensive investigation was required to determine the extent of the risk of slides;</w:t>
      </w:r>
    </w:p>
    <w:p>
      <w:pPr>
        <w:numPr>
          <w:numId w:val="4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had reviewed Terra's reports and was aware of the lack of any extensive investigations;</w:t>
      </w:r>
    </w:p>
    <w:p>
      <w:pPr>
        <w:numPr>
          <w:numId w:val="4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knew or should have known that the Gooses and the City were relying on its advice regarding natural hazards on and in the vicinity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It is my view that the circumstances in the present case are not at all similar to those in Rivtow. In the first place, in Rivtow the defendants had knowledge of an actual defect in the crane that the one defendant had designed and manufactured and the other supplied and serviced. In this case it is not suggested that Golder knew or ought to have known that the slide was in fact active, only that it should have warned of an uncertain risk that there may once again be a slide where once there has been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Furthermore, in Rivtow there was a direct connection between the plaintiff and the defendants. The defendants assumed responsibility directly towards the plaintiff and there was a direct reliance by the plaintiff on the defendants. That element is absent in this case. Here there was no relationship between the plaintiffs and Golder. The plaintiffs seek to piggy-back on a duty owed to a non-party.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am of the opinion that the claim which the plaintiffs seek to advance in this case based on duty to warn does not fall within one of the categories currently recognized by the law and is not analogous to a recognized category. Consequently, in my view, it is necessary to undertake the analysis set out in Cooper to determine whether such a duty should be recognized.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first question to ask at the first stage of the analysis is whether the harm that occurred was the reasonably foreseeable consequence of the defendant's act, or, in this case, omission. While it may be a stretch, this case may be capable of making it past this first hurdle. I think it might be said that the loss suffered by a subsequent purchaser of a house that suffers damage due to a large scale slide is the reasonably foreseeable consequence of the failure by the defendant engineer to warn the owner of the property for whom it was providing a local geotechnical report and the municipality whose approval process would take into account the report of a risk that such a slide might occur at some time in the future, if it knew of such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However, mere foreseeability is not sufficient to establish a prima facie duty of care. Cooper made it clear that there must also exist a sufficient proximity between the parties such that it is just to impose a duty of care in the circumstances. In my view, even if the plaintiffs can satisfy the first step in the first stage of the analysis, the duty to warn claim fails to meet the proximity test. The first thing to ask when considering whether the necessary proximity exists is whether the relationship is of a type that falls within one of the recognized categories of relationship in which a duty of care arises. As I have already said, I am of the opinion that the circumstances of this case do not place these plaintiffs and this defendant in a recognized category. In my view there are reasons why tort liability should not be recognized on the basis of a failure to warn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We are reminded in Cooper that proximity "is the term used to describe the close and direct' relationship that Lord Atkin described as necessary to ground a duty of care in Donoghue v. Stevenson". As LaForest J. said in Hercules Managements Ltd. v. Ernst &amp; Young, </w:t>
      </w:r>
      <w:hyperlink r:id="rId1027"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xml:space="preserve">, </w:t>
      </w:r>
      <w:hyperlink r:id="rId1027" w:history="1">
        <w:r>
          <w:rPr>
            <w:rFonts w:ascii="arial" w:eastAsia="arial" w:hAnsi="arial" w:cs="arial"/>
            <w:i/>
            <w:color w:val="0077CC"/>
            <w:sz w:val="20"/>
            <w:u w:val="single"/>
            <w:shd w:val="clear" w:color="auto" w:fill="FFFFFF"/>
            <w:lang w:val="en-US" w:eastAsia="en-US" w:bidi="ar-SA"/>
          </w:rPr>
          <w:t>146 D.L.R. (4th) 577</w:t>
        </w:r>
      </w:hyperlink>
      <w:r>
        <w:rPr>
          <w:rFonts w:ascii="arial" w:eastAsia="arial" w:hAnsi="arial" w:cs="arial"/>
          <w:color w:val="000000"/>
          <w:sz w:val="20"/>
          <w:lang w:val="en-US" w:eastAsia="en-US" w:bidi="ar-SA"/>
        </w:rPr>
        <w:t>,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label "proximity", as it was used by Lord Wilberforce in Anns, supra, was clearly intended to connote that the circumstances of the relationship inhering between the plaintiff and the defendant are of such a nature that the defendant may be said to be under an obligation to be mindful of the plaintiff's legitimate interests in conducting his or her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Further, at para. 34 of Cooper, the Court said of the concept of proximity: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Defining the relationship may involve looking at expectations, representations, reliance, and the property or other interests involved. Essentially, these are factors that allow us to evaluate the closeness of the relationship between the plaintiff and the defendant and to determine whether it is just and fair having regard to that relationship to impose a duty of care in law upon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Golder had no dealings with the plaintiffs. They were not in the picture when the alleged duty to warn arose. In my view there is an absence of responsibility towards the plaintiffs assumed by the defendant and an absence of reliance by the plaintiffs upon the defendant to justify a finding of a separate duty to warn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addition to what I conclude is the lack of proximity justifying a separate duty to warn, I am also of the view that there are additional broader policy reasons for denying a separate duty to warn. In particular, I am of the view that recognizing a duty of care in favour of a subsequent purchaser based upon a duty to warn the previous owner or the City would raise the spectre of liability to an indeterminate number of people. Liability towards potential purchasers of this particular piece of property may be limited by the fact of the present general knowledge of the problem but I am concerned that the imposition of a duty of care to the plaintiffs based on a duty to warn the City would expose Golder to indeterminate and potentially far reaching liability towards other property owners in the subdivision, even though Golder had nothing to do with their property. In my view, that would not be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 point out that this alternative claim that the plaintiffs seek to advance in their proposed amendments is based upon a failure to warn that is separate and independent from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provision of services. The existence and nature of any duty that the defendants may have owed to the plaintiffs, as subsequent purchasers, arising out of the provision of services to the predecessors in title is a separate matter. The concerns that I expressed when considering the other claim about the effect of a summary determination regarding Golder would have on other parties and other claims is not present in connection with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Accordingly, I conclude that the plaintiffs cannot succeed with a claim based upon an alleged duty to warn the Gooses and the City.</w:t>
      </w:r>
      <w:r>
        <w:rPr>
          <w:rFonts w:ascii="arial" w:eastAsia="arial" w:hAnsi="arial" w:cs="arial"/>
          <w:sz w:val="20"/>
          <w:lang w:val="en-US" w:eastAsia="en-US" w:bidi="ar-SA"/>
        </w:rPr>
        <w:cr/>
      </w:r>
    </w:p>
    <w:p>
      <w:pPr>
        <w:numPr>
          <w:numId w:val="4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DISPOSITION OF 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plaintiffs' application to amend their pleadings is allowed in respect of all proposed amendments except proposed paragraphs 19 - 21 relating to the proposed claim based on a duty to warn. Having concluded that no such duty exists in law, those amendments are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Golder's application to have the action against it dismissed under Rule 18A is dismissed pursuant to Rule 18A(11)(a)(ii).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Counsel may make arrangements to speak to the matter of costs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JOYCE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7" style="position:absolute;z-index:251893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36"/>
          <w:headerReference w:type="default" r:id="rId1037"/>
          <w:footerReference w:type="even" r:id="rId1038"/>
          <w:footerReference w:type="default" r:id="rId1039"/>
          <w:headerReference w:type="first" r:id="rId1040"/>
          <w:footerReference w:type="first" r:id="rId10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42" w:history="1">
        <w:r>
          <w:rPr>
            <w:rFonts w:ascii="arial" w:eastAsia="arial" w:hAnsi="arial" w:cs="arial"/>
            <w:b/>
            <w:bCs/>
            <w:i/>
            <w:color w:val="0077CC"/>
            <w:kern w:val="32"/>
            <w:sz w:val="28"/>
            <w:szCs w:val="32"/>
            <w:u w:val="single"/>
            <w:shd w:val="clear" w:color="auto" w:fill="FFFFFF"/>
            <w:lang w:val="en-US" w:eastAsia="en-US" w:bidi="ar-SA"/>
          </w:rPr>
          <w:t>C.D. v. Canada (Attorney General), [2013] B.C.J. No. 1086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Smithers,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Punnett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12, April 5, 2013; written submissions of</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received, March 22, 2013; written submissions of</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(Weintraub) received, April 2, 2013; written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reply of the Plaintiff received, April 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27,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15740 and 15732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Smithers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1086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919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228 A.C.W.S. (3d) 1190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51 B.C.L.R. (5th) 133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2 W.W.R. 398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CarswellBC 1541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C.D., Plaintiff, and Attorney General of Canada as represented by the Royal Canadian Mounted Police and Her Majesty the Queen in Right of the Province of British Columbia as represented by the Minister of Child and Family Development, Defendants And between C.D., Plaintiff, and Peter Cunningham, Gretchen Woodman, Jeffery Foreman, Breanne Brown, Jack Kinnear, Kirsten Miller, Sandra Lamb, Jamie Wenger, Quintin Smith,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8"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6" w:name="Keywords_41"/>
      <w:bookmarkEnd w:id="296"/>
      <w:r>
        <w:rPr>
          <w:rFonts w:ascii="arial" w:eastAsia="arial" w:hAnsi="arial" w:cs="arial"/>
          <w:b/>
          <w:color w:val="000000"/>
          <w:sz w:val="20"/>
          <w:lang w:val="en-US" w:eastAsia="en-US" w:bidi="ar-SA"/>
        </w:rPr>
        <w:t xml:space="preserve">Civil litigation — Civil procedure — Pleadings — Striking out pleadings or allegations — Grounds — Failure to disclose a cause of action or defence — Disposition without trial — Dismissal of action — Action unfounded in law — Application by children's aid defendants to dismiss plaintiff's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 allowed — Application by police defendants to strike plaintiff's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 allowed in part — Plaintiff investigated for sexually abusing children — Children abused while temporarily placed with father — Provincial child protection mandate inconsistent with private law duty of care to parents — Police claim failed to plead sufficient facts — Claim against officers in personal capacity failed to allege specific conduct required by section 21 of Police Act — Parts of claim against officers struck for disclosing no reasonable cause of action with leave to amend — Supreme Court Civil Rules, Rule 9-5(1)(a).</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Standard of care — Application by children's aid defendants to dismiss plaintiff's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 allowed — Application by police defendants to strike plaintiff's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 allowed in part — Plaintiff investigated for sexually abusing children — Children abused while temporarily placed with father — Provincial child protection mandate inconsistent with private law duty of care to parents — Police claim failed to plead sufficient facts — Claim against officers in personal capacity failed to allege specific conduct required by section 21 of Police Act — Parts of claim against officers struck for disclosing no reasonable cause of action with leave to amend — Supreme Court Civil Rules, Rule 9-5(1) (a).</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7" w:name="Case Summary_40"/>
            <w:bookmarkEnd w:id="29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children's aid defendants to dismiss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Application by the police defendants to strike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The plaintiff was investigated by children's aid workers and police officers based on allegations of sexual abuse against her children. The children were temporarily removed from her care and placed with their father who abused them. The plaintiff commenced separate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proceedings against the Ministry of Child and Family Development and its social workers and the individual police officers involved in the investigation. The Ministry and social worker defendants brought an application for an order dismissing the claim on the basis that it failed to disclose a reasonable cause of action. The police defendants sought to strike the claim against them in whole or in part on the basis that it failed to disclose a reasonable cause of action and/or failed to plead sufficient facts.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8" w:name="Holdings of Court_39"/>
            <w:bookmarkEnd w:id="298"/>
            <w:r>
              <w:rPr>
                <w:rFonts w:ascii="arial" w:eastAsia="arial" w:hAnsi="arial" w:cs="arial"/>
                <w:color w:val="000000"/>
                <w:sz w:val="20"/>
                <w:lang w:val="en-US" w:eastAsia="en-US" w:bidi="ar-SA"/>
              </w:rPr>
              <w:t>HELD: Application by the Ministry and social worker defendants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Application by the police defendants allowed in part. The fact that Ministry personnel had prior dealings with the family did not give rise to a duty of care. The child protection mandate of the province under the Child, Family and Community Service Act was inconsistent with a private law duty of care to parents which would create an inherent conflict with its duty to children. The claim against these defendants was therefore dismissed. The claim against the police officers failed to plead sufficient facts to support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No facts were pled which established the existence of a duty of care, alleged a failure by officers to meet a standard of care or alleged that the plaintiff suffered a loss as the result of the officers' negligent conduct. Additionally, the claim against the officers was in their personal capacity. A claim for damages was prohibited by section 21 of the Police Act unless it was based on allegations that the officers' conduct was dishonest, grossly negligent, malicious, amounted to wilful misconduct or constituted libel or slander. No such allegations were raised. The deficiencies in the plaintiff's claim could possibly be resolved through amendment. Parts of the claim were struck for disclosing no reasonable cause of action with leave granted to amend.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9" w:name="Legislation Cited_31"/>
      <w:bookmarkEnd w:id="29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9"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Child, Family and Community Service Act, </w:t>
      </w:r>
      <w:hyperlink r:id="rId1043" w:history="1">
        <w:r>
          <w:rPr>
            <w:rFonts w:ascii="arial" w:eastAsia="arial" w:hAnsi="arial" w:cs="arial"/>
            <w:i/>
            <w:color w:val="0077CC"/>
            <w:sz w:val="20"/>
            <w:u w:val="single"/>
            <w:shd w:val="clear" w:color="auto" w:fill="FFFFFF"/>
            <w:lang w:val="en-US" w:eastAsia="en-US" w:bidi="ar-SA"/>
          </w:rPr>
          <w:t>RSBC 1996, CHAPTER 46, s. 2</w:t>
        </w:r>
      </w:hyperlink>
      <w:r>
        <w:rPr>
          <w:rFonts w:ascii="arial" w:eastAsia="arial" w:hAnsi="arial" w:cs="arial"/>
          <w:color w:val="000000"/>
          <w:sz w:val="20"/>
          <w:lang w:val="en-US" w:eastAsia="en-US" w:bidi="ar-SA"/>
        </w:rPr>
        <w:t>(b), s. 4(b)(1), s. 101(b)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Police Act, </w:t>
      </w:r>
      <w:hyperlink r:id="rId1044" w:history="1">
        <w:r>
          <w:rPr>
            <w:rFonts w:ascii="arial" w:eastAsia="arial" w:hAnsi="arial" w:cs="arial"/>
            <w:i/>
            <w:color w:val="0077CC"/>
            <w:sz w:val="20"/>
            <w:u w:val="single"/>
            <w:shd w:val="clear" w:color="auto" w:fill="FFFFFF"/>
            <w:lang w:val="en-US" w:eastAsia="en-US" w:bidi="ar-SA"/>
          </w:rPr>
          <w:t>RSBC 1996, CHAPTER 367, s. 14</w:t>
        </w:r>
      </w:hyperlink>
      <w:r>
        <w:rPr>
          <w:rFonts w:ascii="arial" w:eastAsia="arial" w:hAnsi="arial" w:cs="arial"/>
          <w:color w:val="000000"/>
          <w:sz w:val="20"/>
          <w:lang w:val="en-US" w:eastAsia="en-US" w:bidi="ar-SA"/>
        </w:rPr>
        <w:t>(1), s. 14(2)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RCMP Act, s.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Royal Canadian Mounted Police Act, </w:t>
      </w:r>
      <w:hyperlink r:id="rId1045" w:history="1">
        <w:r>
          <w:rPr>
            <w:rFonts w:ascii="arial" w:eastAsia="arial" w:hAnsi="arial" w:cs="arial"/>
            <w:i/>
            <w:color w:val="0077CC"/>
            <w:sz w:val="20"/>
            <w:u w:val="single"/>
            <w:shd w:val="clear" w:color="auto" w:fill="FFFFFF"/>
            <w:lang w:val="en-US" w:eastAsia="en-US" w:bidi="ar-SA"/>
          </w:rPr>
          <w:t>R.S.C. 1985, c. R-10, s. 9</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3-1(2), Rule 9-5(1)(a)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0" w:name="Counsel_42"/>
      <w:bookmarkEnd w:id="30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0"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H.L. Gansner.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Her Majesty the Queen as represented by the Minister of Child and Family Development, Peter Cunningham, Gretchen Woodman, Jeffery Foreman, Jack Kinnear and Kirsten Miller: M.N. Weintraub.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Breanne Brown, Quintin Smith and Jamie Wenger: E.L. Crocker.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1" w:name="Judgment_42"/>
      <w:bookmarkEnd w:id="301"/>
      <w:r>
        <w:pict>
          <v:line id="_x0000_s1241" style="position:absolute;z-index:2518548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2" w:name="R.D. PUNNETT J."/>
            <w:bookmarkEnd w:id="302"/>
            <w:r>
              <w:rPr>
                <w:rFonts w:ascii="arial" w:eastAsia="arial" w:hAnsi="arial" w:cs="arial"/>
                <w:b/>
                <w:color w:val="000000"/>
                <w:sz w:val="30"/>
                <w:lang w:val="en-US" w:eastAsia="en-US" w:bidi="ar-SA"/>
              </w:rPr>
              <w:t>R.D. PUNNETT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has commenced two actions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social workers and Royal Canadian Mounted Police ("RCMP") officers relating to an investigation of allegations of sexual assault against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Action 15740 against the Crown relates to child protection decisions made that arose from the sexual assault allegations. Action 15732 is a parallel action that names the individual social workers and RCMP officers as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various defendants in the two actions make applications to have the claims against them struck or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had sole custody of two children. There were ongoing custody and access disputes with her former spouse. One or both of the children made allegations of sexual abuse against the plaintiff. The plaintiff alleges the named social workers were tasked with investigating the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RCMP became involved. The plaintiff was arrested, held and then released on a no contact order respecting the children. The children whom the plaintiff was alleged to have sexually assaulted were subsequently returned to the plaintiff's ex-husband where they were severely abused in November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alleges that the Province through the Ministry of Child and Family Development and its employees owed a duty of care to a suspect parent such as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allegations against the individual RCMP officers are,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 the defendants Jamie Wenger, Breanne Brown and Quintin Smith were negligent in investigating sexual assault complaints against the plaintiff, complaints that led to the plaintiff's arrest and subsequent detention. The plaintiff alleges the allegations were unfounded and that the RCMP failed to undertake a proper investigation of the possibility the allegations were unfounded.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Attorney General of Canada has been named as a party but has not been served. In fact the Attorney General is not the appropriate party. There is no application to amend, but plaintiff's counsel advises they have instructions to make such an application and will do so in due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are three applications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first is that of Her Majesty the Queen in Right of the Province of British Columbia. She seeks to have the claims against her dismissed in their entirety on the basis that they disclose no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second is that of the social workers Peter Cunningham, Gretchen Woodman, Jeffery Foreman and Jack Kinnear. They seek to have the plaintiff's claim against them dismissed in its entirety on the basis that the notice of civil claim discloses no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third is the application of the defendant RCMP officers Brown, Wenger and Smith. They seek an order that the claims against them be struck or dismissed, or, in the alternative, that the plaintiff amends her pleadings to state for each cause of action raised the facts necessary to support the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Application of the Province and Social Workers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Province and the defendant social workers apply pursuant to Rule 9-5(1)(a) to strike the amended notice of civil claim as disclosing no reasonable claim. They submit that the Province and social workers have an overriding mandate of child protection under the </w:t>
      </w:r>
      <w:r>
        <w:rPr>
          <w:rFonts w:ascii="arial" w:eastAsia="arial" w:hAnsi="arial" w:cs="arial"/>
          <w:i/>
          <w:color w:val="000000"/>
          <w:sz w:val="20"/>
          <w:lang w:val="en-US" w:eastAsia="en-US" w:bidi="ar-SA"/>
        </w:rPr>
        <w:t>Child, Family and Community Service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46</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that precludes a private law duty of care to parents or other family members of children. They submit that as a matter of law there can be no duty of care in the circumstances and hence no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Crown or its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test for striking a pleading under Rule 9-5(1) is that a claim will "only be struck if it is plain and obvious, assuming the facts pleaded to be true, that the pleading discloses no reasonable cause of action" that is, "the claim has no reasonable prospect of success"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[2011] 3 S.C.R. 45</w:t>
        </w:r>
      </w:hyperlink>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function of pleadings is to clearly define the issues of fact and law that the court will be addressing. The claimant must plead the material facts upon which it relies. Material facts are "those facts necessary for the purpose of formulating a complete cause of action" (</w:t>
      </w:r>
      <w:r>
        <w:rPr>
          <w:rFonts w:ascii="arial" w:eastAsia="arial" w:hAnsi="arial" w:cs="arial"/>
          <w:i/>
          <w:color w:val="000000"/>
          <w:sz w:val="20"/>
          <w:lang w:val="en-US" w:eastAsia="en-US" w:bidi="ar-SA"/>
        </w:rPr>
        <w:t>Homalco Indian Band v. British Columbia</w:t>
      </w:r>
      <w:r>
        <w:rPr>
          <w:rFonts w:ascii="arial" w:eastAsia="arial" w:hAnsi="arial" w:cs="arial"/>
          <w:color w:val="000000"/>
          <w:sz w:val="20"/>
          <w:lang w:val="en-US" w:eastAsia="en-US" w:bidi="ar-SA"/>
        </w:rPr>
        <w:t xml:space="preserve"> </w:t>
      </w:r>
      <w:hyperlink r:id="rId1046" w:history="1">
        <w:r>
          <w:rPr>
            <w:rFonts w:ascii="arial" w:eastAsia="arial" w:hAnsi="arial" w:cs="arial"/>
            <w:i/>
            <w:color w:val="0077CC"/>
            <w:sz w:val="20"/>
            <w:u w:val="single"/>
            <w:shd w:val="clear" w:color="auto" w:fill="FFFFFF"/>
            <w:lang w:val="en-US" w:eastAsia="en-US" w:bidi="ar-SA"/>
          </w:rPr>
          <w:t>(1998), 56 B.C.L.R. (3d) 114</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plaintiff's claim is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She must plead material facts on which the court could find that the defendants owed a duty of care to her, that the defendants breached the relevant standard of care and that the breach of duty caused damage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 duty of care requires both foreseeable harm and a "close and direct relationship of proximity or neighbourhood."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xml:space="preserve">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In </w:t>
      </w:r>
      <w:r>
        <w:rPr>
          <w:rFonts w:ascii="arial" w:eastAsia="arial" w:hAnsi="arial" w:cs="arial"/>
          <w:i/>
          <w:color w:val="000000"/>
          <w:sz w:val="20"/>
          <w:lang w:val="en-US" w:eastAsia="en-US" w:bidi="ar-SA"/>
        </w:rPr>
        <w:t>Anns, [1978] A.C. 728, supra</w:t>
      </w:r>
      <w:r>
        <w:rPr>
          <w:rFonts w:ascii="arial" w:eastAsia="arial" w:hAnsi="arial" w:cs="arial"/>
          <w:color w:val="000000"/>
          <w:sz w:val="20"/>
          <w:lang w:val="en-US" w:eastAsia="en-US" w:bidi="ar-SA"/>
        </w:rPr>
        <w:t xml:space="preserve">, a pp. 751-52, the House of Lords,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Lord Wilberforce, said that a duty of care required a finding of proximity sufficient to create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followed by consideration of whether there were any factors negativing that duty of care. This Court has repeatedly affirmed that approach as appropriate in the Canadian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involvement of the Ministry and the individual social workers arises from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the source of their duty to investigate. But for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they would be "in no different position that the ordinary man or woman on the street."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para. 43).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where the plaintiff sought to impose a duty on the Registrar of Mortgage Brokers, the Court at para. 42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 mere foreseeability is not enough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The plaintiffs must also show proximity -- that the Registrar was in a close and direct relationship to them making it just to impose a duty of care upon him toward the plaintiffs. In addition to showing foreseeability, the plaintiffs must point to factors arising from the circumstances of the relationship that impose a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Turning firstly to the application of the Crown, the plaintiff pleads that the Province owes a duty of care to a parent it is investigating for allegations of abuse against that parent's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As noted the duty of care arises from the </w:t>
      </w:r>
      <w:r>
        <w:rPr>
          <w:rFonts w:ascii="arial" w:eastAsia="arial" w:hAnsi="arial" w:cs="arial"/>
          <w:i/>
          <w:color w:val="000000"/>
          <w:sz w:val="20"/>
          <w:lang w:val="en-US" w:eastAsia="en-US" w:bidi="ar-SA"/>
        </w:rPr>
        <w:t>CFSCA</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CFSCA</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This Act must be interpreted and administered so that the safety and well-being of children are the paramount considerations and in accordance with the following principles:</w:t>
      </w:r>
    </w:p>
    <w:p>
      <w:pPr>
        <w:numPr>
          <w:numId w:val="2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children are entitled to be protected from abuse, neglect and harm or threat of harm;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(1) Where there is a reference in this Act to the best interests of a child, all relevant factors must be considered in determining the child's best interests, including for example: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child's safety;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No person is personally liable for anything done or omitted in good faith in the exercise or performance or intended exercise or performance of</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power, duty or function conferred under this Act, or</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power, duty or function on behalf of or under the direction of a person on whom the power, duty or function is conferred under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Section 101 is part of the overall statutory scheme and as such must be considered when determining whether a duty of care exists. In this case it is not necessary to rely on it as an independent basis for addressing the plaintiff's claim.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there was a similar statutory immunity provision, which the Court considered in the context of the entire statutory scheme in order to determine whether there was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It is clear that the overriding mandate of the Province under the </w:t>
      </w:r>
      <w:r>
        <w:rPr>
          <w:rFonts w:ascii="arial" w:eastAsia="arial" w:hAnsi="arial" w:cs="arial"/>
          <w:i/>
          <w:color w:val="000000"/>
          <w:sz w:val="20"/>
          <w:lang w:val="en-US" w:eastAsia="en-US" w:bidi="ar-SA"/>
        </w:rPr>
        <w:t>CFSCA</w:t>
      </w:r>
      <w:r>
        <w:rPr>
          <w:rFonts w:ascii="arial" w:eastAsia="arial" w:hAnsi="arial" w:cs="arial"/>
          <w:color w:val="000000"/>
          <w:sz w:val="20"/>
          <w:lang w:val="en-US" w:eastAsia="en-US" w:bidi="ar-SA"/>
        </w:rPr>
        <w:t xml:space="preserve"> is child protection. The imposition of a private law duty owed by the Province to the plaintiff in matters involving a child protection investigation cannot coexist with that mandate. There is a clear conflict.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Syl Apps Secure Treatment Centre v. B.D</w:t>
      </w:r>
      <w:r>
        <w:rPr>
          <w:rFonts w:ascii="arial" w:eastAsia="arial" w:hAnsi="arial" w:cs="arial"/>
          <w:color w:val="000000"/>
          <w:sz w:val="20"/>
          <w:lang w:val="en-US" w:eastAsia="en-US" w:bidi="ar-SA"/>
        </w:rPr>
        <w:t xml:space="preserve">., </w:t>
      </w:r>
      <w:hyperlink r:id="rId1047" w:history="1">
        <w:r>
          <w:rPr>
            <w:rFonts w:ascii="arial" w:eastAsia="arial" w:hAnsi="arial" w:cs="arial"/>
            <w:i/>
            <w:color w:val="0077CC"/>
            <w:sz w:val="20"/>
            <w:u w:val="single"/>
            <w:shd w:val="clear" w:color="auto" w:fill="FFFFFF"/>
            <w:lang w:val="en-US" w:eastAsia="en-US" w:bidi="ar-SA"/>
          </w:rPr>
          <w:t>2007 SCC 38</w:t>
        </w:r>
      </w:hyperlink>
      <w:r>
        <w:rPr>
          <w:rFonts w:ascii="arial" w:eastAsia="arial" w:hAnsi="arial" w:cs="arial"/>
          <w:color w:val="000000"/>
          <w:sz w:val="20"/>
          <w:lang w:val="en-US" w:eastAsia="en-US" w:bidi="ar-SA"/>
        </w:rPr>
        <w:t xml:space="preserve">, </w:t>
      </w:r>
      <w:hyperlink r:id="rId1047" w:history="1">
        <w:r>
          <w:rPr>
            <w:rFonts w:ascii="arial" w:eastAsia="arial" w:hAnsi="arial" w:cs="arial"/>
            <w:i/>
            <w:color w:val="0077CC"/>
            <w:sz w:val="20"/>
            <w:u w:val="single"/>
            <w:shd w:val="clear" w:color="auto" w:fill="FFFFFF"/>
            <w:lang w:val="en-US" w:eastAsia="en-US" w:bidi="ar-SA"/>
          </w:rPr>
          <w:t>[2007] 3 S.C.R. 83</w:t>
        </w:r>
      </w:hyperlink>
      <w:r>
        <w:rPr>
          <w:rFonts w:ascii="arial" w:eastAsia="arial" w:hAnsi="arial" w:cs="arial"/>
          <w:color w:val="000000"/>
          <w:sz w:val="20"/>
          <w:lang w:val="en-US" w:eastAsia="en-US" w:bidi="ar-SA"/>
        </w:rPr>
        <w:t xml:space="preserve">, the Supreme Court of Canada considered a statutory immunity provision (the Ontario equivalent to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in the context of a duty of care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xml:space="preserve"> as a result of a story she had written at school which alleged that her parents had physically and sexually abused her, a 14 year old girl was apprehended and placed in a foster home. Her parents, grandmother and three siblings sued various government officials and institutions.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Court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 The conclusion that there is no proximity is reinforced when one considers two additional reflections of legislative policy. The first is that the Act provides a remedy for families seeking to challenge the way their child is treated.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 Secondly, there is a clear legislative intent to protect those working in the child protection field from liability for the good faith exercise of their statutory duty. This is reflected in three statutory immunity provisions. Section 15(6) of the Act states that "[n]o action shall be instituted against an officer or employee of a [Children's Aid] society for an act done in good faith in the execution or intended execution of the person's duty or for an alleged neglect or default in the execution in good faith of the person's duty."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61 Section 4(3) of the </w:t>
      </w:r>
      <w:r>
        <w:rPr>
          <w:rFonts w:ascii="arial" w:eastAsia="arial" w:hAnsi="arial" w:cs="arial"/>
          <w:i/>
          <w:color w:val="000000"/>
          <w:sz w:val="20"/>
          <w:lang w:val="en-US" w:eastAsia="en-US" w:bidi="ar-SA"/>
        </w:rPr>
        <w:t>Ministry of Community and Social Services Act</w:t>
      </w:r>
      <w:r>
        <w:rPr>
          <w:rFonts w:ascii="arial" w:eastAsia="arial" w:hAnsi="arial" w:cs="arial"/>
          <w:color w:val="000000"/>
          <w:sz w:val="20"/>
          <w:lang w:val="en-US" w:eastAsia="en-US" w:bidi="ar-SA"/>
        </w:rPr>
        <w:t xml:space="preserve">, </w:t>
      </w:r>
      <w:hyperlink r:id="rId1048" w:history="1">
        <w:r>
          <w:rPr>
            <w:rFonts w:ascii="arial" w:eastAsia="arial" w:hAnsi="arial" w:cs="arial"/>
            <w:i/>
            <w:color w:val="0077CC"/>
            <w:sz w:val="20"/>
            <w:u w:val="single"/>
            <w:shd w:val="clear" w:color="auto" w:fill="FFFFFF"/>
            <w:lang w:val="en-US" w:eastAsia="en-US" w:bidi="ar-SA"/>
          </w:rPr>
          <w:t>R.S.O. 1990, c. M.20</w:t>
        </w:r>
      </w:hyperlink>
      <w:r>
        <w:rPr>
          <w:rFonts w:ascii="arial" w:eastAsia="arial" w:hAnsi="arial" w:cs="arial"/>
          <w:color w:val="000000"/>
          <w:sz w:val="20"/>
          <w:lang w:val="en-US" w:eastAsia="en-US" w:bidi="ar-SA"/>
        </w:rPr>
        <w:t xml:space="preserve">, contains similar protection against personal liability for employees of the Ministry of Community and Social Services. At the relevant time, the Syl Apps Secure Treatment Centre was operated by the Ministry of Community and Social Services. Moreover, s. 142 of the </w:t>
      </w:r>
      <w:r>
        <w:rPr>
          <w:rFonts w:ascii="arial" w:eastAsia="arial" w:hAnsi="arial" w:cs="arial"/>
          <w:i/>
          <w:color w:val="000000"/>
          <w:sz w:val="20"/>
          <w:lang w:val="en-US" w:eastAsia="en-US" w:bidi="ar-SA"/>
        </w:rPr>
        <w:t>Courts of Justice Act</w:t>
      </w:r>
      <w:r>
        <w:rPr>
          <w:rFonts w:ascii="arial" w:eastAsia="arial" w:hAnsi="arial" w:cs="arial"/>
          <w:color w:val="000000"/>
          <w:sz w:val="20"/>
          <w:lang w:val="en-US" w:eastAsia="en-US" w:bidi="ar-SA"/>
        </w:rPr>
        <w:t xml:space="preserve">, </w:t>
      </w:r>
      <w:hyperlink r:id="rId1049" w:history="1">
        <w:r>
          <w:rPr>
            <w:rFonts w:ascii="arial" w:eastAsia="arial" w:hAnsi="arial" w:cs="arial"/>
            <w:i/>
            <w:color w:val="0077CC"/>
            <w:sz w:val="20"/>
            <w:u w:val="single"/>
            <w:shd w:val="clear" w:color="auto" w:fill="FFFFFF"/>
            <w:lang w:val="en-US" w:eastAsia="en-US" w:bidi="ar-SA"/>
          </w:rPr>
          <w:t>R.S.O. 1990, c. C.43</w:t>
        </w:r>
      </w:hyperlink>
      <w:r>
        <w:rPr>
          <w:rFonts w:ascii="arial" w:eastAsia="arial" w:hAnsi="arial" w:cs="arial"/>
          <w:color w:val="000000"/>
          <w:sz w:val="20"/>
          <w:lang w:val="en-US" w:eastAsia="en-US" w:bidi="ar-SA"/>
        </w:rPr>
        <w:t>, states that "[a] person is not liable for any act done in good faith in accordance with an order or process of a court in Ontario."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These immunity provisions lend further support to the conclusion that there is no proximity in the relationship between the family of a child in care and those directed by a court to protect that child's best interests. There is, as a result, no basis for recognizing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towards the family on the part of the Syl Apps Secure Treatment Centre or Mr. Baptiste.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my view the similarity of the facts and the legislation in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xml:space="preserve"> are directly on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xml:space="preserve"> was considered in </w:t>
      </w:r>
      <w:r>
        <w:rPr>
          <w:rFonts w:ascii="arial" w:eastAsia="arial" w:hAnsi="arial" w:cs="arial"/>
          <w:i/>
          <w:color w:val="000000"/>
          <w:sz w:val="20"/>
          <w:lang w:val="en-US" w:eastAsia="en-US" w:bidi="ar-SA"/>
        </w:rPr>
        <w:t>Harrison v. British Columbia (Children and Family Development),</w:t>
      </w:r>
      <w:r>
        <w:rPr>
          <w:rFonts w:ascii="arial" w:eastAsia="arial" w:hAnsi="arial" w:cs="arial"/>
          <w:color w:val="000000"/>
          <w:sz w:val="20"/>
          <w:lang w:val="en-US" w:eastAsia="en-US" w:bidi="ar-SA"/>
        </w:rPr>
        <w:t xml:space="preserve"> </w:t>
      </w:r>
      <w:hyperlink r:id="rId1050" w:history="1">
        <w:r>
          <w:rPr>
            <w:rFonts w:ascii="arial" w:eastAsia="arial" w:hAnsi="arial" w:cs="arial"/>
            <w:i/>
            <w:color w:val="0077CC"/>
            <w:sz w:val="20"/>
            <w:u w:val="single"/>
            <w:shd w:val="clear" w:color="auto" w:fill="FFFFFF"/>
            <w:lang w:val="en-US" w:eastAsia="en-US" w:bidi="ar-SA"/>
          </w:rPr>
          <w:t>2010 BCCA 220</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Harrison</w:t>
      </w:r>
      <w:r>
        <w:rPr>
          <w:rFonts w:ascii="arial" w:eastAsia="arial" w:hAnsi="arial" w:cs="arial"/>
          <w:color w:val="000000"/>
          <w:sz w:val="20"/>
          <w:lang w:val="en-US" w:eastAsia="en-US" w:bidi="ar-SA"/>
        </w:rPr>
        <w:t xml:space="preserve"> the Province and an individual social worker were sued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defamation and misfeasance in public office. A summary application by the defendants to dismiss was unsuccessful. On appeal the plaintiff's action was dismissed. After noting that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only arise if the defendant owes the plaintiff a duty of care (para. 45) the court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In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the Supreme Court of Canada declined to recognize a duty of care alleged to be owed by child protection authorities to the family members of children in their care. The deciding factor in the Court's decision, made at the proximity stage of the analysis, was the potential for creating a "'serious and significant' conflict with [the] transcendent statutory duty [of child protection authorities] to promote the best interests, protection and well-being of the children in their care" (at para. 41). The Court emphasized the need to avoid fettering that overarching mandate by imposing any corresponding duty to family members which, they cautioned, could result in a "chilling effect on social workers, who may hesitate to act in pursuit of the child's best interests for fear that their approach could attract criticism -- and litigation -- from the family" (at para. 50).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I would not simply extend the ruling in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xml:space="preserve"> to any relationship that involves a child protection worker, thereby disposing of the present action and precluding the possibility of any duty being recognized other than to the child. Different relationships will inevitably raise different considerations, and each warrants a fresh analysis sensitive to those considerations: </w:t>
      </w:r>
      <w:r>
        <w:rPr>
          <w:rFonts w:ascii="arial" w:eastAsia="arial" w:hAnsi="arial" w:cs="arial"/>
          <w:i/>
          <w:color w:val="000000"/>
          <w:sz w:val="20"/>
          <w:lang w:val="en-US" w:eastAsia="en-US" w:bidi="ar-SA"/>
        </w:rPr>
        <w:t>Hill v. Hamilton-Wentworth Regional Police Services Board</w:t>
      </w:r>
      <w:r>
        <w:rPr>
          <w:rFonts w:ascii="arial" w:eastAsia="arial" w:hAnsi="arial" w:cs="arial"/>
          <w:color w:val="000000"/>
          <w:sz w:val="20"/>
          <w:lang w:val="en-US" w:eastAsia="en-US" w:bidi="ar-SA"/>
        </w:rPr>
        <w:t xml:space="preserve">, </w:t>
      </w:r>
      <w:hyperlink r:id="rId898"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 xml:space="preserve">, </w:t>
      </w:r>
      <w:hyperlink r:id="rId898" w:history="1">
        <w:r>
          <w:rPr>
            <w:rFonts w:ascii="arial" w:eastAsia="arial" w:hAnsi="arial" w:cs="arial"/>
            <w:i/>
            <w:color w:val="0077CC"/>
            <w:sz w:val="20"/>
            <w:u w:val="single"/>
            <w:shd w:val="clear" w:color="auto" w:fill="FFFFFF"/>
            <w:lang w:val="en-US" w:eastAsia="en-US" w:bidi="ar-SA"/>
          </w:rPr>
          <w:t>[2007] 3 S.C.R. 129</w:t>
        </w:r>
      </w:hyperlink>
      <w:r>
        <w:rPr>
          <w:rFonts w:ascii="arial" w:eastAsia="arial" w:hAnsi="arial" w:cs="arial"/>
          <w:color w:val="000000"/>
          <w:sz w:val="20"/>
          <w:lang w:val="en-US" w:eastAsia="en-US" w:bidi="ar-SA"/>
        </w:rPr>
        <w:t xml:space="preserve"> at paras. 24, 27.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The primary obligation of social workers operating under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including Ms. Bischoff, is found under s. 2 of the Act, which provides that the safety and well-being of children must be the paramount considerations in the administration of the statute. It is in the context of this statutory mandate that Ms. Bischoff was expressly required to review the background of individuals seeking to work with vulnerable children in the care of the MCFD.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[53] Imposing a private law duty of care on a social worker to those whose background he or she must review for child safety concerns has the potential to interfere with their ability to discharge that vital task. More broadly, it would interfere with the paramount duty to the safety of the child. A social worker should not feel torn between her paramount obligation to the child and an ancillary duty to consider the employment status of those who seek to care for them. Accordingly, imposing a duty of care on Ms. Bischoff in these circumstances poses precisely the risk for inherent conflict that was found to be determinative by the Supreme Court of Canada in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xml:space="preserve">. There is simply no basis to distinguish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xml:space="preserve">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plaintiff relies on </w:t>
      </w:r>
      <w:r>
        <w:rPr>
          <w:rFonts w:ascii="arial" w:eastAsia="arial" w:hAnsi="arial" w:cs="arial"/>
          <w:i/>
          <w:color w:val="000000"/>
          <w:sz w:val="20"/>
          <w:lang w:val="en-US" w:eastAsia="en-US" w:bidi="ar-SA"/>
        </w:rPr>
        <w:t>Hill v. Hamilton-Wentworth Regional Police Services Board</w:t>
      </w:r>
      <w:r>
        <w:rPr>
          <w:rFonts w:ascii="arial" w:eastAsia="arial" w:hAnsi="arial" w:cs="arial"/>
          <w:color w:val="000000"/>
          <w:sz w:val="20"/>
          <w:lang w:val="en-US" w:eastAsia="en-US" w:bidi="ar-SA"/>
        </w:rPr>
        <w:t xml:space="preserve">, </w:t>
      </w:r>
      <w:hyperlink r:id="rId898"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 xml:space="preserve">, </w:t>
      </w:r>
      <w:hyperlink r:id="rId898" w:history="1">
        <w:r>
          <w:rPr>
            <w:rFonts w:ascii="arial" w:eastAsia="arial" w:hAnsi="arial" w:cs="arial"/>
            <w:i/>
            <w:color w:val="0077CC"/>
            <w:sz w:val="20"/>
            <w:u w:val="single"/>
            <w:shd w:val="clear" w:color="auto" w:fill="FFFFFF"/>
            <w:lang w:val="en-US" w:eastAsia="en-US" w:bidi="ar-SA"/>
          </w:rPr>
          <w:t>[2007] 3 S.C.R. 129</w:t>
        </w:r>
      </w:hyperlink>
      <w:r>
        <w:rPr>
          <w:rFonts w:ascii="arial" w:eastAsia="arial" w:hAnsi="arial" w:cs="arial"/>
          <w:color w:val="000000"/>
          <w:sz w:val="20"/>
          <w:lang w:val="en-US" w:eastAsia="en-US" w:bidi="ar-SA"/>
        </w:rPr>
        <w:t xml:space="preserve"> at paras. 24 and 27 noted by Justice Levine in para. 49 of </w:t>
      </w:r>
      <w:r>
        <w:rPr>
          <w:rFonts w:ascii="arial" w:eastAsia="arial" w:hAnsi="arial" w:cs="arial"/>
          <w:i/>
          <w:color w:val="000000"/>
          <w:sz w:val="20"/>
          <w:lang w:val="en-US" w:eastAsia="en-US" w:bidi="ar-SA"/>
        </w:rPr>
        <w:t>Harrison</w:t>
      </w:r>
      <w:r>
        <w:rPr>
          <w:rFonts w:ascii="arial" w:eastAsia="arial" w:hAnsi="arial" w:cs="arial"/>
          <w:color w:val="000000"/>
          <w:sz w:val="20"/>
          <w:lang w:val="en-US" w:eastAsia="en-US" w:bidi="ar-SA"/>
        </w:rPr>
        <w:t xml:space="preserve"> quoted above. Paragraph. 24 of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Generally speaking, the proximity analysis involves examining the relationship at issue, considering factors such as expectations, representations, reliance and property or other interests involved: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34. Different relationships raise different considerations. "The factors which may satisfy the requirement of proximity are diverse and depend on the circumstances of the case. One searches in vain for a single unifying characteristic":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at para. 35. No single rule, factor or definitive list of factors can be applied in every case. "Proximity may be usefully viewed, not so much as a test in itself, but as a broad concept which is capable of subsuming different categories of cases involving different factors" (</w:t>
      </w:r>
      <w:r>
        <w:rPr>
          <w:rFonts w:ascii="arial" w:eastAsia="arial" w:hAnsi="arial" w:cs="arial"/>
          <w:i/>
          <w:color w:val="000000"/>
          <w:sz w:val="20"/>
          <w:lang w:val="en-US" w:eastAsia="en-US" w:bidi="ar-SA"/>
        </w:rPr>
        <w:t>Canadian National Railway Co. v. Norsk Pacific Steamship Co.</w:t>
      </w:r>
      <w:r>
        <w:rPr>
          <w:rFonts w:ascii="arial" w:eastAsia="arial" w:hAnsi="arial" w:cs="arial"/>
          <w:color w:val="000000"/>
          <w:sz w:val="20"/>
          <w:lang w:val="en-US" w:eastAsia="en-US" w:bidi="ar-SA"/>
        </w:rPr>
        <w:t xml:space="preserve">, </w:t>
      </w:r>
      <w:hyperlink r:id="rId902" w:history="1">
        <w:r>
          <w:rPr>
            <w:rFonts w:ascii="arial" w:eastAsia="arial" w:hAnsi="arial" w:cs="arial"/>
            <w:i/>
            <w:color w:val="0077CC"/>
            <w:sz w:val="20"/>
            <w:u w:val="single"/>
            <w:shd w:val="clear" w:color="auto" w:fill="FFFFFF"/>
            <w:lang w:val="en-US" w:eastAsia="en-US" w:bidi="ar-SA"/>
          </w:rPr>
          <w:t>[1992] 1 S.C.R. 1021</w:t>
        </w:r>
      </w:hyperlink>
      <w:r>
        <w:rPr>
          <w:rFonts w:ascii="arial" w:eastAsia="arial" w:hAnsi="arial" w:cs="arial"/>
          <w:color w:val="000000"/>
          <w:sz w:val="20"/>
          <w:lang w:val="en-US" w:eastAsia="en-US" w:bidi="ar-SA"/>
        </w:rPr>
        <w:t xml:space="preserve">, at p. 1151, cited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submits that since the plaintiff had earlier been involved in a custody trial in which a social worker was a witness with knowledge of inappropriate conduct by the children's father, the Ministry was thereby in a position of sufficient proximity because of that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plaintiff also relies on </w:t>
      </w:r>
      <w:r>
        <w:rPr>
          <w:rFonts w:ascii="arial" w:eastAsia="arial" w:hAnsi="arial" w:cs="arial"/>
          <w:i/>
          <w:color w:val="000000"/>
          <w:sz w:val="20"/>
          <w:lang w:val="en-US" w:eastAsia="en-US" w:bidi="ar-SA"/>
        </w:rPr>
        <w:t>L.C. &amp; L.S. v. H.M.T.Q. et al,</w:t>
      </w:r>
      <w:r>
        <w:rPr>
          <w:rFonts w:ascii="arial" w:eastAsia="arial" w:hAnsi="arial" w:cs="arial"/>
          <w:color w:val="000000"/>
          <w:sz w:val="20"/>
          <w:lang w:val="en-US" w:eastAsia="en-US" w:bidi="ar-SA"/>
        </w:rPr>
        <w:t xml:space="preserve"> </w:t>
      </w:r>
      <w:hyperlink r:id="rId1051" w:history="1">
        <w:r>
          <w:rPr>
            <w:rFonts w:ascii="arial" w:eastAsia="arial" w:hAnsi="arial" w:cs="arial"/>
            <w:i/>
            <w:color w:val="0077CC"/>
            <w:sz w:val="20"/>
            <w:u w:val="single"/>
            <w:shd w:val="clear" w:color="auto" w:fill="FFFFFF"/>
            <w:lang w:val="en-US" w:eastAsia="en-US" w:bidi="ar-SA"/>
          </w:rPr>
          <w:t>2005 BCSC 1668</w:t>
        </w:r>
      </w:hyperlink>
      <w:r>
        <w:rPr>
          <w:rFonts w:ascii="arial" w:eastAsia="arial" w:hAnsi="arial" w:cs="arial"/>
          <w:color w:val="000000"/>
          <w:sz w:val="20"/>
          <w:lang w:val="en-US" w:eastAsia="en-US" w:bidi="ar-SA"/>
        </w:rPr>
        <w:t xml:space="preserve">, where the mother and grandmother of a child brought an action against the Crown for damages for vicarious liability for actions done or not done by its social workers. Section 101 did not apply to protect the Crown. The court held that while the underlying policy of the applicable act was to protect children from harm, that "persons other than children may be in sufficient proximity to the Ministry" (para. 104). In </w:t>
      </w:r>
      <w:r>
        <w:rPr>
          <w:rFonts w:ascii="arial" w:eastAsia="arial" w:hAnsi="arial" w:cs="arial"/>
          <w:i/>
          <w:color w:val="000000"/>
          <w:sz w:val="20"/>
          <w:lang w:val="en-US" w:eastAsia="en-US" w:bidi="ar-SA"/>
        </w:rPr>
        <w:t>L.C. &amp; L.S.</w:t>
      </w:r>
      <w:r>
        <w:rPr>
          <w:rFonts w:ascii="arial" w:eastAsia="arial" w:hAnsi="arial" w:cs="arial"/>
          <w:color w:val="000000"/>
          <w:sz w:val="20"/>
          <w:lang w:val="en-US" w:eastAsia="en-US" w:bidi="ar-SA"/>
        </w:rPr>
        <w:t xml:space="preserve"> the court found there was a relationship between the Ministry and the mother because she was being supervised by the Ministry. Sufficient proximity was found with respect to the mother but not the grandmother.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However, </w:t>
      </w:r>
      <w:r>
        <w:rPr>
          <w:rFonts w:ascii="arial" w:eastAsia="arial" w:hAnsi="arial" w:cs="arial"/>
          <w:i/>
          <w:color w:val="000000"/>
          <w:sz w:val="20"/>
          <w:lang w:val="en-US" w:eastAsia="en-US" w:bidi="ar-SA"/>
        </w:rPr>
        <w:t>L.C. &amp; L.S.</w:t>
      </w:r>
      <w:r>
        <w:rPr>
          <w:rFonts w:ascii="arial" w:eastAsia="arial" w:hAnsi="arial" w:cs="arial"/>
          <w:color w:val="000000"/>
          <w:sz w:val="20"/>
          <w:lang w:val="en-US" w:eastAsia="en-US" w:bidi="ar-SA"/>
        </w:rPr>
        <w:t xml:space="preserve"> predates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C.H.S. v. Alberta (Child, Youth and Family Enhancement Act, Director)</w:t>
      </w:r>
      <w:r>
        <w:rPr>
          <w:rFonts w:ascii="arial" w:eastAsia="arial" w:hAnsi="arial" w:cs="arial"/>
          <w:color w:val="000000"/>
          <w:sz w:val="20"/>
          <w:lang w:val="en-US" w:eastAsia="en-US" w:bidi="ar-SA"/>
        </w:rPr>
        <w:t xml:space="preserve">, </w:t>
      </w:r>
      <w:hyperlink r:id="rId1052" w:history="1">
        <w:r>
          <w:rPr>
            <w:rFonts w:ascii="arial" w:eastAsia="arial" w:hAnsi="arial" w:cs="arial"/>
            <w:i/>
            <w:color w:val="0077CC"/>
            <w:sz w:val="20"/>
            <w:u w:val="single"/>
            <w:shd w:val="clear" w:color="auto" w:fill="FFFFFF"/>
            <w:lang w:val="en-US" w:eastAsia="en-US" w:bidi="ar-SA"/>
          </w:rPr>
          <w:t>2010 ABCA 15</w:t>
        </w:r>
      </w:hyperlink>
      <w:r>
        <w:rPr>
          <w:rFonts w:ascii="arial" w:eastAsia="arial" w:hAnsi="arial" w:cs="arial"/>
          <w:color w:val="000000"/>
          <w:sz w:val="20"/>
          <w:lang w:val="en-US" w:eastAsia="en-US" w:bidi="ar-SA"/>
        </w:rPr>
        <w:t xml:space="preserve">, the Alberta Court of Appeal refers to </w:t>
      </w:r>
      <w:r>
        <w:rPr>
          <w:rFonts w:ascii="arial" w:eastAsia="arial" w:hAnsi="arial" w:cs="arial"/>
          <w:i/>
          <w:color w:val="000000"/>
          <w:sz w:val="20"/>
          <w:lang w:val="en-US" w:eastAsia="en-US" w:bidi="ar-SA"/>
        </w:rPr>
        <w:t>L.C. &amp; L.S.</w:t>
      </w:r>
      <w:r>
        <w:rPr>
          <w:rFonts w:ascii="arial" w:eastAsia="arial" w:hAnsi="arial" w:cs="arial"/>
          <w:color w:val="000000"/>
          <w:sz w:val="20"/>
          <w:lang w:val="en-US" w:eastAsia="en-US" w:bidi="ar-SA"/>
        </w:rPr>
        <w:t xml:space="preserve"> and other cases where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has been found but notes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The Director submits that the ruling in </w:t>
      </w:r>
      <w:r>
        <w:rPr>
          <w:rFonts w:ascii="arial" w:eastAsia="arial" w:hAnsi="arial" w:cs="arial"/>
          <w:b/>
          <w:i/>
          <w:color w:val="000000"/>
          <w:sz w:val="20"/>
          <w:lang w:val="en-US" w:eastAsia="en-US" w:bidi="ar-SA"/>
        </w:rPr>
        <w:t>Syl Apps</w:t>
      </w:r>
      <w:r>
        <w:rPr>
          <w:rFonts w:ascii="arial" w:eastAsia="arial" w:hAnsi="arial" w:cs="arial"/>
          <w:color w:val="000000"/>
          <w:sz w:val="20"/>
          <w:lang w:val="en-US" w:eastAsia="en-US" w:bidi="ar-SA"/>
        </w:rPr>
        <w:t xml:space="preserve"> is a complete answer to the appellant's claim. Prior to </w:t>
      </w:r>
      <w:r>
        <w:rPr>
          <w:rFonts w:ascii="arial" w:eastAsia="arial" w:hAnsi="arial" w:cs="arial"/>
          <w:b/>
          <w:i/>
          <w:color w:val="000000"/>
          <w:sz w:val="20"/>
          <w:lang w:val="en-US" w:eastAsia="en-US" w:bidi="ar-SA"/>
        </w:rPr>
        <w:t>Syl Apps</w:t>
      </w:r>
      <w:r>
        <w:rPr>
          <w:rFonts w:ascii="arial" w:eastAsia="arial" w:hAnsi="arial" w:cs="arial"/>
          <w:color w:val="000000"/>
          <w:sz w:val="20"/>
          <w:lang w:val="en-US" w:eastAsia="en-US" w:bidi="ar-SA"/>
        </w:rPr>
        <w:t xml:space="preserve">, the Supreme Court held that a breach of a custody order does not give rise to a common-law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Frame v. Smith</w:t>
      </w:r>
      <w:r>
        <w:rPr>
          <w:rFonts w:ascii="arial" w:eastAsia="arial" w:hAnsi="arial" w:cs="arial"/>
          <w:color w:val="000000"/>
          <w:sz w:val="20"/>
          <w:lang w:val="en-US" w:eastAsia="en-US" w:bidi="ar-SA"/>
        </w:rPr>
        <w:t xml:space="preserve">, </w:t>
      </w:r>
      <w:hyperlink r:id="rId1053"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xml:space="preserve">. Nonetheless, courts have often found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in circumstances similar to the case at bar: see </w:t>
      </w:r>
      <w:r>
        <w:rPr>
          <w:rFonts w:ascii="arial" w:eastAsia="arial" w:hAnsi="arial" w:cs="arial"/>
          <w:b/>
          <w:i/>
          <w:color w:val="000000"/>
          <w:sz w:val="20"/>
          <w:lang w:val="en-US" w:eastAsia="en-US" w:bidi="ar-SA"/>
        </w:rPr>
        <w:t>L.C. v. British Columbia (Minister of Children and Families)</w:t>
      </w:r>
      <w:r>
        <w:rPr>
          <w:rFonts w:ascii="arial" w:eastAsia="arial" w:hAnsi="arial" w:cs="arial"/>
          <w:color w:val="000000"/>
          <w:sz w:val="20"/>
          <w:lang w:val="en-US" w:eastAsia="en-US" w:bidi="ar-SA"/>
        </w:rPr>
        <w:t xml:space="preserve">, </w:t>
      </w:r>
      <w:hyperlink r:id="rId1051" w:history="1">
        <w:r>
          <w:rPr>
            <w:rFonts w:ascii="arial" w:eastAsia="arial" w:hAnsi="arial" w:cs="arial"/>
            <w:i/>
            <w:color w:val="0077CC"/>
            <w:sz w:val="20"/>
            <w:u w:val="single"/>
            <w:shd w:val="clear" w:color="auto" w:fill="FFFFFF"/>
            <w:lang w:val="en-US" w:eastAsia="en-US" w:bidi="ar-SA"/>
          </w:rPr>
          <w:t>2005 BCSC 1668</w:t>
        </w:r>
      </w:hyperlink>
      <w:r>
        <w:rPr>
          <w:rFonts w:ascii="arial" w:eastAsia="arial" w:hAnsi="arial" w:cs="arial"/>
          <w:color w:val="000000"/>
          <w:sz w:val="20"/>
          <w:lang w:val="en-US" w:eastAsia="en-US" w:bidi="ar-SA"/>
        </w:rPr>
        <w:t xml:space="preserve">, </w:t>
      </w:r>
      <w:hyperlink r:id="rId1051" w:history="1">
        <w:r>
          <w:rPr>
            <w:rFonts w:ascii="arial" w:eastAsia="arial" w:hAnsi="arial" w:cs="arial"/>
            <w:i/>
            <w:color w:val="0077CC"/>
            <w:sz w:val="20"/>
            <w:u w:val="single"/>
            <w:shd w:val="clear" w:color="auto" w:fill="FFFFFF"/>
            <w:lang w:val="en-US" w:eastAsia="en-US" w:bidi="ar-SA"/>
          </w:rPr>
          <w:t>49 B.C.L.R. (4th) 164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A.G. v. British Columbia (Family and Child Services)</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(1989), 38 B.C.L.R. (2d) 215</w:t>
        </w:r>
      </w:hyperlink>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61 D.L.R. (4th) 136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Delaronde v. R.</w:t>
      </w:r>
      <w:r>
        <w:rPr>
          <w:rFonts w:ascii="arial" w:eastAsia="arial" w:hAnsi="arial" w:cs="arial"/>
          <w:color w:val="000000"/>
          <w:sz w:val="20"/>
          <w:lang w:val="en-US" w:eastAsia="en-US" w:bidi="ar-SA"/>
        </w:rPr>
        <w:t xml:space="preserve">, </w:t>
      </w:r>
      <w:hyperlink r:id="rId1054" w:history="1">
        <w:r>
          <w:rPr>
            <w:rFonts w:ascii="arial" w:eastAsia="arial" w:hAnsi="arial" w:cs="arial"/>
            <w:i/>
            <w:color w:val="0077CC"/>
            <w:sz w:val="20"/>
            <w:u w:val="single"/>
            <w:shd w:val="clear" w:color="auto" w:fill="FFFFFF"/>
            <w:lang w:val="en-US" w:eastAsia="en-US" w:bidi="ar-SA"/>
          </w:rPr>
          <w:t>2000 BCSC 700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D.B. v. Children's Aid Society of Durham Region</w:t>
      </w:r>
      <w:r>
        <w:rPr>
          <w:rFonts w:ascii="arial" w:eastAsia="arial" w:hAnsi="arial" w:cs="arial"/>
          <w:color w:val="000000"/>
          <w:sz w:val="20"/>
          <w:lang w:val="en-US" w:eastAsia="en-US" w:bidi="ar-SA"/>
        </w:rPr>
        <w:t xml:space="preserve">, </w:t>
      </w:r>
      <w:hyperlink r:id="rId1055" w:history="1">
        <w:r>
          <w:rPr>
            <w:rFonts w:ascii="arial" w:eastAsia="arial" w:hAnsi="arial" w:cs="arial"/>
            <w:i/>
            <w:color w:val="0077CC"/>
            <w:sz w:val="20"/>
            <w:u w:val="single"/>
            <w:shd w:val="clear" w:color="auto" w:fill="FFFFFF"/>
            <w:lang w:val="en-US" w:eastAsia="en-US" w:bidi="ar-SA"/>
          </w:rPr>
          <w:t>[1994] O.J. No. 643</w:t>
        </w:r>
      </w:hyperlink>
      <w:r>
        <w:rPr>
          <w:rFonts w:ascii="arial" w:eastAsia="arial" w:hAnsi="arial" w:cs="arial"/>
          <w:color w:val="000000"/>
          <w:sz w:val="20"/>
          <w:lang w:val="en-US" w:eastAsia="en-US" w:bidi="ar-SA"/>
        </w:rPr>
        <w:t xml:space="preserve"> (Gen. Div.), </w:t>
      </w:r>
      <w:r>
        <w:rPr>
          <w:rFonts w:ascii="arial" w:eastAsia="arial" w:hAnsi="arial" w:cs="arial"/>
          <w:color w:val="000000"/>
          <w:sz w:val="20"/>
          <w:u w:val="single"/>
          <w:lang w:val="en-US" w:eastAsia="en-US" w:bidi="ar-SA"/>
        </w:rPr>
        <w:t>aff'd</w:t>
      </w:r>
      <w:r>
        <w:rPr>
          <w:rFonts w:ascii="arial" w:eastAsia="arial" w:hAnsi="arial" w:cs="arial"/>
          <w:color w:val="000000"/>
          <w:sz w:val="20"/>
          <w:lang w:val="en-US" w:eastAsia="en-US" w:bidi="ar-SA"/>
        </w:rPr>
        <w:t xml:space="preserve"> </w:t>
      </w:r>
      <w:hyperlink r:id="rId1056" w:history="1">
        <w:r>
          <w:rPr>
            <w:rFonts w:ascii="arial" w:eastAsia="arial" w:hAnsi="arial" w:cs="arial"/>
            <w:i/>
            <w:color w:val="0077CC"/>
            <w:sz w:val="20"/>
            <w:u w:val="single"/>
            <w:shd w:val="clear" w:color="auto" w:fill="FFFFFF"/>
            <w:lang w:val="en-US" w:eastAsia="en-US" w:bidi="ar-SA"/>
          </w:rPr>
          <w:t>(1996), 136 D.L.R. (4th) 297</w:t>
        </w:r>
      </w:hyperlink>
      <w:r>
        <w:rPr>
          <w:rFonts w:ascii="arial" w:eastAsia="arial" w:hAnsi="arial" w:cs="arial"/>
          <w:color w:val="000000"/>
          <w:sz w:val="20"/>
          <w:lang w:val="en-US" w:eastAsia="en-US" w:bidi="ar-SA"/>
        </w:rPr>
        <w:t xml:space="preserve">, </w:t>
      </w:r>
      <w:hyperlink r:id="rId1056" w:history="1">
        <w:r>
          <w:rPr>
            <w:rFonts w:ascii="arial" w:eastAsia="arial" w:hAnsi="arial" w:cs="arial"/>
            <w:i/>
            <w:color w:val="0077CC"/>
            <w:sz w:val="20"/>
            <w:u w:val="single"/>
            <w:shd w:val="clear" w:color="auto" w:fill="FFFFFF"/>
            <w:lang w:val="en-US" w:eastAsia="en-US" w:bidi="ar-SA"/>
          </w:rPr>
          <w:t>92 O.A.C. 60</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A.A.D. v. Tanner</w:t>
      </w:r>
      <w:r>
        <w:rPr>
          <w:rFonts w:ascii="arial" w:eastAsia="arial" w:hAnsi="arial" w:cs="arial"/>
          <w:color w:val="000000"/>
          <w:sz w:val="20"/>
          <w:lang w:val="en-US" w:eastAsia="en-US" w:bidi="ar-SA"/>
        </w:rPr>
        <w:t xml:space="preserve"> </w:t>
      </w:r>
      <w:hyperlink r:id="rId1057" w:history="1">
        <w:r>
          <w:rPr>
            <w:rFonts w:ascii="arial" w:eastAsia="arial" w:hAnsi="arial" w:cs="arial"/>
            <w:i/>
            <w:color w:val="0077CC"/>
            <w:sz w:val="20"/>
            <w:u w:val="single"/>
            <w:shd w:val="clear" w:color="auto" w:fill="FFFFFF"/>
            <w:lang w:val="en-US" w:eastAsia="en-US" w:bidi="ar-SA"/>
          </w:rPr>
          <w:t>(2004), 188 Man. R. (2d) 15</w:t>
        </w:r>
      </w:hyperlink>
      <w:r>
        <w:rPr>
          <w:rFonts w:ascii="arial" w:eastAsia="arial" w:hAnsi="arial" w:cs="arial"/>
          <w:color w:val="000000"/>
          <w:sz w:val="20"/>
          <w:lang w:val="en-US" w:eastAsia="en-US" w:bidi="ar-SA"/>
        </w:rPr>
        <w:t xml:space="preserve"> (QB). Since </w:t>
      </w:r>
      <w:r>
        <w:rPr>
          <w:rFonts w:ascii="arial" w:eastAsia="arial" w:hAnsi="arial" w:cs="arial"/>
          <w:b/>
          <w:i/>
          <w:color w:val="000000"/>
          <w:sz w:val="20"/>
          <w:lang w:val="en-US" w:eastAsia="en-US" w:bidi="ar-SA"/>
        </w:rPr>
        <w:t>Syl Apps</w:t>
      </w:r>
      <w:r>
        <w:rPr>
          <w:rFonts w:ascii="arial" w:eastAsia="arial" w:hAnsi="arial" w:cs="arial"/>
          <w:color w:val="000000"/>
          <w:sz w:val="20"/>
          <w:lang w:val="en-US" w:eastAsia="en-US" w:bidi="ar-SA"/>
        </w:rPr>
        <w:t xml:space="preserve"> was decided, courts have almost unanimously found that child protection authorities do not owe a duty of care to family members of children in their care: see </w:t>
      </w:r>
      <w:r>
        <w:rPr>
          <w:rFonts w:ascii="arial" w:eastAsia="arial" w:hAnsi="arial" w:cs="arial"/>
          <w:b/>
          <w:i/>
          <w:color w:val="000000"/>
          <w:sz w:val="20"/>
          <w:lang w:val="en-US" w:eastAsia="en-US" w:bidi="ar-SA"/>
        </w:rPr>
        <w:t>P.K.A. v. Children's Aid Society of Toronto</w:t>
      </w:r>
      <w:r>
        <w:rPr>
          <w:rFonts w:ascii="arial" w:eastAsia="arial" w:hAnsi="arial" w:cs="arial"/>
          <w:color w:val="000000"/>
          <w:sz w:val="20"/>
          <w:lang w:val="en-US" w:eastAsia="en-US" w:bidi="ar-SA"/>
        </w:rPr>
        <w:t>, 2007 Carswell Ont. 6808, (</w:t>
      </w:r>
      <w:r>
        <w:rPr>
          <w:rFonts w:ascii="arial" w:eastAsia="arial" w:hAnsi="arial" w:cs="arial"/>
          <w:i/>
          <w:color w:val="000000"/>
          <w:sz w:val="20"/>
          <w:lang w:val="en-US" w:eastAsia="en-US" w:bidi="ar-SA"/>
        </w:rPr>
        <w:t xml:space="preserve">sub nom. </w:t>
      </w:r>
      <w:r>
        <w:rPr>
          <w:rFonts w:ascii="arial" w:eastAsia="arial" w:hAnsi="arial" w:cs="arial"/>
          <w:b/>
          <w:i/>
          <w:color w:val="000000"/>
          <w:sz w:val="20"/>
          <w:lang w:val="en-US" w:eastAsia="en-US" w:bidi="ar-SA"/>
        </w:rPr>
        <w:t>Pearce v. Children's Aid Society of Toronto</w:t>
      </w:r>
      <w:r>
        <w:rPr>
          <w:rFonts w:ascii="arial" w:eastAsia="arial" w:hAnsi="arial" w:cs="arial"/>
          <w:color w:val="000000"/>
          <w:sz w:val="20"/>
          <w:lang w:val="en-US" w:eastAsia="en-US" w:bidi="ar-SA"/>
        </w:rPr>
        <w:t xml:space="preserve">), </w:t>
      </w:r>
      <w:hyperlink r:id="rId1058" w:history="1">
        <w:r>
          <w:rPr>
            <w:rFonts w:ascii="arial" w:eastAsia="arial" w:hAnsi="arial" w:cs="arial"/>
            <w:i/>
            <w:color w:val="0077CC"/>
            <w:sz w:val="20"/>
            <w:u w:val="single"/>
            <w:shd w:val="clear" w:color="auto" w:fill="FFFFFF"/>
            <w:lang w:val="en-US" w:eastAsia="en-US" w:bidi="ar-SA"/>
          </w:rPr>
          <w:t>[2007] O.J. No. 4091</w:t>
        </w:r>
      </w:hyperlink>
      <w:r>
        <w:rPr>
          <w:rFonts w:ascii="arial" w:eastAsia="arial" w:hAnsi="arial" w:cs="arial"/>
          <w:color w:val="000000"/>
          <w:sz w:val="20"/>
          <w:lang w:val="en-US" w:eastAsia="en-US" w:bidi="ar-SA"/>
        </w:rPr>
        <w:t xml:space="preserve"> (Sup. Ct. Jus.); </w:t>
      </w:r>
      <w:r>
        <w:rPr>
          <w:rFonts w:ascii="arial" w:eastAsia="arial" w:hAnsi="arial" w:cs="arial"/>
          <w:b/>
          <w:i/>
          <w:color w:val="000000"/>
          <w:sz w:val="20"/>
          <w:lang w:val="en-US" w:eastAsia="en-US" w:bidi="ar-SA"/>
        </w:rPr>
        <w:t>Ashford v. Children's Aid Society of Cape-Breton Victoria</w:t>
      </w:r>
      <w:r>
        <w:rPr>
          <w:rFonts w:ascii="arial" w:eastAsia="arial" w:hAnsi="arial" w:cs="arial"/>
          <w:color w:val="000000"/>
          <w:sz w:val="20"/>
          <w:lang w:val="en-US" w:eastAsia="en-US" w:bidi="ar-SA"/>
        </w:rPr>
        <w:t xml:space="preserve">, </w:t>
      </w:r>
      <w:hyperlink r:id="rId1059" w:history="1">
        <w:r>
          <w:rPr>
            <w:rFonts w:ascii="arial" w:eastAsia="arial" w:hAnsi="arial" w:cs="arial"/>
            <w:i/>
            <w:color w:val="0077CC"/>
            <w:sz w:val="20"/>
            <w:u w:val="single"/>
            <w:shd w:val="clear" w:color="auto" w:fill="FFFFFF"/>
            <w:lang w:val="en-US" w:eastAsia="en-US" w:bidi="ar-SA"/>
          </w:rPr>
          <w:t>2008 NSSC 73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sub nom. </w:t>
      </w:r>
      <w:r>
        <w:rPr>
          <w:rFonts w:ascii="arial" w:eastAsia="arial" w:hAnsi="arial" w:cs="arial"/>
          <w:b/>
          <w:i/>
          <w:color w:val="000000"/>
          <w:sz w:val="20"/>
          <w:lang w:val="en-US" w:eastAsia="en-US" w:bidi="ar-SA"/>
        </w:rPr>
        <w:t>L.L.A. v. C.A.S.</w:t>
      </w:r>
      <w:r>
        <w:rPr>
          <w:rFonts w:ascii="arial" w:eastAsia="arial" w:hAnsi="arial" w:cs="arial"/>
          <w:color w:val="000000"/>
          <w:sz w:val="20"/>
          <w:lang w:val="en-US" w:eastAsia="en-US" w:bidi="ar-SA"/>
        </w:rPr>
        <w:t xml:space="preserve">), </w:t>
      </w:r>
      <w:hyperlink r:id="rId1059" w:history="1">
        <w:r>
          <w:rPr>
            <w:rFonts w:ascii="arial" w:eastAsia="arial" w:hAnsi="arial" w:cs="arial"/>
            <w:i/>
            <w:color w:val="0077CC"/>
            <w:sz w:val="20"/>
            <w:u w:val="single"/>
            <w:shd w:val="clear" w:color="auto" w:fill="FFFFFF"/>
            <w:lang w:val="en-US" w:eastAsia="en-US" w:bidi="ar-SA"/>
          </w:rPr>
          <w:t>263 N.S.R.(2d) 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D.C. v. Children's Aid Society of Cape Breton Victoria</w:t>
      </w:r>
      <w:r>
        <w:rPr>
          <w:rFonts w:ascii="arial" w:eastAsia="arial" w:hAnsi="arial" w:cs="arial"/>
          <w:color w:val="000000"/>
          <w:sz w:val="20"/>
          <w:lang w:val="en-US" w:eastAsia="en-US" w:bidi="ar-SA"/>
        </w:rPr>
        <w:t xml:space="preserve">, </w:t>
      </w:r>
      <w:hyperlink r:id="rId1060" w:history="1">
        <w:r>
          <w:rPr>
            <w:rFonts w:ascii="arial" w:eastAsia="arial" w:hAnsi="arial" w:cs="arial"/>
            <w:i/>
            <w:color w:val="0077CC"/>
            <w:sz w:val="20"/>
            <w:u w:val="single"/>
            <w:shd w:val="clear" w:color="auto" w:fill="FFFFFF"/>
            <w:lang w:val="en-US" w:eastAsia="en-US" w:bidi="ar-SA"/>
          </w:rPr>
          <w:t>2009 NSCA 73</w:t>
        </w:r>
      </w:hyperlink>
      <w:r>
        <w:rPr>
          <w:rFonts w:ascii="arial" w:eastAsia="arial" w:hAnsi="arial" w:cs="arial"/>
          <w:color w:val="000000"/>
          <w:sz w:val="20"/>
          <w:lang w:val="en-US" w:eastAsia="en-US" w:bidi="ar-SA"/>
        </w:rPr>
        <w:t xml:space="preserve">, </w:t>
      </w:r>
      <w:hyperlink r:id="rId1060" w:history="1">
        <w:r>
          <w:rPr>
            <w:rFonts w:ascii="arial" w:eastAsia="arial" w:hAnsi="arial" w:cs="arial"/>
            <w:i/>
            <w:color w:val="0077CC"/>
            <w:sz w:val="20"/>
            <w:u w:val="single"/>
            <w:shd w:val="clear" w:color="auto" w:fill="FFFFFF"/>
            <w:lang w:val="en-US" w:eastAsia="en-US" w:bidi="ar-SA"/>
          </w:rPr>
          <w:t>278 N.S.R. (2d) 394</w:t>
        </w:r>
      </w:hyperlink>
      <w:r>
        <w:rPr>
          <w:rFonts w:ascii="arial" w:eastAsia="arial" w:hAnsi="arial" w:cs="arial"/>
          <w:color w:val="000000"/>
          <w:sz w:val="20"/>
          <w:lang w:val="en-US" w:eastAsia="en-US" w:bidi="ar-SA"/>
        </w:rPr>
        <w:t xml:space="preserve">. These cases all find, for reasons similar to those in </w:t>
      </w:r>
      <w:r>
        <w:rPr>
          <w:rFonts w:ascii="arial" w:eastAsia="arial" w:hAnsi="arial" w:cs="arial"/>
          <w:b/>
          <w:i/>
          <w:color w:val="000000"/>
          <w:sz w:val="20"/>
          <w:lang w:val="en-US" w:eastAsia="en-US" w:bidi="ar-SA"/>
        </w:rPr>
        <w:t>Syl Apps</w:t>
      </w:r>
      <w:r>
        <w:rPr>
          <w:rFonts w:ascii="arial" w:eastAsia="arial" w:hAnsi="arial" w:cs="arial"/>
          <w:color w:val="000000"/>
          <w:sz w:val="20"/>
          <w:lang w:val="en-US" w:eastAsia="en-US" w:bidi="ar-SA"/>
        </w:rPr>
        <w:t>, that the proximity test is not met due to the conflict that such a duty would place on the child protection authorities, who are obligated to ensure that the best interests of the child are met. Thomas J.'s decision is consistent with this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Alberta Court of Appeal then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While we consider ourselves bound by this finding in </w:t>
      </w:r>
      <w:r>
        <w:rPr>
          <w:rFonts w:ascii="arial" w:eastAsia="arial" w:hAnsi="arial" w:cs="arial"/>
          <w:b/>
          <w:i/>
          <w:color w:val="000000"/>
          <w:sz w:val="20"/>
          <w:lang w:val="en-US" w:eastAsia="en-US" w:bidi="ar-SA"/>
        </w:rPr>
        <w:t>Syl Apps</w:t>
      </w:r>
      <w:r>
        <w:rPr>
          <w:rFonts w:ascii="arial" w:eastAsia="arial" w:hAnsi="arial" w:cs="arial"/>
          <w:color w:val="000000"/>
          <w:sz w:val="20"/>
          <w:lang w:val="en-US" w:eastAsia="en-US" w:bidi="ar-SA"/>
        </w:rPr>
        <w:t xml:space="preserve">, we would reach the same conclusion even without the benefit of the Supreme Court's ruling. The above-referenced legislative provisions are only some of the factors to be considered when making decisions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Though they recognize that the interests of the families and the maintenance of the family unit should be taken into account, the overriding premise remains that any decisions made in relation to a child in need of protection must be governed by the best interests of that child. Unfortunately, the well-being of a child will not always align with the interests of that child's parents and siblings, and too often the two will conflict. This reality reflects the fact that child welfare authorities are often in the unenviable position of having to make hard and difficult choices when making decisions for a child in need of protective services. Importing a duty of care in favour of the child's family members into this mix is both unwarranted and undesirable, as the potential for conflict will place additional undue strain on child welfare authorities and creates unnecessary policy consequences.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Accordingly, we find that the statutory scheme gives rise to an inherent conflict, such that a duty of care is precluded. To find otherwise would place undue and unwanted pressure on the Director to make decisions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that may not align with the overriding policy objective of ensuring the best interests of the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fact that the Ministry had prior dealings with the family does not in my view establish that the Ministry and social workers owed a duty of care. It does not overcome the inherent conflict that precludes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As a result the plaintiff's claims fail at the duty of care stage. The Crown and the individual social workers do not owe the plaintiff a private law duty of care in this case as such would conflict directly with their paramount duty to children. The circumstances of this case are very similar to those in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xml:space="preserve">. As in </w:t>
      </w:r>
      <w:r>
        <w:rPr>
          <w:rFonts w:ascii="arial" w:eastAsia="arial" w:hAnsi="arial" w:cs="arial"/>
          <w:i/>
          <w:color w:val="000000"/>
          <w:sz w:val="20"/>
          <w:lang w:val="en-US" w:eastAsia="en-US" w:bidi="ar-SA"/>
        </w:rPr>
        <w:t>Harrison</w:t>
      </w:r>
      <w:r>
        <w:rPr>
          <w:rFonts w:ascii="arial" w:eastAsia="arial" w:hAnsi="arial" w:cs="arial"/>
          <w:color w:val="000000"/>
          <w:sz w:val="20"/>
          <w:lang w:val="en-US" w:eastAsia="en-US" w:bidi="ar-SA"/>
        </w:rPr>
        <w:t xml:space="preserve"> I see no basis to distinguish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xml:space="preserve"> on the issue of the inherent conflict that exists if a duty of care to the parent is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referred to a number of additional authorities however they focus on the issue of standard of care and the issue of good faith. The issue of standard of care only arises if a duty of care is found, as does reliance on s. 101. As such a duty has not been found I need not address the issue of standard of care nor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claims against the Province as represented by the Minister of Child and Family Development and the individual social workers in actions 15740 and 15732 are therefore struck and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Application of Individual RCMP Officers in Action 15732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plaintiff claims that the defendants Smith, Brown and Wenger were negligent in their investigation of the sexual assault complaints against her. She alleges a duty of care, and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described as arising from "improper and inadequate investigation regarding [the plaintiff's] innocence, improper investigation at the SCAN Clinic directed by the Serious Crimes Unit of the RCMP and for failing to investigate relevant charges and the children's father and his common law spouse prior to November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defendants apply pursuant to Rule 9-5(1)(a) for an order striking the pleadings for failing to disclose a reasonable cause of action. Specifically that the pleadings fail to plead all elements of the civil tort of negligent investigation and further that they fail to plead the elements required for imposing personal liability on a police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defendants Smith, Brown and Wenger were at all material times acting in the course and scope of the execution of their duties as peace officers and members of the RCMP, both at common law and in accordance with s. 9 of the </w:t>
      </w:r>
      <w:r>
        <w:rPr>
          <w:rFonts w:ascii="arial" w:eastAsia="arial" w:hAnsi="arial" w:cs="arial"/>
          <w:i/>
          <w:color w:val="000000"/>
          <w:sz w:val="20"/>
          <w:lang w:val="en-US" w:eastAsia="en-US" w:bidi="ar-SA"/>
        </w:rPr>
        <w:t>Royal Canadian Mounted Police Act</w:t>
      </w:r>
      <w:r>
        <w:rPr>
          <w:rFonts w:ascii="arial" w:eastAsia="arial" w:hAnsi="arial" w:cs="arial"/>
          <w:color w:val="000000"/>
          <w:sz w:val="20"/>
          <w:lang w:val="en-US" w:eastAsia="en-US" w:bidi="ar-SA"/>
        </w:rPr>
        <w:t xml:space="preserve">, </w:t>
      </w:r>
      <w:hyperlink r:id="rId889" w:history="1">
        <w:r>
          <w:rPr>
            <w:rFonts w:ascii="arial" w:eastAsia="arial" w:hAnsi="arial" w:cs="arial"/>
            <w:i/>
            <w:color w:val="0077CC"/>
            <w:sz w:val="20"/>
            <w:u w:val="single"/>
            <w:shd w:val="clear" w:color="auto" w:fill="FFFFFF"/>
            <w:lang w:val="en-US" w:eastAsia="en-US" w:bidi="ar-SA"/>
          </w:rPr>
          <w:t>R.S.C. 1985, c. R-10</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RCMP Act</w:t>
      </w:r>
      <w:r>
        <w:rPr>
          <w:rFonts w:ascii="arial" w:eastAsia="arial" w:hAnsi="arial" w:cs="arial"/>
          <w:color w:val="000000"/>
          <w:sz w:val="20"/>
          <w:lang w:val="en-US" w:eastAsia="en-US" w:bidi="ar-SA"/>
        </w:rPr>
        <w:t xml:space="preserve">"). There was during the relevant time period an agreement between the governments of BC and Canada pursuant to s. 14(1)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xml:space="preserve"> and s. 20 of the </w:t>
      </w:r>
      <w:r>
        <w:rPr>
          <w:rFonts w:ascii="arial" w:eastAsia="arial" w:hAnsi="arial" w:cs="arial"/>
          <w:i/>
          <w:color w:val="000000"/>
          <w:sz w:val="20"/>
          <w:lang w:val="en-US" w:eastAsia="en-US" w:bidi="ar-SA"/>
        </w:rPr>
        <w:t>RCMP Act</w:t>
      </w:r>
      <w:r>
        <w:rPr>
          <w:rFonts w:ascii="arial" w:eastAsia="arial" w:hAnsi="arial" w:cs="arial"/>
          <w:color w:val="000000"/>
          <w:sz w:val="20"/>
          <w:lang w:val="en-US" w:eastAsia="en-US" w:bidi="ar-SA"/>
        </w:rPr>
        <w:t xml:space="preserve"> whereby the RCMP was authorized to carry out the powers and duties of a provincial police force. Pursuant to s. 14(2)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they were deemed to be provincial constables.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Pleadings must clearly define the issues of facts and law. Material facts must be clearly stated. Rule 3-1(2)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requires that a notice of civil claim:</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a concise statement of the material facts giving rise to the claim;</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the relief sought by the plaintiff against each named defendant;</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a concise summary of the legal basis for the relief sought;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purpose of pleadings is to define the issues of fact and law that are to be determined by the court. That includes defining the issues for each cause of action and setting out the material facts being those facts that are necessary to formulate a complete cause of action (</w:t>
      </w:r>
      <w:r>
        <w:rPr>
          <w:rFonts w:ascii="arial" w:eastAsia="arial" w:hAnsi="arial" w:cs="arial"/>
          <w:i/>
          <w:color w:val="000000"/>
          <w:sz w:val="20"/>
          <w:lang w:val="en-US" w:eastAsia="en-US" w:bidi="ar-SA"/>
        </w:rPr>
        <w:t>Homalco</w:t>
      </w:r>
      <w:r>
        <w:rPr>
          <w:rFonts w:ascii="arial" w:eastAsia="arial" w:hAnsi="arial" w:cs="arial"/>
          <w:color w:val="000000"/>
          <w:sz w:val="20"/>
          <w:lang w:val="en-US" w:eastAsia="en-US" w:bidi="ar-SA"/>
        </w:rPr>
        <w:t xml:space="preserve"> at para.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Stoneman v. Denman Island Local Trust Committee,</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2010 BCSC 636</w:t>
        </w:r>
      </w:hyperlink>
      <w:r>
        <w:rPr>
          <w:rFonts w:ascii="arial" w:eastAsia="arial" w:hAnsi="arial" w:cs="arial"/>
          <w:color w:val="000000"/>
          <w:sz w:val="20"/>
          <w:lang w:val="en-US" w:eastAsia="en-US" w:bidi="ar-SA"/>
        </w:rPr>
        <w:t xml:space="preserve"> at para.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 The requirement is simply to set out the material facts upon which the plaintiff relies to support a cause of action known to law. However, when it is apparent that several causes of action are being alleged against multiple defendants, then unless the statement of claim sets out with clarity what facts relate to what cause of action and against which defendant, the pleading fails to "clearly define the issues of fact and law to be determined by the court": </w:t>
      </w:r>
      <w:r>
        <w:rPr>
          <w:rFonts w:ascii="arial" w:eastAsia="arial" w:hAnsi="arial" w:cs="arial"/>
          <w:i/>
          <w:color w:val="000000"/>
          <w:sz w:val="20"/>
          <w:lang w:val="en-US" w:eastAsia="en-US" w:bidi="ar-SA"/>
        </w:rPr>
        <w:t>Homalco</w:t>
      </w:r>
      <w:r>
        <w:rPr>
          <w:rFonts w:ascii="arial" w:eastAsia="arial" w:hAnsi="arial" w:cs="arial"/>
          <w:color w:val="000000"/>
          <w:sz w:val="20"/>
          <w:lang w:val="en-US" w:eastAsia="en-US" w:bidi="ar-SA"/>
        </w:rPr>
        <w:t xml:space="preserve"> at para.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However, as mentioned above, it is only if it is plain and obvious that the plaintiff's notice of civil claim discloses no reasonable cause of action that it should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purpose of the power to strike was summarized in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[2011] 3 S.C.R. 45</w:t>
        </w:r>
      </w:hyperlink>
      <w:r>
        <w:rPr>
          <w:rFonts w:ascii="arial" w:eastAsia="arial" w:hAnsi="arial" w:cs="arial"/>
          <w:color w:val="000000"/>
          <w:sz w:val="20"/>
          <w:lang w:val="en-US" w:eastAsia="en-US" w:bidi="ar-SA"/>
        </w:rPr>
        <w:t xml:space="preserve"> at paras. 19 and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The power to strike out claims that have no reasonable prospect of success is a valuable housekeeping measure essential to effective and fair litigation. It unclutters the proceedings, weeding out the hopeless claims and ensuring that those that have some chance of success go on to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This promotes two goods -- efficiency in the conduct of the litigation and correct results. Striking out claims that have no reasonable prospect of success promotes litigation efficiency, reducing time and cost. The litigants can focus on serious claims, without devoting days and sometimes weeks of evidence and argument to claims that are in any event hopeless. The same applies to judges and juries, whose attention is focused where it should be - on claims that have a reasonable chance of success. The efficiency gained by weeding out unmeritorious claims in turn contributes to better justice. The more the evidence and arguments are trained on the real issues, the more likely it is that the trial process will successfully come to grips with the parties' respective positions on those issues and the merits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plaintiff's pleadings make the following allegations of negligent investigation: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August 6, 2008 the Defendant Wenger consulted with the Defendant Jeffery Foreman, a Smith[e]rs social worker, with respect to his pending arrest of the Plaintiff and the proposed removal of [L.G.] from the Plaintiff's home.</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6, 2008, the Defendant Wenger without any interview with her contacts in the community unlawfully arrested [the Plaintiff] on suspicion of sexual assault on her male children by [sic] and unlawfully imprisoned her for more than 4 hours at the Smithers RCMP detachment despite the Plaintiff having no criminal record, having resided in the Bulkley Valley for years, on the basis of allegations that had not been properly investigated.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requested and many other concerned citizens urged the investigation be continued regarding the source of the complaints. The Defendant officers failed to follow the RCMP operation manual directing investigations of mischief once the sexual assault complaint file was closed. [The Plaintiff] conveyed her suspicious of coaching false complaints, mischief, conspiracy to prosecute her for a crime the complainants knew to be false yet on October 20th, 2008, the Defendant Staff Sergeant Quintin Smith, Major Crimes Unit Commander refused to undertake further interviews to continue the investigation in blatant disregard of the operation manual.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And para. 1 of Part 3: Amended Legal Basis reads as follows:</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Constables Wenger, Brown and Staff Sargent Quintin Smith, owed her a duty of care to investigate possible exculpatory evidence. Reasonable officers in similar circumstances would have done so given: the serious nature of the allegations, the improbable facts upon which the allegations were based, the </w:t>
      </w:r>
      <w:r>
        <w:rPr>
          <w:rFonts w:ascii="arial" w:eastAsia="arial" w:hAnsi="arial" w:cs="arial"/>
          <w:b/>
          <w:color w:val="000000"/>
          <w:sz w:val="20"/>
          <w:lang w:val="en-US" w:eastAsia="en-US" w:bidi="ar-SA"/>
        </w:rPr>
        <w:t>potential</w:t>
      </w:r>
      <w:r>
        <w:rPr>
          <w:rFonts w:ascii="arial" w:eastAsia="arial" w:hAnsi="arial" w:cs="arial"/>
          <w:color w:val="000000"/>
          <w:sz w:val="20"/>
          <w:lang w:val="en-US" w:eastAsia="en-US" w:bidi="ar-SA"/>
        </w:rPr>
        <w:t xml:space="preserve"> for irreparable damage to the family unit, the possibility of life imprisonment, and the stigma associated with sexual offenses generally and against children specifically.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RCMP members Wenger, Brown and Smith requires that the plaintiff establish the following:</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investigating officers owed her a duty of care;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investigating officers failed to meet the appropriate standard of care;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suffered a compensable loss or injury;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loss or injury was caused by the officers' negligent act or omission.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Hill v. Hamilton-Wentworth Regional Police Services Board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plaintiff's pleadings consist substantially of a narrative of events containing various opinions and conclusory statements. They are notably deficient in addressing the issues of fact and law. Counsel for the plaintiff argues that the amended notice of civil claim sets out sufficient facts to show that the officers were clearly involved in the investigation. With respect that is not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For example, with respect to Staff Sergeant Smith the pleadings make no other mention of him than noted above. What is pleaded relates to an allegation that he failed to investigate further charges after the investigation was concluded. There are no facts pleaded that he was involved in the investigation in issue and no facts showing there was a duty of care. There is no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With respect to Constable Brown the only mention of Brown is the allegation that she took a statement from one of the children. There are no allegations she was involved in the decision to arrest or detain the plaintiff nor that she was part of the investigation and even if she was investigating, no facts are pleaded that she breached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With respect to Constable Wenger the amended notice of civil claim quoted above does properly allege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Generally the pleadings fail to address the necessary elements of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noted earlier. There are no allegations of a failure to meet the standard of care, there are no allegations that the plaintiff suffered loss or injury or that loss or injury was caused by the officers' negligent act or omission. As a result a reasonable cause of action is not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addition with respect to all three defendant officers the pleadings name them only in their personal capacity yet make no allegations that would attract personal liability given s. 21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Section 21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(1) In this section, </w:t>
      </w:r>
      <w:r>
        <w:rPr>
          <w:rFonts w:ascii="arial" w:eastAsia="arial" w:hAnsi="arial" w:cs="arial"/>
          <w:b/>
          <w:color w:val="000000"/>
          <w:sz w:val="20"/>
          <w:lang w:val="en-US" w:eastAsia="en-US" w:bidi="ar-SA"/>
        </w:rPr>
        <w:t>"police officer"</w:t>
      </w:r>
      <w:r>
        <w:rPr>
          <w:rFonts w:ascii="arial" w:eastAsia="arial" w:hAnsi="arial" w:cs="arial"/>
          <w:color w:val="000000"/>
          <w:sz w:val="20"/>
          <w:lang w:val="en-US" w:eastAsia="en-US" w:bidi="ar-SA"/>
        </w:rPr>
        <w:t xml:space="preserve"> means either of the following:</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holding an appointment as a constable under this Act;</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IIO Investigator.</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action for damages lies against a police officer or any other person appointed under this Act for anything said or done or omitted to be said or done by him or her in the performance or intended performance of his or her duty or in the exercise of his or her power or for any alleged neglect or default in the performance or intended performance of his or her duty or exercise of his or her power.</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(2) does not provide a defence if</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police officer or other person appointed under this Act has, in relation to the conduct that is the subject matter of action, been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wilful misconduct, or</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 is libel or slander.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pleadings do not allege that the defendants' conduct was dishonest, grossly negligent, malicious or wilful misconduct nor do they set out a cause of action in libel or slander. The defendants submit the result is there is no cause of action alleged against the defendants as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plaintiff submits the amended notice of civil claim does set out circumstances that if proven establish personal liability. She submits as a result the conduct of the officers is a matter for trial and refers to the comments of Mr. Justice Verhoeven in </w:t>
      </w:r>
      <w:r>
        <w:rPr>
          <w:rFonts w:ascii="arial" w:eastAsia="arial" w:hAnsi="arial" w:cs="arial"/>
          <w:i/>
          <w:color w:val="000000"/>
          <w:sz w:val="20"/>
          <w:lang w:val="en-US" w:eastAsia="en-US" w:bidi="ar-SA"/>
        </w:rPr>
        <w:t>Adams v. Hughes</w:t>
      </w:r>
      <w:r>
        <w:rPr>
          <w:rFonts w:ascii="arial" w:eastAsia="arial" w:hAnsi="arial" w:cs="arial"/>
          <w:color w:val="000000"/>
          <w:sz w:val="20"/>
          <w:lang w:val="en-US" w:eastAsia="en-US" w:bidi="ar-SA"/>
        </w:rPr>
        <w:t xml:space="preserve">, </w:t>
      </w:r>
      <w:hyperlink r:id="rId1061" w:history="1">
        <w:r>
          <w:rPr>
            <w:rFonts w:ascii="arial" w:eastAsia="arial" w:hAnsi="arial" w:cs="arial"/>
            <w:i/>
            <w:color w:val="0077CC"/>
            <w:sz w:val="20"/>
            <w:u w:val="single"/>
            <w:shd w:val="clear" w:color="auto" w:fill="FFFFFF"/>
            <w:lang w:val="en-US" w:eastAsia="en-US" w:bidi="ar-SA"/>
          </w:rPr>
          <w:t>2011 BCSC 1804</w:t>
        </w:r>
      </w:hyperlink>
      <w:r>
        <w:rPr>
          <w:rFonts w:ascii="arial" w:eastAsia="arial" w:hAnsi="arial" w:cs="arial"/>
          <w:color w:val="000000"/>
          <w:sz w:val="20"/>
          <w:lang w:val="en-US" w:eastAsia="en-US" w:bidi="ar-SA"/>
        </w:rPr>
        <w:t xml:space="preserve"> at para.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Section 21(3)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does not carve out exceptions to the general immunity of a police officer based on legal causes of action. It speaks in terms of the conduct that is the subject matter of the action. The section provides a defence to the police officer, in that no action for damages lies against him or her unless the conduct that is the subject matter of the action comes within the terms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wilful misconduct". Therefore, whether a police officer's conduct falls within those terms will usually be determined upon examination of the facts, most likely at trial, or possibly on a summary trial application, where facts can be found. That is not the nature of the application before me. Nor, as I have said, are the pleadings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the matter before the court was the sufficiency of the pleadings. In the circumstances, Verhoeven J. did not dismiss the actions against the police officer, but ordered the claims be struck and amended by new pleadings. Likewise in this case the question is sufficiency of pleadings, and likewise in this case the pleadings are not helpful. As pleaded the issues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wilful misconduct" are not discernable. Their presence is speculative at best.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Notwithstanding the plaintiff's argument that the circumstances do support a claim of personal liability of the officers, during submissions plaintiff's counsel conceded that the pleadings are deficient but argues they are capable of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 agree and therefore strike parts of the plaintiff's claims against the police officers with leave to amend. As a result para. 10 is struck with the exception of the portion that relates to the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Cst. Wenger. Paragraphs 8-9 and 11-29 are struck as in my view they are not capable of piecemeal amendment. New pleadings are required, which must comply with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and the applicable principles of pleading noted earlier. The further amended notice of civil claim must be filed and served within 30 days of the date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defendant Ministry and the social works shall have their costs. The costs of the defendant RCMP officers shall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PUNNETT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2" style="position:absolute;z-index:251894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62"/>
          <w:headerReference w:type="default" r:id="rId1063"/>
          <w:footerReference w:type="even" r:id="rId1064"/>
          <w:footerReference w:type="default" r:id="rId1065"/>
          <w:headerReference w:type="first" r:id="rId1066"/>
          <w:footerReference w:type="first" r:id="rId106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68" w:history="1">
        <w:r>
          <w:rPr>
            <w:rFonts w:ascii="arial" w:eastAsia="arial" w:hAnsi="arial" w:cs="arial"/>
            <w:b/>
            <w:bCs/>
            <w:i/>
            <w:color w:val="0077CC"/>
            <w:kern w:val="32"/>
            <w:sz w:val="28"/>
            <w:szCs w:val="32"/>
            <w:u w:val="single"/>
            <w:shd w:val="clear" w:color="auto" w:fill="FFFFFF"/>
            <w:lang w:val="en-US" w:eastAsia="en-US" w:bidi="ar-SA"/>
          </w:rPr>
          <w:t>Chalmers v. AMO Canada Company, 2009 CCLG para. 25-034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Commercial Law Guide</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Butler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May 26,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S074512</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Commercial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2009 CCLG para. 25-034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69" w:history="1">
        <w:r>
          <w:rPr>
            <w:rFonts w:ascii="arial" w:eastAsia="arial" w:hAnsi="arial" w:cs="arial"/>
            <w:i/>
            <w:color w:val="0077CC"/>
            <w:sz w:val="20"/>
            <w:u w:val="single"/>
            <w:shd w:val="clear" w:color="auto" w:fill="FFFFFF"/>
            <w:lang w:val="en-US" w:eastAsia="en-US" w:bidi="ar-SA"/>
          </w:rPr>
          <w:t>[2009] B.C.J. No. 1030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69" w:history="1">
        <w:r>
          <w:rPr>
            <w:rFonts w:ascii="arial" w:eastAsia="arial" w:hAnsi="arial" w:cs="arial"/>
            <w:i/>
            <w:color w:val="0077CC"/>
            <w:sz w:val="20"/>
            <w:u w:val="single"/>
            <w:shd w:val="clear" w:color="auto" w:fill="FFFFFF"/>
            <w:lang w:val="en-US" w:eastAsia="en-US" w:bidi="ar-SA"/>
          </w:rPr>
          <w:t>2009 BCSC 689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Chalmers (Litigation Guardian of), Chalmers v. AMO Canada Company and Advanced Medical Optics, Inc.</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3"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3" w:name="Keywords_42"/>
      <w:bookmarkEnd w:id="303"/>
      <w:r>
        <w:rPr>
          <w:rFonts w:ascii="arial" w:eastAsia="arial" w:hAnsi="arial" w:cs="arial"/>
          <w:b/>
          <w:color w:val="000000"/>
          <w:sz w:val="20"/>
          <w:lang w:val="en-US" w:eastAsia="en-US" w:bidi="ar-SA"/>
        </w:rPr>
        <w:t xml:space="preserve">Class actions — Certification — Application for certification of class proceeding — Plaintiff alleged that she contracted rare and serious eye infection from use of contact lens solution manufactured and distributed by defendants — Common issues were proposed in respect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punitive damages, and claims under Business Practices and Consumer Protection Act — Application allowed — Requirements for certification were met — Serious issue to be tried — Sufficient evidence to certify subclass of persons who contracted infection after using defendants' solution — Identifiable class of residents of British Columbia had contracted infection after using solution — Court had jurisdiction over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punitive damages claims of non-residents — Class proceeding was preferable procedure for resolution of common issues — Business Practices and Consumer Protection Act, </w:t>
      </w:r>
      <w:hyperlink r:id="rId1070" w:history="1">
        <w:r>
          <w:rPr>
            <w:rFonts w:ascii="arial" w:eastAsia="arial" w:hAnsi="arial" w:cs="arial"/>
            <w:b/>
            <w:i/>
            <w:color w:val="0077CC"/>
            <w:sz w:val="20"/>
            <w:u w:val="single"/>
            <w:shd w:val="clear" w:color="auto" w:fill="FFFFFF"/>
            <w:lang w:val="en-US" w:eastAsia="en-US" w:bidi="ar-SA"/>
          </w:rPr>
          <w:t>S.B.C. 2004, c. 2, ss. 171</w:t>
        </w:r>
      </w:hyperlink>
      <w:r>
        <w:rPr>
          <w:rFonts w:ascii="arial" w:eastAsia="arial" w:hAnsi="arial" w:cs="arial"/>
          <w:b/>
          <w:color w:val="000000"/>
          <w:sz w:val="20"/>
          <w:lang w:val="en-US" w:eastAsia="en-US" w:bidi="ar-SA"/>
        </w:rPr>
        <w:t xml:space="preserve">, 172 — Class Proceedings Act, </w:t>
      </w:r>
      <w:hyperlink r:id="rId1071" w:history="1">
        <w:r>
          <w:rPr>
            <w:rFonts w:ascii="arial" w:eastAsia="arial" w:hAnsi="arial" w:cs="arial"/>
            <w:b/>
            <w:i/>
            <w:color w:val="0077CC"/>
            <w:sz w:val="20"/>
            <w:u w:val="single"/>
            <w:shd w:val="clear" w:color="auto" w:fill="FFFFFF"/>
            <w:lang w:val="en-US" w:eastAsia="en-US" w:bidi="ar-SA"/>
          </w:rPr>
          <w:t>R.S.B.C. 1996, c. 50, ss. 4</w:t>
        </w:r>
      </w:hyperlink>
      <w:r>
        <w:rPr>
          <w:rFonts w:ascii="arial" w:eastAsia="arial" w:hAnsi="arial" w:cs="arial"/>
          <w:b/>
          <w:color w:val="000000"/>
          <w:sz w:val="20"/>
          <w:lang w:val="en-US" w:eastAsia="en-US" w:bidi="ar-SA"/>
        </w:rPr>
        <w:t>, 5, 6, 16(2).</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4" w:name="Case Summary_41"/>
            <w:bookmarkEnd w:id="304"/>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infant plaintiff, Trina Chalmers ("Chalmers"), applied for an order certifying her action against the defendants, AMO Canada Company ("AMO") and Advance Medical Optics, Inc. ("Advance"), as a class proceeding. Chalmers alleged that she contracted Acanthamoeba keratitis ("AK"), a rare and serious eye infection from use of a contact lens solution manufactured and distributed by the defendants. The product was voluntarily recalled by the defendants. Chalmers alleged that AMO and Advance were negligent in researching, developing, testing, manufacturing, distributing, and selling the solution. She further claimed that AMO and Advance had engaged in deceptive acts or practices contrary to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("the Act"). Of the 13 pending class actions against the defendants, Chalmers was the first to proceed to a certification hearing. She proposed a class comprised of Canadian residents that purchased or used the solution and subsequently contracted or were tested for the infection, or those financially affected by the recall. Common issues were proposed in respect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punitive damages, and claims under the Act. AMO and Advance submitted that the statement of claim failed to disclose a cause of action under the Act and did not support a claim for punitive damages. They argued that the evidence was insufficient to establish that two or more persons fell within the class definition, and that the class definition was overly broad. AMO and Advance further submitted that a class proceeding was not the preferable procedure for a fair and efficient resolution of the issues, and that Chalmers's litigation plan was unworkable.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5" w:name="Holdings of Court_40"/>
            <w:bookmarkEnd w:id="305"/>
            <w:r>
              <w:rPr>
                <w:rFonts w:ascii="arial" w:eastAsia="arial" w:hAnsi="arial" w:cs="arial"/>
                <w:color w:val="000000"/>
                <w:sz w:val="20"/>
                <w:lang w:val="en-US" w:eastAsia="en-US" w:bidi="ar-SA"/>
              </w:rPr>
              <w:t>HELD: The British Columbia Supreme Court allowed the application to certify the proceeding as a class proceeding for residents and non-residents who contracted AK after using the defendants' solution.</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Chalmers' statement of claim disclosed a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misrepresentation or deceptive act claim was the same for all purchasers of the solution. There was sufficient particularization in the pleadings to allow the Court to assess the suitability of the action as a class action and to inform the defendants of the nature of the claim under the Act. It was not plain and obvious that a claim for punitive damages could not succeed. The pleading alleged that the conduct of AMO and Advance was reprehensible and departed from the ordinary standard of decent behaviour. That was sufficient at this stage to support the claim for punitive damages. Chalmers was able to show that there were two members of the proposed class in British Columbia who contracted AK after using the solution. She also provided information that there were likely as many as 15 or 20 other members in British Columbia, and there were likely numerous non-resident class members who contracted AK after using the solution. There was sufficient evidence to certify the subclass of persons who contracted the infection after using the solution. Nothing precluded future certification of the remaining subclasses given sufficient evidence. The Court had territorial competence over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by non-residents, as there was no basis to decline jurisdiction in favour of courts in other provinces. The claims under the Act were unique to British Columbia residents. The common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questions would appreciably advance the litigation. It was preferable that the common issues be dealt with by way of a class action. The common issues would not be overwhelmed by the individual issues. Chalmers' litigation plan, while somewhat general, was workable and could be reviewed and modified as necessary.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6" w:name="Counsel_43"/>
      <w:bookmarkEnd w:id="30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4"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 Klein, D. Lennox, and N. Hartigan for the plaintiff; M. Ruby, J. Kuroyama, and M. Shalke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7" w:name="Judgment_43"/>
      <w:bookmarkEnd w:id="307"/>
      <w:r>
        <w:pict>
          <v:line id="_x0000_s1245" style="position:absolute;z-index:2518056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8" w:name="G.B. BUTLER J."/>
            <w:bookmarkEnd w:id="308"/>
            <w:r>
              <w:rPr>
                <w:rFonts w:ascii="arial" w:eastAsia="arial" w:hAnsi="arial" w:cs="arial"/>
                <w:b/>
                <w:color w:val="000000"/>
                <w:sz w:val="30"/>
                <w:lang w:val="en-US" w:eastAsia="en-US" w:bidi="ar-SA"/>
              </w:rPr>
              <w:t>G.B. BUTLER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Trina Chalmers, the infant plaintiff, alleges that she contracted </w:t>
      </w:r>
      <w:r>
        <w:rPr>
          <w:rFonts w:ascii="arial" w:eastAsia="arial" w:hAnsi="arial" w:cs="arial"/>
          <w:i/>
          <w:color w:val="000000"/>
          <w:sz w:val="20"/>
          <w:lang w:val="en-US" w:eastAsia="en-US" w:bidi="ar-SA"/>
        </w:rPr>
        <w:t>Acanthamoeba</w:t>
      </w:r>
      <w:r>
        <w:rPr>
          <w:rFonts w:ascii="arial" w:eastAsia="arial" w:hAnsi="arial" w:cs="arial"/>
          <w:color w:val="000000"/>
          <w:sz w:val="20"/>
          <w:lang w:val="en-US" w:eastAsia="en-US" w:bidi="ar-SA"/>
        </w:rPr>
        <w:t xml:space="preserve"> keratitis ("AK"), a rare but serious eye infection, from her use of All-in-One MoisturePlus contact lens solution (the "Solution"), a product that the defendants, AMO Canada Company and Advanced Medical Optics, Inc. (collectively referred to as "AMO"), voluntarily recalled in May 2007. Ms. Chalmers claims that AMO was negligent in researching, developing, testing, manufacturing, distributing, and selling the Solution. She further claims that AMO engaged in deceptive acts or practices contrary to the </w:t>
      </w:r>
      <w:r>
        <w:rPr>
          <w:rFonts w:ascii="arial" w:eastAsia="arial" w:hAnsi="arial" w:cs="arial"/>
          <w:b/>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2</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BPCPA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On this application, Ms. Chalmers seeks an order certifying this proceeding as a class proceeding pursuant to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and appointing her as representative plaintiff. She proposes the following class definition: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persons resident in Canada who purchased or used the ... Solution and who (a) contracted [AK] after using the ... Solution, or (b) underwent testing for [AK] after using the ... Solution, or (c) had a monetary loss with respect to contact lenses or contact lens solution that had to be discarded as a result of the recall of the ... 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of the date of this hearing, there were 15 known actions commenced against AMO in Canada, including this one. Two of those are individual actions; the remainder are proposed class proceedings. This is the first of the proposed class proceedings to proceed to a certification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Chalmers has proposed the following common issues:</w:t>
      </w:r>
      <w:r>
        <w:rPr>
          <w:rFonts w:ascii="arial" w:eastAsia="arial" w:hAnsi="arial" w:cs="arial"/>
          <w:sz w:val="20"/>
          <w:lang w:val="en-US" w:eastAsia="en-US" w:bidi="ar-SA"/>
        </w:rPr>
        <w:cr/>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Solution defective and/or unfit for its intended use?</w:t>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either or both of the defendants breach a duty of care owed to class members and, if so, how?</w:t>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either or both of the defendants pay punitive damages and, if so, to whom should those punitive damages be paid and in what amount?</w:t>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either or both of the defendants' solicitations, offers, advertisements, promotions, sales, and supply of the Solution for a personal or household use by class members fall within the meaning of "consumer transactions" under the </w:t>
      </w:r>
      <w:r>
        <w:rPr>
          <w:rFonts w:ascii="arial" w:eastAsia="arial" w:hAnsi="arial" w:cs="arial"/>
          <w:b/>
          <w:i/>
          <w:color w:val="000000"/>
          <w:sz w:val="20"/>
          <w:lang w:val="en-US" w:eastAsia="en-US" w:bidi="ar-SA"/>
        </w:rPr>
        <w:t>BPCPA</w:t>
      </w:r>
      <w:r>
        <w:rPr>
          <w:rFonts w:ascii="arial" w:eastAsia="arial" w:hAnsi="arial" w:cs="arial"/>
          <w:color w:val="000000"/>
          <w:sz w:val="20"/>
          <w:lang w:val="en-US" w:eastAsia="en-US" w:bidi="ar-SA"/>
        </w:rPr>
        <w:t>?</w:t>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the sales in British Columbia of the defendants' Solution to class members for their personal or household use, are either or both of the defendants "suppliers" as defined by the </w:t>
      </w:r>
      <w:r>
        <w:rPr>
          <w:rFonts w:ascii="arial" w:eastAsia="arial" w:hAnsi="arial" w:cs="arial"/>
          <w:b/>
          <w:i/>
          <w:color w:val="000000"/>
          <w:sz w:val="20"/>
          <w:lang w:val="en-US" w:eastAsia="en-US" w:bidi="ar-SA"/>
        </w:rPr>
        <w:t>BPCPA</w:t>
      </w:r>
      <w:r>
        <w:rPr>
          <w:rFonts w:ascii="arial" w:eastAsia="arial" w:hAnsi="arial" w:cs="arial"/>
          <w:color w:val="000000"/>
          <w:sz w:val="20"/>
          <w:lang w:val="en-US" w:eastAsia="en-US" w:bidi="ar-SA"/>
        </w:rPr>
        <w:t>?</w:t>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Are the class members "consumers" as defined by the </w:t>
      </w:r>
      <w:r>
        <w:rPr>
          <w:rFonts w:ascii="arial" w:eastAsia="arial" w:hAnsi="arial" w:cs="arial"/>
          <w:b/>
          <w:i/>
          <w:color w:val="000000"/>
          <w:sz w:val="20"/>
          <w:lang w:val="en-US" w:eastAsia="en-US" w:bidi="ar-SA"/>
        </w:rPr>
        <w:t>BPCPA</w:t>
      </w:r>
      <w:r>
        <w:rPr>
          <w:rFonts w:ascii="arial" w:eastAsia="arial" w:hAnsi="arial" w:cs="arial"/>
          <w:color w:val="000000"/>
          <w:sz w:val="20"/>
          <w:lang w:val="en-US" w:eastAsia="en-US" w:bidi="ar-SA"/>
        </w:rPr>
        <w:t>?</w:t>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either or both of the defendants engage in conduct that was deceptive acts or practices contrary to the </w:t>
      </w:r>
      <w:r>
        <w:rPr>
          <w:rFonts w:ascii="arial" w:eastAsia="arial" w:hAnsi="arial" w:cs="arial"/>
          <w:b/>
          <w:i/>
          <w:color w:val="000000"/>
          <w:sz w:val="20"/>
          <w:lang w:val="en-US" w:eastAsia="en-US" w:bidi="ar-SA"/>
        </w:rPr>
        <w:t>BPCPA</w:t>
      </w:r>
      <w:r>
        <w:rPr>
          <w:rFonts w:ascii="arial" w:eastAsia="arial" w:hAnsi="arial" w:cs="arial"/>
          <w:color w:val="000000"/>
          <w:sz w:val="20"/>
          <w:lang w:val="en-US" w:eastAsia="en-US" w:bidi="ar-SA"/>
        </w:rPr>
        <w:t xml:space="preserve"> as alleged in the statement of claim?</w:t>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court finds that either or both of the defendants' conduct was contrary to the </w:t>
      </w:r>
      <w:r>
        <w:rPr>
          <w:rFonts w:ascii="arial" w:eastAsia="arial" w:hAnsi="arial" w:cs="arial"/>
          <w:b/>
          <w:i/>
          <w:color w:val="000000"/>
          <w:sz w:val="20"/>
          <w:lang w:val="en-US" w:eastAsia="en-US" w:bidi="ar-SA"/>
        </w:rPr>
        <w:t>BPCPA</w:t>
      </w:r>
      <w:r>
        <w:rPr>
          <w:rFonts w:ascii="arial" w:eastAsia="arial" w:hAnsi="arial" w:cs="arial"/>
          <w:color w:val="000000"/>
          <w:sz w:val="20"/>
          <w:lang w:val="en-US" w:eastAsia="en-US" w:bidi="ar-SA"/>
        </w:rPr>
        <w:t>, should a monetary award be made in favour of the class and, if so, in what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 will refer to common issues (a) and (b) 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common issues", common issue (c) as "the punitive damages common issue", and common issues (d) through (h) as "the </w:t>
      </w:r>
      <w:r>
        <w:rPr>
          <w:rFonts w:ascii="arial" w:eastAsia="arial" w:hAnsi="arial" w:cs="arial"/>
          <w:b/>
          <w:i/>
          <w:color w:val="000000"/>
          <w:sz w:val="20"/>
          <w:lang w:val="en-US" w:eastAsia="en-US" w:bidi="ar-SA"/>
        </w:rPr>
        <w:t>BPCPA</w:t>
      </w:r>
      <w:r>
        <w:rPr>
          <w:rFonts w:ascii="arial" w:eastAsia="arial" w:hAnsi="arial" w:cs="arial"/>
          <w:color w:val="000000"/>
          <w:sz w:val="20"/>
          <w:lang w:val="en-US" w:eastAsia="en-US" w:bidi="ar-SA"/>
        </w:rPr>
        <w:t xml:space="preserv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relevant statutory provisions for certification of class proceedings in British Columbia are set out in ss. 4(1), 4(2), and 7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The court must certify a proceeding as a class proceeding on an application under section 2 or 3 if all of the following requirements are met: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In determining whether a class proceeding would be the preferable procedure for the fair and efficient resolution of the common issues, the court must consider all relevant matters including the following:</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not refuse to certify a proceeding as a class proceeding merely because of one or more of the following:</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relief claimed includes a claim for damages that would require individual assessment after determination of the common issues;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relief claimed relates to separate contracts involving different class members;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different remedies are sought for different class members;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class members or the identity of each class member is not known;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includes a subclass whose members have claims that raise common issues not shared by all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Before the Court can certify an action as a class proceeding, the five requirements enumerated in s. 4(1) must be met. If they are met, the Court must certify the action. In this case, AMO opposes certification based on a number of the grounds set out in ss. 4(1)(a) through (e). It argues that:</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Chalmers' statement of claim fails to disclose a cause of action under the </w:t>
      </w:r>
      <w:r>
        <w:rPr>
          <w:rFonts w:ascii="arial" w:eastAsia="arial" w:hAnsi="arial" w:cs="arial"/>
          <w:b/>
          <w:i/>
          <w:color w:val="000000"/>
          <w:sz w:val="20"/>
          <w:lang w:val="en-US" w:eastAsia="en-US" w:bidi="ar-SA"/>
        </w:rPr>
        <w:t>BPCPA</w:t>
      </w:r>
      <w:r>
        <w:rPr>
          <w:rFonts w:ascii="arial" w:eastAsia="arial" w:hAnsi="arial" w:cs="arial"/>
          <w:color w:val="000000"/>
          <w:sz w:val="20"/>
          <w:lang w:val="en-US" w:eastAsia="en-US" w:bidi="ar-SA"/>
        </w:rPr>
        <w:t xml:space="preserve"> or to support a claim for punitive damages;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before the Court is insufficient to establish that there are two or more persons who fall within any of the three subclasses proposed in Ms. Chalmers' class definition;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definition is overly broad because it purports to include out of province residents;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is not the preferable procedure for fair and efficient resolution of the issues;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Chalmers' litigation plan is unworkable.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have concluded that this action is suitable for certification as a class proceeding and that Ms. Chalmers is an appropriate representative plaintiff for the reasons that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After Ms. Chalmers began wearing contact lenses, she experienced pain, light sensitivity, and interference with vision in her left eye. She was diagnosed with AK, which is caused by </w:t>
      </w:r>
      <w:r>
        <w:rPr>
          <w:rFonts w:ascii="arial" w:eastAsia="arial" w:hAnsi="arial" w:cs="arial"/>
          <w:i/>
          <w:color w:val="000000"/>
          <w:sz w:val="20"/>
          <w:lang w:val="en-US" w:eastAsia="en-US" w:bidi="ar-SA"/>
        </w:rPr>
        <w:t>Acanthamoeba</w:t>
      </w:r>
      <w:r>
        <w:rPr>
          <w:rFonts w:ascii="arial" w:eastAsia="arial" w:hAnsi="arial" w:cs="arial"/>
          <w:color w:val="000000"/>
          <w:sz w:val="20"/>
          <w:lang w:val="en-US" w:eastAsia="en-US" w:bidi="ar-SA"/>
        </w:rPr>
        <w:t>, microscopic parasitic organisms. The infection results in inflammation and scarring of the cornea. It can cause severe pain and blindness, particularly if there is some delay in diagnosis. Diagnosis can sometimes be made with corneal scrapings, as was done in Ms. Chalmers' case. Alternatively, a more invasive biopsy may be required. It is also possible to make a presumptive diagnosis based on reported symptoms and the failure of the condition to respond to anti-viral or anti-bacterial agents. Once AK is diagnosed, rapid treatment is required to preserve vision. Treatment can be prolonged; if it is not successful, corneal replacement may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are a number of known risk factors for AK. The most common is the use of soft contact lenses. Historically, AK was very rare, but the incidence of the condition has increased with the popularity of soft contact lenses. Other risk factors include exposure to contaminated water, swimming with contact lenses, improper care of contact lenses, and overnight wear of contact lenses.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May 2007, the United States Center for Disease Control and Prevention informed AMO that 46 patients in the United States had developed AK and that of the 39 who were soft contact lens wearers, 21 reported using the Solution. After receiving this information, AMO voluntarily recalled the Solution on May 25, 2007 in the United States and on May 28, 2007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this hearing, the parties each filed expert reports. The two experts reviewed studies that examined an observed increase in the incidence of AK in recent years. The experts considered what association, if any, existed between use of the Solution and the reported cases of AK. That question required examination of the methodologies used in the available studies. It also involved an analysis of the statistical association between the use of the Solution and the onset of the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AMO's expert, Dr. Ward, accepted that two of the studies establish a statistically significant association between use of the Solution and AK. However, he suggested that the two studies fail to consider potential unknown risk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Chalmers' expert, Dr. Borden, concluded that there is a causal relationship between the development of AK and use of the Solution. In addition to the two studies that establish a statistical association, he referred to a Canadian study that was unavailable to Dr. Ward. This was a limited study performed at Toronto Western Hospital. It identified 16 patients with AK for whom the brand of contact lens cleaning solution was known. Of those, 12 of them, or 75%, used the Solution. By contrast, AMO's share of the contact lens cleaning solution market in Canada was only 15 to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Both experts referred to a study performed by Dr. Kilvington, a leading AK expert. The study was published in 2008 after the Solution had been recalled from the market. Dr. Kilvington's study provides a possible explanation as to why use of the Solution may result in an increased risk of developing AK. Specifically, the Solution was reformulated in 2003 to combine propylene glycol with a phosphate buffering system; this had not been done before. Dr. Borden argued that AMO should have, and could have, done a similar study to Dr. Kilvington's before it released the Solution for public use as a matter of safety and efficacy.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Dr. Ward took strong exception to Dr. Borden's suggestion that this study could have been performed before the product was marketed. He described that suggestion as "astonishing" and "neither scientific nor practical". He said that AMO had no reason to anticipate any negative effects from combining propylene glycol and the phosphate buffering system. Both of those compounds were permitted for use in contact lens solutions prior to the development of the Solution. Dr. Ward said that there was nothing in the published literature linking AK to the use of any commercially available contact lens solution prior to the Solution being withdrawn from the market. AMO further noted that, prior to the product recall, there was no regulatory standard requiring contact lens solutions to be effective in killing </w:t>
      </w:r>
      <w:r>
        <w:rPr>
          <w:rFonts w:ascii="arial" w:eastAsia="arial" w:hAnsi="arial" w:cs="arial"/>
          <w:i/>
          <w:color w:val="000000"/>
          <w:sz w:val="20"/>
          <w:lang w:val="en-US" w:eastAsia="en-US" w:bidi="ar-SA"/>
        </w:rPr>
        <w:t>Acanthamoeba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Of course, I do not need to resolve conflicting expert opinions at this stage of the litigation. A certification hearing is not a determination on the merits of the proceeding. The reports provide the necessary background for an understanding of AK and the issues that are relevant to cause, diagnosis, and treatment of the condition. Many of these issues are not contentious.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was also a difference of opinion between the experts as to the number of cases of AK reported in Canada. Dr. Ward indicated that he knew of only seven reported cases in Canada in the past 18 years. However, he was unaware of the Toronto Western study that reported 41 cases at just one hospital in a period of seven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difficulty in determining the number of AK cases arises in part because AK has not always been a reportable disease. As of the date of the hearing of this application, neither party was aware that on May 31, 2007, the B.C. Centre for Disease Control began to require reporting of AK in this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March 3, 2009, Ms. Chalmers brought an application to admit new evidence that included a letter from Dr. Patrick, Director of Epidemiology Services at the B.C. Centre for Disease Control. I allowed that application. Dr. Patrick's letter indicates that there were 32 lab confirmed cases of AK in British Columbia between January 2005 and May 2008. Of the 18 patients who were interviewed by the B.C. Centre for Disease Control, 10 or 11 reported using the 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Chalmers' proposed class definition, however, is not restricted to residents of this province. It includes individuals who acquired and used the Solution outside of British Columbia, and who were diagnosed with the condition in other provinces. Affidavits of four individuals who want to opt in to proceedings in British Columbia were filed on this application. Of course, the tort issues to be considered in the British Columbia case will be similar to the tort issues that would be litigated in the province where the proposed litigants live, should an action be brought or a class action certified in those provinces.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1. Does Ms. Chalmers' statement of claim disclose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AMO does not dispute that Ms. Chalmers' statement of claim discloses a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However, it says that the averments in the statement of claim are not sufficient to support either an action under the </w:t>
      </w:r>
      <w:r>
        <w:rPr>
          <w:rFonts w:ascii="arial" w:eastAsia="arial" w:hAnsi="arial" w:cs="arial"/>
          <w:b/>
          <w:i/>
          <w:color w:val="000000"/>
          <w:sz w:val="20"/>
          <w:lang w:val="en-US" w:eastAsia="en-US" w:bidi="ar-SA"/>
        </w:rPr>
        <w:t>BPCPA</w:t>
      </w:r>
      <w:r>
        <w:rPr>
          <w:rFonts w:ascii="arial" w:eastAsia="arial" w:hAnsi="arial" w:cs="arial"/>
          <w:color w:val="000000"/>
          <w:sz w:val="20"/>
          <w:lang w:val="en-US" w:eastAsia="en-US" w:bidi="ar-SA"/>
        </w:rPr>
        <w:t xml:space="preserve"> or a claim for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test to determine if a statement of claim discloses a cause of action under s. 4(1)(a)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is akin to the test to determine if a claim should be struck under Rule 19(24)(a)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 xml:space="preserve">"). That test is set out in </w:t>
      </w:r>
      <w:r>
        <w:rPr>
          <w:rFonts w:ascii="arial" w:eastAsia="arial" w:hAnsi="arial" w:cs="arial"/>
          <w:b/>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49 B.C.L.R. (2d) 273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Knight v. Imperial Tobacco Canada Ltd.</w:t>
      </w:r>
      <w:r>
        <w:rPr>
          <w:rFonts w:ascii="arial" w:eastAsia="arial" w:hAnsi="arial" w:cs="arial"/>
          <w:color w:val="000000"/>
          <w:sz w:val="20"/>
          <w:lang w:val="en-US" w:eastAsia="en-US" w:bidi="ar-SA"/>
        </w:rPr>
        <w:t xml:space="preserve">, </w:t>
      </w:r>
      <w:hyperlink r:id="rId1072" w:history="1">
        <w:r>
          <w:rPr>
            <w:rFonts w:ascii="arial" w:eastAsia="arial" w:hAnsi="arial" w:cs="arial"/>
            <w:i/>
            <w:color w:val="0077CC"/>
            <w:sz w:val="20"/>
            <w:u w:val="single"/>
            <w:shd w:val="clear" w:color="auto" w:fill="FFFFFF"/>
            <w:lang w:val="en-US" w:eastAsia="en-US" w:bidi="ar-SA"/>
          </w:rPr>
          <w:t>2005 BCSC 172</w:t>
        </w:r>
      </w:hyperlink>
      <w:r>
        <w:rPr>
          <w:rFonts w:ascii="arial" w:eastAsia="arial" w:hAnsi="arial" w:cs="arial"/>
          <w:color w:val="000000"/>
          <w:sz w:val="20"/>
          <w:lang w:val="en-US" w:eastAsia="en-US" w:bidi="ar-SA"/>
        </w:rPr>
        <w:t xml:space="preserve">, </w:t>
      </w:r>
      <w:hyperlink r:id="rId1072" w:history="1">
        <w:r>
          <w:rPr>
            <w:rFonts w:ascii="arial" w:eastAsia="arial" w:hAnsi="arial" w:cs="arial"/>
            <w:i/>
            <w:color w:val="0077CC"/>
            <w:sz w:val="20"/>
            <w:u w:val="single"/>
            <w:shd w:val="clear" w:color="auto" w:fill="FFFFFF"/>
            <w:lang w:val="en-US" w:eastAsia="en-US" w:bidi="ar-SA"/>
          </w:rPr>
          <w:t>43 B.C.L.R. (4th) 169</w:t>
        </w:r>
      </w:hyperlink>
      <w:r>
        <w:rPr>
          <w:rFonts w:ascii="arial" w:eastAsia="arial" w:hAnsi="arial" w:cs="arial"/>
          <w:color w:val="000000"/>
          <w:sz w:val="20"/>
          <w:lang w:val="en-US" w:eastAsia="en-US" w:bidi="ar-SA"/>
        </w:rPr>
        <w:t>, Satanove J. nicely summarized the test at para.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Unless it is "plain and obvious" that the statement of claim discloses no reasonable cause of action, this test should be considered satisfied. Neither the length and complexity of the issues, nor the novelty of the cause of action, nor the potential for the defendant to present a strong defence should prevent the plaintiff from proceeding with his case. Unless there is some radical defect amounting to an abuse of the court's process such that the claim should be struck, the action should proceed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Claims under the </w:t>
      </w:r>
      <w:r>
        <w:rPr>
          <w:rFonts w:ascii="arial" w:eastAsia="arial" w:hAnsi="arial" w:cs="arial"/>
          <w:b/>
          <w:i/>
          <w:color w:val="000000"/>
          <w:sz w:val="20"/>
          <w:lang w:val="en-US" w:eastAsia="en-US" w:bidi="ar-SA"/>
        </w:rPr>
        <w:t>BPCPA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relevant portions of Ms. Chalmers' statement of claim with respect to her claims under the </w:t>
      </w:r>
      <w:r>
        <w:rPr>
          <w:rFonts w:ascii="arial" w:eastAsia="arial" w:hAnsi="arial" w:cs="arial"/>
          <w:b/>
          <w:i/>
          <w:color w:val="000000"/>
          <w:sz w:val="20"/>
          <w:lang w:val="en-US" w:eastAsia="en-US" w:bidi="ar-SA"/>
        </w:rPr>
        <w:t>BPCPA</w:t>
      </w:r>
      <w:r>
        <w:rPr>
          <w:rFonts w:ascii="arial" w:eastAsia="arial" w:hAnsi="arial" w:cs="arial"/>
          <w:color w:val="000000"/>
          <w:sz w:val="20"/>
          <w:lang w:val="en-US" w:eastAsia="en-US" w:bidi="ar-SA"/>
        </w:rPr>
        <w:t xml:space="preserve"> are paragraphs 22 and 23, which state:</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conduct in their solicitations, offers, advertisements, promotions, sales and supply of the Contact Lens Solution, as particularized above, had the capability, tendency or effect of deceiving or misleading consumers regarding the safety and efficacy of the Contact Lens Solution. The Defendants' conduct in its solicitations, offers, advertisements, promotions, sales and supply of the Contact Lens Solution were deceptive acts and practices contrary to s. 4 of the BPCPA. The Defendants' deceptive acts and practices included the Defendants' failure to properly disclose all material facts regarding the safety and efficacy of the Contact Lens Solution.</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Defendants' deceptive acts and practices, the Plaintiff and class members have suffered loss and damages. The Plaintiff seeks damages and statutory compensation pursuant to ss. 171 and 172 of the BPCPA on her own behalf and on behalf of class members who purchased and/or used the Contact Lens Solution for their personal use, including disgorgement of any revenue or profits obtained by the Defendants from the sale of the Contact Lens 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AMO advances two main arguments based on these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First, it says that although Ms. Chalmers asserts in paragraph 22 that AMO's "solicitations, offers, advertisements, promotions, sales and supply" of the Solution "were deceptive acts and practices", the statement of claim does not disclose material facts or particulars of the acts that were allegedly deceptive, nor does it describe the way in which such acts were deceptive. According to AMO, the only particularization provided is the same particularization used to support Ms. Chalmers'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AMO argues that the concept of "deceptive" acts connotes knowing, deliberate or fraudulent conduct to the extent that it is alleged that AMO concealed important facts about the Solution. In the absence of pleadings setting out material facts or particulars to support those allegations, AMO says that Ms. Chalmers' claim under the </w:t>
      </w:r>
      <w:r>
        <w:rPr>
          <w:rFonts w:ascii="arial" w:eastAsia="arial" w:hAnsi="arial" w:cs="arial"/>
          <w:b/>
          <w:i/>
          <w:color w:val="000000"/>
          <w:sz w:val="20"/>
          <w:lang w:val="en-US" w:eastAsia="en-US" w:bidi="ar-SA"/>
        </w:rPr>
        <w:t>BPCPA</w:t>
      </w:r>
      <w:r>
        <w:rPr>
          <w:rFonts w:ascii="arial" w:eastAsia="arial" w:hAnsi="arial" w:cs="arial"/>
          <w:color w:val="000000"/>
          <w:sz w:val="20"/>
          <w:lang w:val="en-US" w:eastAsia="en-US" w:bidi="ar-SA"/>
        </w:rPr>
        <w:t xml:space="preserve"> is vague and does not have the specificity required for the claim to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Second, AMO says that in paragraph 23, Ms. Chalmers refers to s. 172 of the </w:t>
      </w:r>
      <w:r>
        <w:rPr>
          <w:rFonts w:ascii="arial" w:eastAsia="arial" w:hAnsi="arial" w:cs="arial"/>
          <w:b/>
          <w:i/>
          <w:color w:val="000000"/>
          <w:sz w:val="20"/>
          <w:lang w:val="en-US" w:eastAsia="en-US" w:bidi="ar-SA"/>
        </w:rPr>
        <w:t>BPCPA</w:t>
      </w:r>
      <w:r>
        <w:rPr>
          <w:rFonts w:ascii="arial" w:eastAsia="arial" w:hAnsi="arial" w:cs="arial"/>
          <w:color w:val="000000"/>
          <w:sz w:val="20"/>
          <w:lang w:val="en-US" w:eastAsia="en-US" w:bidi="ar-SA"/>
        </w:rPr>
        <w:t xml:space="preserve"> and seeks "statutory compensation ... including disgorgement of any revenue or profits obtained by the Defendants from the sale" of the Solution, but she fails to advance any claim for a declaration under s. 172(1)(a) or an injunction under s. 172(1)(b). Pursuant to s. 172 (3), before a court can make an order for monetary relief, it must have granted injunctive or declaratory relief. As a result, AMO asserts that this pleading fails to disclose a cause of action for the relief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At the hearing of the application, Ms. Chalmers indicated that if the action is certified, she will amend her prayer for relief and the second sentence of paragraph 23 to state that she "seeks injunctive and declaratory relief and damages and statutory compensation pursuant to ss. 171 and 172 of the </w:t>
      </w:r>
      <w:r>
        <w:rPr>
          <w:rFonts w:ascii="arial" w:eastAsia="arial" w:hAnsi="arial" w:cs="arial"/>
          <w:b/>
          <w:i/>
          <w:color w:val="000000"/>
          <w:sz w:val="20"/>
          <w:lang w:val="en-US" w:eastAsia="en-US" w:bidi="ar-SA"/>
        </w:rPr>
        <w:t>BCPCA</w:t>
      </w:r>
      <w:r>
        <w:rPr>
          <w:rFonts w:ascii="arial" w:eastAsia="arial" w:hAnsi="arial" w:cs="arial"/>
          <w:color w:val="000000"/>
          <w:sz w:val="20"/>
          <w:lang w:val="en-US" w:eastAsia="en-US" w:bidi="ar-SA"/>
        </w:rPr>
        <w:t>". For the purpose of these reasons, I assume that she will make those amendments to her statement of claim. Consequently, I do not need to consider AMO's second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Turning to AMO's first argument, there is no question that the allegations in the statement of claim are broadly stated. Ms. Chalmers alleges at paragraph 15 that AMO failed to warn consumers of the increased risk of AK infection caused by the Solution and that it marketed a product that was not safe, merchantable or fit for its intended use. The deception is alleged at paragraph 22, where Ms. Chalmers asserts that AMO's conduct had the capability, tendency or effect of deceiving or misleading consumers regarding the safety and efficacy of the 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While these are bare bones allegations, they do alert AMO to Ms. Chalmers' material allegation - that AMO marketed the Solution to the public in a way that represented it as a safe product for use when it was not because it caused an increased risk of AK. The material fact that Ms. Chalmers asserts as creating the deception is the marketing of the Solution in a way that indicated or implied to consumers that it was a safe product, without warning them of the risks it 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Chalmers has not alleged what AMO's state of knowledge was when it was marketing the product. At this stage of the proceedings, she does not need to do so. In asking for material facts, AMO seems to want to know why she alleges that it should have known of the heightened risk of AK. AMO asserts in much of the material filed on this application that it has a defence to the action because it did not have any knowledge of the problems with the Solution. However, that assertion goes to the merits of the action, which cannot be considered at this stage of the case. In this action, as in many product liability actions, the plaintiff may be unable to flesh out the material allegations prior to discovery. That does not mean that the cause of action has not been detailed sufficiently to permit the action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With regard to the absence of particulars, AMO relies on Rule 19(11) which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party pleading relies on misrepresentation, fraud, breach of trust, wilful default or undue influence, or where particulars may be necessary, full particulars, with dates and items if applicable, shall be stated in the pleading.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Here, AMO says that the claim of a deceptive act is the same as a claim for misrepresentation such that particulars of the misrepresentation should be provided. In </w:t>
      </w:r>
      <w:r>
        <w:rPr>
          <w:rFonts w:ascii="arial" w:eastAsia="arial" w:hAnsi="arial" w:cs="arial"/>
          <w:b/>
          <w:i/>
          <w:color w:val="000000"/>
          <w:sz w:val="20"/>
          <w:lang w:val="en-US" w:eastAsia="en-US" w:bidi="ar-SA"/>
        </w:rPr>
        <w:t>R. (L.) v. British Columbia</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(1998), 65 B.C.L.R. (3d) 382</w:t>
        </w:r>
      </w:hyperlink>
      <w:r>
        <w:rPr>
          <w:rFonts w:ascii="arial" w:eastAsia="arial" w:hAnsi="arial" w:cs="arial"/>
          <w:color w:val="000000"/>
          <w:sz w:val="20"/>
          <w:lang w:val="en-US" w:eastAsia="en-US" w:bidi="ar-SA"/>
        </w:rPr>
        <w:t xml:space="preserve"> (S.C.), Kirkpatrick J. (as she then was) found that claims of misrepresentation were insufficiently particularized to permit an adequate assessment as to the utility of resolving that claim in a class action. She described the importance of particulars in class actions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important to recognize that, in an application to certify a class action, the question of particulars is significant because the court is required to assess the suitability of the action as a class action. That exercise requires information traditionally supplied through particulars - the nature of the case and issues to be tried - as well as whether, in the words of s. 4(2)(a)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"questions of fact or law common to the members of the class predominate over any questions affecting only individual members." That assessment cannot be made in an information vacuum.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nature of the misrepresentation claim in </w:t>
      </w:r>
      <w:r>
        <w:rPr>
          <w:rFonts w:ascii="arial" w:eastAsia="arial" w:hAnsi="arial" w:cs="arial"/>
          <w:b/>
          <w:i/>
          <w:color w:val="000000"/>
          <w:sz w:val="20"/>
          <w:lang w:val="en-US" w:eastAsia="en-US" w:bidi="ar-SA"/>
        </w:rPr>
        <w:t>R. (L.)</w:t>
      </w:r>
      <w:r>
        <w:rPr>
          <w:rFonts w:ascii="arial" w:eastAsia="arial" w:hAnsi="arial" w:cs="arial"/>
          <w:color w:val="000000"/>
          <w:sz w:val="20"/>
          <w:lang w:val="en-US" w:eastAsia="en-US" w:bidi="ar-SA"/>
        </w:rPr>
        <w:t xml:space="preserve"> was very different from the </w:t>
      </w:r>
      <w:r>
        <w:rPr>
          <w:rFonts w:ascii="arial" w:eastAsia="arial" w:hAnsi="arial" w:cs="arial"/>
          <w:b/>
          <w:i/>
          <w:color w:val="000000"/>
          <w:sz w:val="20"/>
          <w:lang w:val="en-US" w:eastAsia="en-US" w:bidi="ar-SA"/>
        </w:rPr>
        <w:t>BPCPA</w:t>
      </w:r>
      <w:r>
        <w:rPr>
          <w:rFonts w:ascii="arial" w:eastAsia="arial" w:hAnsi="arial" w:cs="arial"/>
          <w:color w:val="000000"/>
          <w:sz w:val="20"/>
          <w:lang w:val="en-US" w:eastAsia="en-US" w:bidi="ar-SA"/>
        </w:rPr>
        <w:t xml:space="preserve"> claim advanced here. In </w:t>
      </w:r>
      <w:r>
        <w:rPr>
          <w:rFonts w:ascii="arial" w:eastAsia="arial" w:hAnsi="arial" w:cs="arial"/>
          <w:b/>
          <w:i/>
          <w:color w:val="000000"/>
          <w:sz w:val="20"/>
          <w:lang w:val="en-US" w:eastAsia="en-US" w:bidi="ar-SA"/>
        </w:rPr>
        <w:t>R. (L.)</w:t>
      </w:r>
      <w:r>
        <w:rPr>
          <w:rFonts w:ascii="arial" w:eastAsia="arial" w:hAnsi="arial" w:cs="arial"/>
          <w:color w:val="000000"/>
          <w:sz w:val="20"/>
          <w:lang w:val="en-US" w:eastAsia="en-US" w:bidi="ar-SA"/>
        </w:rPr>
        <w:t>, the court found that the alleged misrepresentations were vague and devoid of the required specificity. However, in that case, the court also found that the issue of misrepresentation was an individual issue. In those circumstances, it is not surprising that the allegations were found to be vague.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Here, there is no question that the misrepresentation or deceptive act that is alleged is the same for all purchasers of the Solution. There is sufficient particularization in the pleadings to allow the Court to "assess the suitability of the action as a class action" and to inform the defendants of the nature of the </w:t>
      </w:r>
      <w:r>
        <w:rPr>
          <w:rFonts w:ascii="arial" w:eastAsia="arial" w:hAnsi="arial" w:cs="arial"/>
          <w:b/>
          <w:i/>
          <w:color w:val="000000"/>
          <w:sz w:val="20"/>
          <w:lang w:val="en-US" w:eastAsia="en-US" w:bidi="ar-SA"/>
        </w:rPr>
        <w:t>BPCPA</w:t>
      </w:r>
      <w:r>
        <w:rPr>
          <w:rFonts w:ascii="arial" w:eastAsia="arial" w:hAnsi="arial" w:cs="arial"/>
          <w:color w:val="000000"/>
          <w:sz w:val="20"/>
          <w:lang w:val="en-US" w:eastAsia="en-US" w:bidi="ar-SA"/>
        </w:rPr>
        <w:t xml:space="preserv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 conclude that it is not plain and obvious that the statement of claim discloses no reasonable cause of action under the </w:t>
      </w:r>
      <w:r>
        <w:rPr>
          <w:rFonts w:ascii="arial" w:eastAsia="arial" w:hAnsi="arial" w:cs="arial"/>
          <w:b/>
          <w:i/>
          <w:color w:val="000000"/>
          <w:sz w:val="20"/>
          <w:lang w:val="en-US" w:eastAsia="en-US" w:bidi="ar-SA"/>
        </w:rPr>
        <w:t>BPCPA</w:t>
      </w:r>
      <w:r>
        <w:rPr>
          <w:rFonts w:ascii="arial" w:eastAsia="arial" w:hAnsi="arial" w:cs="arial"/>
          <w:color w:val="000000"/>
          <w:sz w:val="20"/>
          <w:lang w:val="en-US" w:eastAsia="en-US" w:bidi="ar-SA"/>
        </w:rPr>
        <w:t xml:space="preserve">. The pleading has no radical defect amounting to an abuse of the court's process. Ms. Chalmers' allegations of a claim under the </w:t>
      </w:r>
      <w:r>
        <w:rPr>
          <w:rFonts w:ascii="arial" w:eastAsia="arial" w:hAnsi="arial" w:cs="arial"/>
          <w:b/>
          <w:i/>
          <w:color w:val="000000"/>
          <w:sz w:val="20"/>
          <w:lang w:val="en-US" w:eastAsia="en-US" w:bidi="ar-SA"/>
        </w:rPr>
        <w:t>BPCPA</w:t>
      </w:r>
      <w:r>
        <w:rPr>
          <w:rFonts w:ascii="arial" w:eastAsia="arial" w:hAnsi="arial" w:cs="arial"/>
          <w:color w:val="000000"/>
          <w:sz w:val="20"/>
          <w:lang w:val="en-US" w:eastAsia="en-US" w:bidi="ar-SA"/>
        </w:rPr>
        <w:t xml:space="preserve"> are sufficiently particularized and contain sufficient material facts to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Punitive Damage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AMO also argues that Ms. Chalmers has pled insufficient material facts or particulars to support a claim for punitive damages. Here, the only basis for the punitive damages claim is Ms. Chalmers' assertion in paragraph 26 of the statement of claim that AMO's conduct was "reprehensible and departed to a marked degree from ordinary standards of decent behaviour". AMO argues that it is not sufficient to make conclusory allegations on a matter as significant as punitive damages. The plaintiff must provide some substance to alert the defendant of the case that it has to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support of this proposition, AMO relies on </w:t>
      </w:r>
      <w:r>
        <w:rPr>
          <w:rFonts w:ascii="arial" w:eastAsia="arial" w:hAnsi="arial" w:cs="arial"/>
          <w:b/>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[2002] 1 S.C.R. 595</w:t>
        </w:r>
      </w:hyperlink>
      <w:r>
        <w:rPr>
          <w:rFonts w:ascii="arial" w:eastAsia="arial" w:hAnsi="arial" w:cs="arial"/>
          <w:color w:val="000000"/>
          <w:sz w:val="20"/>
          <w:lang w:val="en-US" w:eastAsia="en-US" w:bidi="ar-SA"/>
        </w:rPr>
        <w:t>. At para. 87, Binnie J.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of the purposes of a statement of claim is to alert the defendant to the case it has to meet, and if at the end of the day the defendant is surprised by an award against it that is a multiple of what it thought was the amount in issue, there is an obvious unfairness. Moreover, the facts said to justify punitive damages should be pleaded with some particularity. The time-honoured adjectives describing conduct as "harsh, vindictive, reprehensible and malicious"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McIntyre J. in </w:t>
      </w:r>
      <w:r>
        <w:rPr>
          <w:rFonts w:ascii="arial" w:eastAsia="arial" w:hAnsi="arial" w:cs="arial"/>
          <w:i/>
          <w:color w:val="000000"/>
          <w:sz w:val="20"/>
          <w:lang w:val="en-US" w:eastAsia="en-US" w:bidi="ar-SA"/>
        </w:rPr>
        <w:t>Vorvis</w:t>
      </w:r>
      <w:r>
        <w:rPr>
          <w:rFonts w:ascii="arial" w:eastAsia="arial" w:hAnsi="arial" w:cs="arial"/>
          <w:color w:val="000000"/>
          <w:sz w:val="20"/>
          <w:lang w:val="en-US" w:eastAsia="en-US" w:bidi="ar-SA"/>
        </w:rPr>
        <w:t xml:space="preserve">, </w:t>
      </w:r>
      <w:hyperlink r:id="rId705"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 p. 1108) or their pejorative equivalent, however apt to capture the essence of the remedy, are conclusory rather explanatory.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While Binnie J. was critical in </w:t>
      </w:r>
      <w:r>
        <w:rPr>
          <w:rFonts w:ascii="arial" w:eastAsia="arial" w:hAnsi="arial" w:cs="arial"/>
          <w:b/>
          <w:i/>
          <w:color w:val="000000"/>
          <w:sz w:val="20"/>
          <w:lang w:val="en-US" w:eastAsia="en-US" w:bidi="ar-SA"/>
        </w:rPr>
        <w:t>Whiten</w:t>
      </w:r>
      <w:r>
        <w:rPr>
          <w:rFonts w:ascii="arial" w:eastAsia="arial" w:hAnsi="arial" w:cs="arial"/>
          <w:color w:val="000000"/>
          <w:sz w:val="20"/>
          <w:lang w:val="en-US" w:eastAsia="en-US" w:bidi="ar-SA"/>
        </w:rPr>
        <w:t xml:space="preserve"> of conclusory allegations without explanation, the allegations in </w:t>
      </w:r>
      <w:r>
        <w:rPr>
          <w:rFonts w:ascii="arial" w:eastAsia="arial" w:hAnsi="arial" w:cs="arial"/>
          <w:b/>
          <w:i/>
          <w:color w:val="000000"/>
          <w:sz w:val="20"/>
          <w:lang w:val="en-US" w:eastAsia="en-US" w:bidi="ar-SA"/>
        </w:rPr>
        <w:t>Whiten</w:t>
      </w:r>
      <w:r>
        <w:rPr>
          <w:rFonts w:ascii="arial" w:eastAsia="arial" w:hAnsi="arial" w:cs="arial"/>
          <w:color w:val="000000"/>
          <w:sz w:val="20"/>
          <w:lang w:val="en-US" w:eastAsia="en-US" w:bidi="ar-SA"/>
        </w:rPr>
        <w:t xml:space="preserve"> were just that - conclusory without supporting particulars. Mr. Justice Binnie noted that the defendant did not ask for particulars of the claim for punitive damages, but said that if it had done so, it would have been entitled to them. After setting out some of the rather general allegations in the pleadings, he concluded as follows at para. 91: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statement of claim was somewhat deficient in failing to relate the plea for punitive damages to the precise facts said to give rise to the outrage, but Pilot was content to go to trial on this pleading and I do not think it should be heard to complain about it at this late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At this stage of these proceedings, AMO has not demanded particulars, nor has Ms. Chalmers had an opportunity to conduct discovery or provide particulars. At some stage, she will likely need to provide particulars. However, on this application, the question is simply whether it is plain and obvious that the statement of claim discloses no reasonable cause of action. There is no question it does disclose a cause of action. The status of the pleadings is similar to the pleadings in </w:t>
      </w:r>
      <w:r>
        <w:rPr>
          <w:rFonts w:ascii="arial" w:eastAsia="arial" w:hAnsi="arial" w:cs="arial"/>
          <w:b/>
          <w:i/>
          <w:color w:val="000000"/>
          <w:sz w:val="20"/>
          <w:lang w:val="en-US" w:eastAsia="en-US" w:bidi="ar-SA"/>
        </w:rPr>
        <w:t>Whiten</w:t>
      </w:r>
      <w:r>
        <w:rPr>
          <w:rFonts w:ascii="arial" w:eastAsia="arial" w:hAnsi="arial" w:cs="arial"/>
          <w:color w:val="000000"/>
          <w:sz w:val="20"/>
          <w:lang w:val="en-US" w:eastAsia="en-US" w:bidi="ar-SA"/>
        </w:rPr>
        <w:t>, where the Court found that the pleadings did support the claim for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arriving at this conclusion, I have taken into account the fact that the Court's consideration of the punitive damages claim will be similar to its consideration of the </w:t>
      </w:r>
      <w:r>
        <w:rPr>
          <w:rFonts w:ascii="arial" w:eastAsia="arial" w:hAnsi="arial" w:cs="arial"/>
          <w:b/>
          <w:i/>
          <w:color w:val="000000"/>
          <w:sz w:val="20"/>
          <w:lang w:val="en-US" w:eastAsia="en-US" w:bidi="ar-SA"/>
        </w:rPr>
        <w:t>BPCPA</w:t>
      </w:r>
      <w:r>
        <w:rPr>
          <w:rFonts w:ascii="arial" w:eastAsia="arial" w:hAnsi="arial" w:cs="arial"/>
          <w:color w:val="000000"/>
          <w:sz w:val="20"/>
          <w:lang w:val="en-US" w:eastAsia="en-US" w:bidi="ar-SA"/>
        </w:rPr>
        <w:t xml:space="preserve"> claim. It will involve an assessment of the state of knowledge of AMO at the time it marketed the Solution. This is an issue that is amenable to resolution as a common issue. The comments of McLachlin C.J. in </w:t>
      </w:r>
      <w:r>
        <w:rPr>
          <w:rFonts w:ascii="arial" w:eastAsia="arial" w:hAnsi="arial" w:cs="arial"/>
          <w:b/>
          <w:i/>
          <w:color w:val="000000"/>
          <w:sz w:val="20"/>
          <w:lang w:val="en-US" w:eastAsia="en-US" w:bidi="ar-SA"/>
        </w:rPr>
        <w:t>Rumley v. British Columbia</w:t>
      </w:r>
      <w:r>
        <w:rPr>
          <w:rFonts w:ascii="arial" w:eastAsia="arial" w:hAnsi="arial" w:cs="arial"/>
          <w:color w:val="000000"/>
          <w:sz w:val="20"/>
          <w:lang w:val="en-US" w:eastAsia="en-US" w:bidi="ar-SA"/>
        </w:rPr>
        <w:t xml:space="preserve">, </w:t>
      </w:r>
      <w:hyperlink r:id="rId1073" w:history="1">
        <w:r>
          <w:rPr>
            <w:rFonts w:ascii="arial" w:eastAsia="arial" w:hAnsi="arial" w:cs="arial"/>
            <w:i/>
            <w:color w:val="0077CC"/>
            <w:sz w:val="20"/>
            <w:u w:val="single"/>
            <w:shd w:val="clear" w:color="auto" w:fill="FFFFFF"/>
            <w:lang w:val="en-US" w:eastAsia="en-US" w:bidi="ar-SA"/>
          </w:rPr>
          <w:t>2001 SCC 69</w:t>
        </w:r>
      </w:hyperlink>
      <w:r>
        <w:rPr>
          <w:rFonts w:ascii="arial" w:eastAsia="arial" w:hAnsi="arial" w:cs="arial"/>
          <w:color w:val="000000"/>
          <w:sz w:val="20"/>
          <w:lang w:val="en-US" w:eastAsia="en-US" w:bidi="ar-SA"/>
        </w:rPr>
        <w:t xml:space="preserve">, at para. 34, </w:t>
      </w:r>
      <w:hyperlink r:id="rId1073" w:history="1">
        <w:r>
          <w:rPr>
            <w:rFonts w:ascii="arial" w:eastAsia="arial" w:hAnsi="arial" w:cs="arial"/>
            <w:i/>
            <w:color w:val="0077CC"/>
            <w:sz w:val="20"/>
            <w:u w:val="single"/>
            <w:shd w:val="clear" w:color="auto" w:fill="FFFFFF"/>
            <w:lang w:val="en-US" w:eastAsia="en-US" w:bidi="ar-SA"/>
          </w:rPr>
          <w:t>[2001] 3 S.C.R. 184</w:t>
        </w:r>
      </w:hyperlink>
      <w:r>
        <w:rPr>
          <w:rFonts w:ascii="arial" w:eastAsia="arial" w:hAnsi="arial" w:cs="arial"/>
          <w:color w:val="000000"/>
          <w:sz w:val="20"/>
          <w:lang w:val="en-US" w:eastAsia="en-US" w:bidi="ar-SA"/>
        </w:rPr>
        <w:t>, are relevant to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Accordingly, I find that the statement of claim discloses a cause of action for the punitive damages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2. Is there an identifiable class of two or more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Ms. Chalmers' proposed class definition includes three subclasses. AMO argues that there is insufficient admissible evidence to establish the existence of an identifiable class of two or more persons for any of the three subclasses. In making the argument, it relies upon </w:t>
      </w:r>
      <w:r>
        <w:rPr>
          <w:rFonts w:ascii="arial" w:eastAsia="arial" w:hAnsi="arial" w:cs="arial"/>
          <w:b/>
          <w:i/>
          <w:color w:val="000000"/>
          <w:sz w:val="20"/>
          <w:lang w:val="en-US" w:eastAsia="en-US" w:bidi="ar-SA"/>
        </w:rPr>
        <w:t>Hollick v. Toronto (City)</w:t>
      </w:r>
      <w:r>
        <w:rPr>
          <w:rFonts w:ascii="arial" w:eastAsia="arial" w:hAnsi="arial" w:cs="arial"/>
          <w:color w:val="000000"/>
          <w:sz w:val="20"/>
          <w:lang w:val="en-US" w:eastAsia="en-US" w:bidi="ar-SA"/>
        </w:rPr>
        <w:t xml:space="preserve">, </w:t>
      </w:r>
      <w:hyperlink r:id="rId1074" w:history="1">
        <w:r>
          <w:rPr>
            <w:rFonts w:ascii="arial" w:eastAsia="arial" w:hAnsi="arial" w:cs="arial"/>
            <w:i/>
            <w:color w:val="0077CC"/>
            <w:sz w:val="20"/>
            <w:u w:val="single"/>
            <w:shd w:val="clear" w:color="auto" w:fill="FFFFFF"/>
            <w:lang w:val="en-US" w:eastAsia="en-US" w:bidi="ar-SA"/>
          </w:rPr>
          <w:t>2001 SCC 68</w:t>
        </w:r>
      </w:hyperlink>
      <w:r>
        <w:rPr>
          <w:rFonts w:ascii="arial" w:eastAsia="arial" w:hAnsi="arial" w:cs="arial"/>
          <w:color w:val="000000"/>
          <w:sz w:val="20"/>
          <w:lang w:val="en-US" w:eastAsia="en-US" w:bidi="ar-SA"/>
        </w:rPr>
        <w:t xml:space="preserve">, </w:t>
      </w:r>
      <w:hyperlink r:id="rId1074" w:history="1">
        <w:r>
          <w:rPr>
            <w:rFonts w:ascii="arial" w:eastAsia="arial" w:hAnsi="arial" w:cs="arial"/>
            <w:i/>
            <w:color w:val="0077CC"/>
            <w:sz w:val="20"/>
            <w:u w:val="single"/>
            <w:shd w:val="clear" w:color="auto" w:fill="FFFFFF"/>
            <w:lang w:val="en-US" w:eastAsia="en-US" w:bidi="ar-SA"/>
          </w:rPr>
          <w:t>[2001] 3 S.C.R. 158</w:t>
        </w:r>
      </w:hyperlink>
      <w:r>
        <w:rPr>
          <w:rFonts w:ascii="arial" w:eastAsia="arial" w:hAnsi="arial" w:cs="arial"/>
          <w:color w:val="000000"/>
          <w:sz w:val="20"/>
          <w:lang w:val="en-US" w:eastAsia="en-US" w:bidi="ar-SA"/>
        </w:rPr>
        <w:t xml:space="preserve">, for the proposition that the plaintiff in a class action must "show some basis in fact" to meet the certification criteria. AMO also argues that on a certification hearing, information presented by the parties must meet the usual criteria for admissibility of evidence: </w:t>
      </w:r>
      <w:r>
        <w:rPr>
          <w:rFonts w:ascii="arial" w:eastAsia="arial" w:hAnsi="arial" w:cs="arial"/>
          <w:b/>
          <w:i/>
          <w:color w:val="000000"/>
          <w:sz w:val="20"/>
          <w:lang w:val="en-US" w:eastAsia="en-US" w:bidi="ar-SA"/>
        </w:rPr>
        <w:t>Ernewein v. General Motors of Canada Ltd.</w:t>
      </w:r>
      <w:r>
        <w:rPr>
          <w:rFonts w:ascii="arial" w:eastAsia="arial" w:hAnsi="arial" w:cs="arial"/>
          <w:color w:val="000000"/>
          <w:sz w:val="20"/>
          <w:lang w:val="en-US" w:eastAsia="en-US" w:bidi="ar-SA"/>
        </w:rPr>
        <w:t xml:space="preserve">, </w:t>
      </w:r>
      <w:hyperlink r:id="rId1075" w:history="1">
        <w:r>
          <w:rPr>
            <w:rFonts w:ascii="arial" w:eastAsia="arial" w:hAnsi="arial" w:cs="arial"/>
            <w:i/>
            <w:color w:val="0077CC"/>
            <w:sz w:val="20"/>
            <w:u w:val="single"/>
            <w:shd w:val="clear" w:color="auto" w:fill="FFFFFF"/>
            <w:lang w:val="en-US" w:eastAsia="en-US" w:bidi="ar-SA"/>
          </w:rPr>
          <w:t>2005 BCCA 540</w:t>
        </w:r>
      </w:hyperlink>
      <w:r>
        <w:rPr>
          <w:rFonts w:ascii="arial" w:eastAsia="arial" w:hAnsi="arial" w:cs="arial"/>
          <w:color w:val="000000"/>
          <w:sz w:val="20"/>
          <w:lang w:val="en-US" w:eastAsia="en-US" w:bidi="ar-SA"/>
        </w:rPr>
        <w:t xml:space="preserve">, </w:t>
      </w:r>
      <w:hyperlink r:id="rId1075" w:history="1">
        <w:r>
          <w:rPr>
            <w:rFonts w:ascii="arial" w:eastAsia="arial" w:hAnsi="arial" w:cs="arial"/>
            <w:i/>
            <w:color w:val="0077CC"/>
            <w:sz w:val="20"/>
            <w:u w:val="single"/>
            <w:shd w:val="clear" w:color="auto" w:fill="FFFFFF"/>
            <w:lang w:val="en-US" w:eastAsia="en-US" w:bidi="ar-SA"/>
          </w:rPr>
          <w:t>46 B.C.L.R. (4th) 234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this hearing, Ms. Chalmers only put evidence before the Court in relation to Subclass A (persons who contracted AK after using the Solution). For that reason, I will focus my analysis on whether there is sufficient evidence before the Court to certify that subclass. Currently, there is no basis for this Court to certify either Subclass B (persons who underwent testing for AK after using the Solution) or Subclass C (persons who had a monetary loss as a result of the recall of the Solution). However, this does not preclude the possibility of these subclasses being certified at a future date if sufficient evidence is brought before the Court on a further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Subclass A - Persons who contracted AK after using the 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Chalmers relies on the information contained in several affidavits to support certification of Subclass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Cherie Chalmers, Ms. Chalmers' mother and litigation guardian, swore that Ms. Chalmers used the Solution for at least two years and was diagnosed with AK after Dr. Dubord, one of her ophthalmologists, took corneal scrapings.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Michelle Hutton also deposed that she was diagnosed with AK after Dr. Dubord took corneal scrapings from her. Her affidavit was filed shortly before the certification hearing. She expressed a wish to participate in the proposed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Bojan Petrovic, a legal assistant, swore that he was informed by one of the lawyers at Klein Lyons that the firm had been contacted by six individuals in British Columbia who claimed to have used the Solution and been diagnosed with AK, including Ms. Chalmers and Ms. Hutton.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Alicyn Cummings, a paralegal with Klein Lyons, attached the letter from Dr. Patrick mentioned earlier in these reasons to her affidavit. I granted leave for Ms. Chalmers to file Ms. Cummings' affidavit even though the certification hearing concluded a few months before she made that application. I indicated at that hearing that I would provide my reasons for allowing the application to admit the additional evidence in these certification reasons. These are my reasons for that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allowing the application, I rejected AMO's argument that Ms. Chalmers had to meet the test for the introduction of fresh evidence set out in </w:t>
      </w:r>
      <w:r>
        <w:rPr>
          <w:rFonts w:ascii="arial" w:eastAsia="arial" w:hAnsi="arial" w:cs="arial"/>
          <w:b/>
          <w:i/>
          <w:color w:val="000000"/>
          <w:sz w:val="20"/>
          <w:lang w:val="en-US" w:eastAsia="en-US" w:bidi="ar-SA"/>
        </w:rPr>
        <w:t>Zhu v. Li</w:t>
      </w:r>
      <w:r>
        <w:rPr>
          <w:rFonts w:ascii="arial" w:eastAsia="arial" w:hAnsi="arial" w:cs="arial"/>
          <w:color w:val="000000"/>
          <w:sz w:val="20"/>
          <w:lang w:val="en-US" w:eastAsia="en-US" w:bidi="ar-SA"/>
        </w:rPr>
        <w:t xml:space="preserve">, </w:t>
      </w:r>
      <w:hyperlink r:id="rId1076" w:history="1">
        <w:r>
          <w:rPr>
            <w:rFonts w:ascii="arial" w:eastAsia="arial" w:hAnsi="arial" w:cs="arial"/>
            <w:i/>
            <w:color w:val="0077CC"/>
            <w:sz w:val="20"/>
            <w:u w:val="single"/>
            <w:shd w:val="clear" w:color="auto" w:fill="FFFFFF"/>
            <w:lang w:val="en-US" w:eastAsia="en-US" w:bidi="ar-SA"/>
          </w:rPr>
          <w:t>2007 BCSC 1467</w:t>
        </w:r>
      </w:hyperlink>
      <w:r>
        <w:rPr>
          <w:rFonts w:ascii="arial" w:eastAsia="arial" w:hAnsi="arial" w:cs="arial"/>
          <w:color w:val="000000"/>
          <w:sz w:val="20"/>
          <w:lang w:val="en-US" w:eastAsia="en-US" w:bidi="ar-SA"/>
        </w:rPr>
        <w:t xml:space="preserve">, </w:t>
      </w:r>
      <w:hyperlink r:id="rId1076" w:history="1">
        <w:r>
          <w:rPr>
            <w:rFonts w:ascii="arial" w:eastAsia="arial" w:hAnsi="arial" w:cs="arial"/>
            <w:i/>
            <w:color w:val="0077CC"/>
            <w:sz w:val="20"/>
            <w:u w:val="single"/>
            <w:shd w:val="clear" w:color="auto" w:fill="FFFFFF"/>
            <w:lang w:val="en-US" w:eastAsia="en-US" w:bidi="ar-SA"/>
          </w:rPr>
          <w:t>43 R.F.L. (6th) 376</w:t>
        </w:r>
      </w:hyperlink>
      <w:r>
        <w:rPr>
          <w:rFonts w:ascii="arial" w:eastAsia="arial" w:hAnsi="arial" w:cs="arial"/>
          <w:color w:val="000000"/>
          <w:sz w:val="20"/>
          <w:lang w:val="en-US" w:eastAsia="en-US" w:bidi="ar-SA"/>
        </w:rPr>
        <w:t xml:space="preserve">. That decision considered an application to introduce fresh evidence after trial. There is a significant difference between how the discretion to admit fresh evidence is exercised following a trial, compared with an interlocutory matter: </w:t>
      </w:r>
      <w:r>
        <w:rPr>
          <w:rFonts w:ascii="arial" w:eastAsia="arial" w:hAnsi="arial" w:cs="arial"/>
          <w:b/>
          <w:i/>
          <w:color w:val="000000"/>
          <w:sz w:val="20"/>
          <w:lang w:val="en-US" w:eastAsia="en-US" w:bidi="ar-SA"/>
        </w:rPr>
        <w:t>MacMillan Bloedel Limited. v. Mullin</w:t>
      </w:r>
      <w:r>
        <w:rPr>
          <w:rFonts w:ascii="arial" w:eastAsia="arial" w:hAnsi="arial" w:cs="arial"/>
          <w:color w:val="000000"/>
          <w:sz w:val="20"/>
          <w:lang w:val="en-US" w:eastAsia="en-US" w:bidi="ar-SA"/>
        </w:rPr>
        <w:t xml:space="preserve"> </w:t>
      </w:r>
      <w:hyperlink r:id="rId1077" w:history="1">
        <w:r>
          <w:rPr>
            <w:rFonts w:ascii="arial" w:eastAsia="arial" w:hAnsi="arial" w:cs="arial"/>
            <w:i/>
            <w:color w:val="0077CC"/>
            <w:sz w:val="20"/>
            <w:u w:val="single"/>
            <w:shd w:val="clear" w:color="auto" w:fill="FFFFFF"/>
            <w:lang w:val="en-US" w:eastAsia="en-US" w:bidi="ar-SA"/>
          </w:rPr>
          <w:t>(1985), 66 B.C.L.R. 258</w:t>
        </w:r>
      </w:hyperlink>
      <w:r>
        <w:rPr>
          <w:rFonts w:ascii="arial" w:eastAsia="arial" w:hAnsi="arial" w:cs="arial"/>
          <w:color w:val="000000"/>
          <w:sz w:val="20"/>
          <w:lang w:val="en-US" w:eastAsia="en-US" w:bidi="ar-SA"/>
        </w:rPr>
        <w:t xml:space="preserve"> (C.A.). The test for admission of fresh evidence on an interlocutory matter will be more relaxed.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exercising my discretion to allow the new evidence, I took into account s. 5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It requires parties to file affidavits containing information relevant to certification. Pursuant to s. 5(5)(c), an affiant is required to "provide the person's best information on the number of members in the proposed class." That issue is relevant to both class size and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Here, AMO's position was that the potential class size was very small. Dr. Ward indicated that AK was not a reportable disease in Canada. The information contained in Dr. Patrick's letter shows that Dr. Ward was incorrect about the issue of reporting requirements in British Columbia, and implies that AMO's position on class size may be incorrect. The information contained in the affidavit was, thus, relevant and of some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information contained in Dr. Patrick's letter should have been provided to the Court by one or both of the parties. Their failure to place that information before the Court at the time of the certification hearing should not leave the Court in the position of having to make the certification decision with incomplete information. It is a procedural decision. It should be made with the best information regarding potential class size before the Court.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contemplates that it may be necessary at times to adjourn the certification hearing to permit amendment of materials or pleadings and to permit the parties to adduce further evidence: s. 5(6). This provision is included in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to allow the Court to have the best information available to inform its certification decision. My decision to admit the fresh evidence was intended to permit more complete information to be before the Court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concerns that arise with the admission of fresh evidence following a trial are clearly different from those that arise on a certification application. While the parties should attempt to put all available information before the Court at the time of the certification hearing, the Court should be willing to consider additional evidence following the hearing where that evidence is relevant and an explanation is offered for the delay in placing it before the Court. The significance of the evidence and the merit in the explanation will be factors in the exercise of discretion. However, it is not necessary on a certification hearing that the party adducing additional evidence establish that a miscarriage of justice would probably occur or that the evidence would probably affect the result. Nor is it necessary for the party to establish that the evidence was not available with due diligence at the time of hearing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Here, the additional evidence is reasonably credible. It is provided by the B.C. Centre for Disease Control, the organization charged with obtaining information regarding disease in this province. The evidence is relevant to the issues noted and provides a better picture of the extent of AK in the province during the period in question. Ms. Cummings' affidavit provides an explanation as to how counsel became aware of the information. It is not surprising the parties were unaware that the B.C. Centre for Disease Control required reporting of AK, as the experts were apparently unaware of this at the time their reports were prepared. Given these circumstances, I exercised my discretion to admit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Following my ruling admitting Ms. Cummings' affidavit, AMO filed an affidavit that attached a further letter from Dr. Patrick dated March 30, 2009. That letter provided additional information about the reports of AK in British Columbia. Dr. Patrick stated that the cases were considered to be "lab confirmed" if there was "a compatible clinical presentation diagnosed by an Ophthalmologist with Laboratory Confirmation of Etiology" either through corneal tissue or scraping or identification of </w:t>
      </w:r>
      <w:r>
        <w:rPr>
          <w:rFonts w:ascii="arial" w:eastAsia="arial" w:hAnsi="arial" w:cs="arial"/>
          <w:i/>
          <w:color w:val="000000"/>
          <w:sz w:val="20"/>
          <w:lang w:val="en-US" w:eastAsia="en-US" w:bidi="ar-SA"/>
        </w:rPr>
        <w:t>Acanthamoeba</w:t>
      </w:r>
      <w:r>
        <w:rPr>
          <w:rFonts w:ascii="arial" w:eastAsia="arial" w:hAnsi="arial" w:cs="arial"/>
          <w:color w:val="000000"/>
          <w:sz w:val="20"/>
          <w:lang w:val="en-US" w:eastAsia="en-US" w:bidi="ar-SA"/>
        </w:rPr>
        <w:t xml:space="preserve"> in the contact lens, Solution or lens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Patrick was asked if the B.C. Centre for Disease Control had any data regarding the cause of AK in any of the cases. In response, Dr. Patrick indicated that causal inference was difficult with the data at hand, but that the Centre observed "a rapid drop off in case count (the epidemic curve) following AMO's voluntary recall of [the 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summary, Dr. Patrick's evidence was that there were 32 lab confirmed cases in British Columbia between January 2005 and May 2008. At least 55% of the 18 individuals interviewed reported use of the 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addition to the affidavit evidence pertaining to British Columbia cases, Ms. Chalmers also relies on four affidavits of prospective non-resident claimants. All of these non-residents swore that they had been diagnosed with AK following use of the Solution. However, they provided no particulars as to who made each diagnosis, or how each diagnosis was made or confirmed.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AMO concedes that there is some evidence to establish that there are two persons in the proposed class. However, it says that AK must be established based on reliable medical evidence; it asserts that there is none before the Court. It argues that the evidence provided by Ms. Cherie Chalmers and Ms. Hutton is hearsay. It further argues that the other evidence is inadmissible because Mr. Petrovic's evidence is triple hearsay, the evidence of Dr. Patrick is hearsay obtained by the B.C. Centre for Disease Control, and the evidence of the non-resident claimants is hearsay and does not identify the source of each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my view, the evidence of Ms. Cherie Chalmers and Ms. Hutton is sufficient to establish that there are two members of the proposed class in British Columbia. There is no need on a certification application for parties who suffer from disease to file affidavits from medical professionals confirming and setting out particulars as to the method of diagnosis. It is sufficient for the affected individual to swear that the diagnosis has been made. While that evidence is hearsay, where the source of the hearsay has been identified, the evidence can be admitted on an interlocutory application: Rule 51(10)(a) of the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other evidence Ms. Chalmers relies on to provide some indication of class size is also admissible. The parties are required under s. 5(5)(c)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to provide the "best information" regarding the number of members in the class. Such evidence will almost always be in the form of hearsay. While the evidence does not prove class size, it is relevant to considering the procedural issues that this Court must consider on a certification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summary, Ms. Chalmers has shown that there are two members of the class in British Columbia who contracted AK after using the solution. She has also provided information that there are likely other members in British Columbia, perhaps as many as 15 or 20. Further, the evidence establishes that there are likely numerous non-resident class members who contracted AK after using the 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3. Can the class definition include residents of Canada outside of British Columbia who purchased the 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AMO argues that the class proposed by Ms. Chalmers is overly broad because she includes putative class members who do not reside in British Columbia. AMO says that the non-residents do not have a real and substantial connection to British Columbia because they purchased and used the Solution outside of this province. According to AMO, any damages that these non-residents suffered occurred in their home provinces and have no relationship to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AMO further argues that the </w:t>
      </w:r>
      <w:r>
        <w:rPr>
          <w:rFonts w:ascii="arial" w:eastAsia="arial" w:hAnsi="arial" w:cs="arial"/>
          <w:b/>
          <w:i/>
          <w:color w:val="000000"/>
          <w:sz w:val="20"/>
          <w:lang w:val="en-US" w:eastAsia="en-US" w:bidi="ar-SA"/>
        </w:rPr>
        <w:t>Court Jurisdiction and Proceedings Transfer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28</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has now replaced the common law and has codified the test for determination of jurisdiction and consideration of the issue of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It argues that, pursuant to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this Court has no jurisdiction to hear the non-residents' claims. Alternatively, it says that this Court should decline to exercise territorial competence because British Columbia is not a convenient forum in which to hear the proceeding because the evidence relating to damages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come from witnesses who reside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Supreme Court of Canada recently concluded that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provides a complete code for consideration of the territorial competence of this Court as well as whether the court of another state is a more appropriate forum in which to hear a proceeding: </w:t>
      </w:r>
      <w:r>
        <w:rPr>
          <w:rFonts w:ascii="arial" w:eastAsia="arial" w:hAnsi="arial" w:cs="arial"/>
          <w:b/>
          <w:i/>
          <w:color w:val="000000"/>
          <w:sz w:val="20"/>
          <w:lang w:val="en-US" w:eastAsia="en-US" w:bidi="ar-SA"/>
        </w:rPr>
        <w:t>Teck Cominco Metals Ltd. v. Lloyd's Underwriters</w:t>
      </w:r>
      <w:r>
        <w:rPr>
          <w:rFonts w:ascii="arial" w:eastAsia="arial" w:hAnsi="arial" w:cs="arial"/>
          <w:color w:val="000000"/>
          <w:sz w:val="20"/>
          <w:lang w:val="en-US" w:eastAsia="en-US" w:bidi="ar-SA"/>
        </w:rPr>
        <w:t xml:space="preserve">, </w:t>
      </w:r>
      <w:hyperlink r:id="rId1078" w:history="1">
        <w:r>
          <w:rPr>
            <w:rFonts w:ascii="arial" w:eastAsia="arial" w:hAnsi="arial" w:cs="arial"/>
            <w:i/>
            <w:color w:val="0077CC"/>
            <w:sz w:val="20"/>
            <w:u w:val="single"/>
            <w:shd w:val="clear" w:color="auto" w:fill="FFFFFF"/>
            <w:lang w:val="en-US" w:eastAsia="en-US" w:bidi="ar-SA"/>
          </w:rPr>
          <w:t>2009 SCC 11</w:t>
        </w:r>
      </w:hyperlink>
      <w:r>
        <w:rPr>
          <w:rFonts w:ascii="arial" w:eastAsia="arial" w:hAnsi="arial" w:cs="arial"/>
          <w:color w:val="000000"/>
          <w:sz w:val="20"/>
          <w:lang w:val="en-US" w:eastAsia="en-US" w:bidi="ar-SA"/>
        </w:rPr>
        <w:t xml:space="preserve">, </w:t>
      </w:r>
      <w:hyperlink r:id="rId1078" w:history="1">
        <w:r>
          <w:rPr>
            <w:rFonts w:ascii="arial" w:eastAsia="arial" w:hAnsi="arial" w:cs="arial"/>
            <w:i/>
            <w:color w:val="0077CC"/>
            <w:sz w:val="20"/>
            <w:u w:val="single"/>
            <w:shd w:val="clear" w:color="auto" w:fill="FFFFFF"/>
            <w:lang w:val="en-US" w:eastAsia="en-US" w:bidi="ar-SA"/>
          </w:rPr>
          <w:t>[2009] 3 W.W.R. 191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first step in the analysis is to determine if this Court has territorial competence to hear the claims of non-residents. Section 2(2)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specifies that "territorial competence is to be determined solely" by Part II of that Act. The starting point is s. 3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which states in relevant part as follows:</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has territorial competence in a proceeding that is brought against a person only if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is ordinarily resident in British Columbia at the time of the commencement of the proceeding, or</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real and substantial connection between British Columbia and the facts on which the proceeding against that person is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AMO's argument focused entirely on sub-section 3(e), whether there is a real and substantial connection to British Columbia given the circumstances of this proceeding. While it is necessary to consider that issue in relation to the claims advanced against Advanced Medical Optics, Inc., there is no question that this Court has territorial competence in relation to the claims against AMO Canada Company under s. 3(d). That defendant is a Nova Scotia corporation that has been extra-provincially registered in British Columbia since 2003. As a result, pursuant to s. 7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AMO Canada Company is ordinarily resident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With regard to the claims advanced against Advanced Medical Optics, Inc., the non-resident claimants must rely on s. 3(e). They must demonstrate that there is a real and substantial connection between this province and the facts on which the proceeding is based. Section 10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provides that if specific circumstances are found to exist, there is a presumption that there is a real and substantial connection. There is no question that none of those enumerated circumstances are present in this case. However, s. 10 permits a plaintiff to establish that connection on the basis of other circumstances:</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the right of the plaintiff to prove other circumstances that constitute a real and substantial connection between British Columbia and the facts on which a proceeding is based, a real and substantial connection between British Columbia and those facts is presumed to exist if the proceeding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circumstances that are relevant to determining whether there is a real and substantial connection in this case include the following:</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AMO Canada Company is a wholly owned subsidiary of Advanced Medical Optics, Inc. Ms. Chalmers alleges that the defendants individually and jointly researched, developed, tested, manufactured, distributed and sold the Solution.</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common issues and the punitive damages common issue are the same issues that would have to be considered in litigation against the defendants in individual or class proceedings in other provinces.</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have determined that all of the common issues are suitable issues for certification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for British Columbia residents who purchased or used the Solution and contracted 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Harrington v. Dow Corning Corp.</w:t>
      </w:r>
      <w:r>
        <w:rPr>
          <w:rFonts w:ascii="arial" w:eastAsia="arial" w:hAnsi="arial" w:cs="arial"/>
          <w:color w:val="000000"/>
          <w:sz w:val="20"/>
          <w:lang w:val="en-US" w:eastAsia="en-US" w:bidi="ar-SA"/>
        </w:rPr>
        <w:t xml:space="preserve">, </w:t>
      </w:r>
      <w:hyperlink r:id="rId1079" w:history="1">
        <w:r>
          <w:rPr>
            <w:rFonts w:ascii="arial" w:eastAsia="arial" w:hAnsi="arial" w:cs="arial"/>
            <w:i/>
            <w:color w:val="0077CC"/>
            <w:sz w:val="20"/>
            <w:u w:val="single"/>
            <w:shd w:val="clear" w:color="auto" w:fill="FFFFFF"/>
            <w:lang w:val="en-US" w:eastAsia="en-US" w:bidi="ar-SA"/>
          </w:rPr>
          <w:t>2000 BCCA 605</w:t>
        </w:r>
      </w:hyperlink>
      <w:r>
        <w:rPr>
          <w:rFonts w:ascii="arial" w:eastAsia="arial" w:hAnsi="arial" w:cs="arial"/>
          <w:color w:val="000000"/>
          <w:sz w:val="20"/>
          <w:lang w:val="en-US" w:eastAsia="en-US" w:bidi="ar-SA"/>
        </w:rPr>
        <w:t xml:space="preserve">, </w:t>
      </w:r>
      <w:hyperlink r:id="rId1079" w:history="1">
        <w:r>
          <w:rPr>
            <w:rFonts w:ascii="arial" w:eastAsia="arial" w:hAnsi="arial" w:cs="arial"/>
            <w:i/>
            <w:color w:val="0077CC"/>
            <w:sz w:val="20"/>
            <w:u w:val="single"/>
            <w:shd w:val="clear" w:color="auto" w:fill="FFFFFF"/>
            <w:lang w:val="en-US" w:eastAsia="en-US" w:bidi="ar-SA"/>
          </w:rPr>
          <w:t>193 D.L.R. (4th) 67</w:t>
        </w:r>
      </w:hyperlink>
      <w:r>
        <w:rPr>
          <w:rFonts w:ascii="arial" w:eastAsia="arial" w:hAnsi="arial" w:cs="arial"/>
          <w:color w:val="000000"/>
          <w:sz w:val="20"/>
          <w:lang w:val="en-US" w:eastAsia="en-US" w:bidi="ar-SA"/>
        </w:rPr>
        <w:t xml:space="preserve">, the Court of Appeal considered whether the existence of a certified class proceeding was relevant to the determination of whether the British Columbia courts had jurisdiction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in a products liability action involving breast implants. The defendants in </w:t>
      </w:r>
      <w:r>
        <w:rPr>
          <w:rFonts w:ascii="arial" w:eastAsia="arial" w:hAnsi="arial" w:cs="arial"/>
          <w:b/>
          <w:i/>
          <w:color w:val="000000"/>
          <w:sz w:val="20"/>
          <w:lang w:val="en-US" w:eastAsia="en-US" w:bidi="ar-SA"/>
        </w:rPr>
        <w:t>Harrington</w:t>
      </w:r>
      <w:r>
        <w:rPr>
          <w:rFonts w:ascii="arial" w:eastAsia="arial" w:hAnsi="arial" w:cs="arial"/>
          <w:color w:val="000000"/>
          <w:sz w:val="20"/>
          <w:lang w:val="en-US" w:eastAsia="en-US" w:bidi="ar-SA"/>
        </w:rPr>
        <w:t xml:space="preserve"> argued, as AMO does here, that the non-resident claimants should not be permitted to piggy-back their claims on the residents'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Section 16(2)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permits non-residents to be class members in a proceeding in British Columbia:</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(4), a person who is not a resident of British Columbia may, in the manner and within the time specified in the certification order made in respect of a class proceeding, opt in to that class proceeding if the person would be, but for not being a resident of British Columbia, a member of the class involved in the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Harrington</w:t>
      </w:r>
      <w:r>
        <w:rPr>
          <w:rFonts w:ascii="arial" w:eastAsia="arial" w:hAnsi="arial" w:cs="arial"/>
          <w:color w:val="000000"/>
          <w:sz w:val="20"/>
          <w:lang w:val="en-US" w:eastAsia="en-US" w:bidi="ar-SA"/>
        </w:rPr>
        <w:t>, Huddart J.A. noted, at para. 85, that this is a procedural provision that does not seek to extend the jurisdiction of British Columbia courts but "tells a court that the Legislature accepts, even encourages, a decision to include non-residents in class proceedings as a matter of public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chambers judge in </w:t>
      </w:r>
      <w:r>
        <w:rPr>
          <w:rFonts w:ascii="arial" w:eastAsia="arial" w:hAnsi="arial" w:cs="arial"/>
          <w:b/>
          <w:i/>
          <w:color w:val="000000"/>
          <w:sz w:val="20"/>
          <w:lang w:val="en-US" w:eastAsia="en-US" w:bidi="ar-SA"/>
        </w:rPr>
        <w:t>Harrington v. Dow Corning Corp.</w:t>
      </w:r>
      <w:r>
        <w:rPr>
          <w:rFonts w:ascii="arial" w:eastAsia="arial" w:hAnsi="arial" w:cs="arial"/>
          <w:color w:val="000000"/>
          <w:sz w:val="20"/>
          <w:lang w:val="en-US" w:eastAsia="en-US" w:bidi="ar-SA"/>
        </w:rPr>
        <w:t xml:space="preserve"> </w:t>
      </w:r>
      <w:hyperlink r:id="rId1080" w:history="1">
        <w:r>
          <w:rPr>
            <w:rFonts w:ascii="arial" w:eastAsia="arial" w:hAnsi="arial" w:cs="arial"/>
            <w:i/>
            <w:color w:val="0077CC"/>
            <w:sz w:val="20"/>
            <w:u w:val="single"/>
            <w:shd w:val="clear" w:color="auto" w:fill="FFFFFF"/>
            <w:lang w:val="en-US" w:eastAsia="en-US" w:bidi="ar-SA"/>
          </w:rPr>
          <w:t>(1997), 29 B.C.L.R. (3d) 88</w:t>
        </w:r>
      </w:hyperlink>
      <w:r>
        <w:rPr>
          <w:rFonts w:ascii="arial" w:eastAsia="arial" w:hAnsi="arial" w:cs="arial"/>
          <w:color w:val="000000"/>
          <w:sz w:val="20"/>
          <w:lang w:val="en-US" w:eastAsia="en-US" w:bidi="ar-SA"/>
        </w:rPr>
        <w:t xml:space="preserve"> (S.C.), Mackenzie J. (as he then was), found that this Court had jurisdiction over non-resident claimants. That decision was made on the basis of the common law test for "real and substantial connection". The common issue in that case was whether silicone gel breast implants were reasonably fit for their intended purpose. He stated as follows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demands of multi-claimant manufacturers' liability litigation require recognition of concurrent jurisdiction of courts within Canada. In such cases there is no utility in having the same factual issues litigated in several jurisdictions if the claims can be consolidated. I do not think that </w:t>
      </w:r>
      <w:r>
        <w:rPr>
          <w:rFonts w:ascii="arial" w:eastAsia="arial" w:hAnsi="arial" w:cs="arial"/>
          <w:i/>
          <w:color w:val="000000"/>
          <w:sz w:val="20"/>
          <w:lang w:val="en-US" w:eastAsia="en-US" w:bidi="ar-SA"/>
        </w:rPr>
        <w:t>Nitsuko</w:t>
      </w:r>
      <w:r>
        <w:rPr>
          <w:rFonts w:ascii="arial" w:eastAsia="arial" w:hAnsi="arial" w:cs="arial"/>
          <w:color w:val="000000"/>
          <w:sz w:val="20"/>
          <w:lang w:val="en-US" w:eastAsia="en-US" w:bidi="ar-SA"/>
        </w:rPr>
        <w:t xml:space="preserve"> </w:t>
      </w:r>
      <w:hyperlink r:id="rId1081" w:history="1">
        <w:r>
          <w:rPr>
            <w:rFonts w:ascii="arial" w:eastAsia="arial" w:hAnsi="arial" w:cs="arial"/>
            <w:i/>
            <w:color w:val="0077CC"/>
            <w:sz w:val="20"/>
            <w:u w:val="single"/>
            <w:shd w:val="clear" w:color="auto" w:fill="FFFFFF"/>
            <w:lang w:val="en-US" w:eastAsia="en-US" w:bidi="ar-SA"/>
          </w:rPr>
          <w:t>[1990] B.C.J. No. 569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Con Pro</w:t>
      </w:r>
      <w:r>
        <w:rPr>
          <w:rFonts w:ascii="arial" w:eastAsia="arial" w:hAnsi="arial" w:cs="arial"/>
          <w:color w:val="000000"/>
          <w:sz w:val="20"/>
          <w:lang w:val="en-US" w:eastAsia="en-US" w:bidi="ar-SA"/>
        </w:rPr>
        <w:t xml:space="preserve"> </w:t>
      </w:r>
      <w:hyperlink r:id="rId1082" w:history="1">
        <w:r>
          <w:rPr>
            <w:rFonts w:ascii="arial" w:eastAsia="arial" w:hAnsi="arial" w:cs="arial"/>
            <w:i/>
            <w:color w:val="0077CC"/>
            <w:sz w:val="20"/>
            <w:u w:val="single"/>
            <w:shd w:val="clear" w:color="auto" w:fill="FFFFFF"/>
            <w:lang w:val="en-US" w:eastAsia="en-US" w:bidi="ar-SA"/>
          </w:rPr>
          <w:t>[1992] B.C.J. No. 513</w:t>
        </w:r>
      </w:hyperlink>
      <w:r>
        <w:rPr>
          <w:rFonts w:ascii="arial" w:eastAsia="arial" w:hAnsi="arial" w:cs="arial"/>
          <w:color w:val="000000"/>
          <w:sz w:val="20"/>
          <w:lang w:val="en-US" w:eastAsia="en-US" w:bidi="ar-SA"/>
        </w:rPr>
        <w:t xml:space="preserve">, stand in the way of concurrent jurisdiction as they do not deal with claims inside and outside the province which raise the same common issue. </w:t>
      </w:r>
      <w:r>
        <w:rPr>
          <w:rFonts w:ascii="arial" w:eastAsia="arial" w:hAnsi="arial" w:cs="arial"/>
          <w:color w:val="000000"/>
          <w:sz w:val="20"/>
          <w:u w:val="single"/>
          <w:lang w:val="en-US" w:eastAsia="en-US" w:bidi="ar-SA"/>
        </w:rPr>
        <w:t>It is that common issue which establishes the real and substantial connection necessary for jurisdiction.</w:t>
      </w:r>
      <w:r>
        <w:rPr>
          <w:rFonts w:ascii="arial" w:eastAsia="arial" w:hAnsi="arial" w:cs="arial"/>
          <w:color w:val="000000"/>
          <w:sz w:val="20"/>
          <w:lang w:val="en-US" w:eastAsia="en-US" w:bidi="ar-SA"/>
        </w:rPr>
        <w:t xml:space="preserve"> [italics in original; underline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Court of Appeal upheld the chambers decision. Its decision to do so was based on a consideration of the circumstances that exist in product liability cases and the values that underlie conflict of laws principles. While the decision predates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the comments of Huddart J. at paras. 92, 97 and 99 are relevant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the alleged wrongful acts are defective manufacture or failure to warn. When a manufacturer puts a product into the marketplace in any province in Canada, it must be assumed that the manufacturer knows the product may find itself anywhere in Canada if it is capable of being moved. As I suggested earlier in these reasons, it is reasonable to infer that a manufacturer of a breast implant knows that every purchaser will wear that implant wherever she resides, and that if the implant causes injury then the suffering will occur wherever she resides, and require treatment in that location. By the action of sale, the manufacturer risks an action in any province. In these circumstances, there can be no injustice in requiring a manufacturer to submit to judgment in any Canadian province.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appellants acknowledge the jurisdiction of British Columbia courts to determine the claims of at least those resident and non-resident class members implanted in British Columbia. They are defending the class action. I have found that the British Columbia courts have jurisdiction to determine the claims of all residents. I accept that presence in the jurisdiction for the purpose of the defence of one claim does not create presence in the jurisdiction for the purpose of the prosecution of another independent claim. </w:t>
      </w:r>
      <w:r>
        <w:rPr>
          <w:rFonts w:ascii="arial" w:eastAsia="arial" w:hAnsi="arial" w:cs="arial"/>
          <w:color w:val="000000"/>
          <w:sz w:val="20"/>
          <w:u w:val="single"/>
          <w:lang w:val="en-US" w:eastAsia="en-US" w:bidi="ar-SA"/>
        </w:rPr>
        <w:t>However, I do not accept that proposition as precluding a court from taking account of that presence for the purpose of determining whether the existence of a certified class action with a common issue provides a real and substantial connection between the province and the subject matter of the claim that a non-resident seeks to have resolved in the same class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permit what the appellants call "piggy backing" in a class proceeding is not to gut the foundation of conflict of laws principles. Rather, as I have tried to explain, it is to accommodate the values underlying those principles. To exclude those respondents who do not reside in British Columbia from this action because they have not used the product in British Columbia would, in these circumstances, contradict the principles of order and fairness that underlie the jurisdictional rules. By opting-in the non-resident class members are accepting that their claims are essentially the same as those of the resident class members. To the extent the appellants can establish they are not, they can be excluded by order of the case management or trial judge upon application.</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AMO has argued that </w:t>
      </w:r>
      <w:r>
        <w:rPr>
          <w:rFonts w:ascii="arial" w:eastAsia="arial" w:hAnsi="arial" w:cs="arial"/>
          <w:b/>
          <w:i/>
          <w:color w:val="000000"/>
          <w:sz w:val="20"/>
          <w:lang w:val="en-US" w:eastAsia="en-US" w:bidi="ar-SA"/>
        </w:rPr>
        <w:t>Harrington</w:t>
      </w:r>
      <w:r>
        <w:rPr>
          <w:rFonts w:ascii="arial" w:eastAsia="arial" w:hAnsi="arial" w:cs="arial"/>
          <w:color w:val="000000"/>
          <w:sz w:val="20"/>
          <w:lang w:val="en-US" w:eastAsia="en-US" w:bidi="ar-SA"/>
        </w:rPr>
        <w:t xml:space="preserve"> is not authority for the proposition that the Court should certify every putative product liability claim. It says that the circumstances of this case are distinguishable from </w:t>
      </w:r>
      <w:r>
        <w:rPr>
          <w:rFonts w:ascii="arial" w:eastAsia="arial" w:hAnsi="arial" w:cs="arial"/>
          <w:b/>
          <w:i/>
          <w:color w:val="000000"/>
          <w:sz w:val="20"/>
          <w:lang w:val="en-US" w:eastAsia="en-US" w:bidi="ar-SA"/>
        </w:rPr>
        <w:t>Harrington</w:t>
      </w:r>
      <w:r>
        <w:rPr>
          <w:rFonts w:ascii="arial" w:eastAsia="arial" w:hAnsi="arial" w:cs="arial"/>
          <w:color w:val="000000"/>
          <w:sz w:val="20"/>
          <w:lang w:val="en-US" w:eastAsia="en-US" w:bidi="ar-SA"/>
        </w:rPr>
        <w:t xml:space="preserve">. I disagree. The existence of the certified proceeding in British Columbia is a relevant factor in this case. If the non-residents opt in, they accept that their claims are "essentially the same" as those of the resident class members. The fact that there are fewer class members in this case than in </w:t>
      </w:r>
      <w:r>
        <w:rPr>
          <w:rFonts w:ascii="arial" w:eastAsia="arial" w:hAnsi="arial" w:cs="arial"/>
          <w:b/>
          <w:i/>
          <w:color w:val="000000"/>
          <w:sz w:val="20"/>
          <w:lang w:val="en-US" w:eastAsia="en-US" w:bidi="ar-SA"/>
        </w:rPr>
        <w:t>Harrington</w:t>
      </w:r>
      <w:r>
        <w:rPr>
          <w:rFonts w:ascii="arial" w:eastAsia="arial" w:hAnsi="arial" w:cs="arial"/>
          <w:color w:val="000000"/>
          <w:sz w:val="20"/>
          <w:lang w:val="en-US" w:eastAsia="en-US" w:bidi="ar-SA"/>
        </w:rPr>
        <w:t xml:space="preserve"> does not change the analysis. The alleged wrongful act is the defective design and manufacture of the Solution. AMO placed the Solution in the marketplace throughout Canada. In doing so, it knew that it risked action being taken against it in any province. There is no injustice in requiring AMO to submit to the jurisdiction of the courts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only other consideration is whether </w:t>
      </w:r>
      <w:r>
        <w:rPr>
          <w:rFonts w:ascii="arial" w:eastAsia="arial" w:hAnsi="arial" w:cs="arial"/>
          <w:b/>
          <w:i/>
          <w:color w:val="000000"/>
          <w:sz w:val="20"/>
          <w:lang w:val="en-US" w:eastAsia="en-US" w:bidi="ar-SA"/>
        </w:rPr>
        <w:t>Harrington</w:t>
      </w:r>
      <w:r>
        <w:rPr>
          <w:rFonts w:ascii="arial" w:eastAsia="arial" w:hAnsi="arial" w:cs="arial"/>
          <w:color w:val="000000"/>
          <w:sz w:val="20"/>
          <w:lang w:val="en-US" w:eastAsia="en-US" w:bidi="ar-SA"/>
        </w:rPr>
        <w:t xml:space="preserve"> no longer applies in British Columbia due to the passage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That argument cannot be accepted. The reasoning in </w:t>
      </w:r>
      <w:r>
        <w:rPr>
          <w:rFonts w:ascii="arial" w:eastAsia="arial" w:hAnsi="arial" w:cs="arial"/>
          <w:b/>
          <w:i/>
          <w:color w:val="000000"/>
          <w:sz w:val="20"/>
          <w:lang w:val="en-US" w:eastAsia="en-US" w:bidi="ar-SA"/>
        </w:rPr>
        <w:t>Harrington</w:t>
      </w:r>
      <w:r>
        <w:rPr>
          <w:rFonts w:ascii="arial" w:eastAsia="arial" w:hAnsi="arial" w:cs="arial"/>
          <w:color w:val="000000"/>
          <w:sz w:val="20"/>
          <w:lang w:val="en-US" w:eastAsia="en-US" w:bidi="ar-SA"/>
        </w:rPr>
        <w:t xml:space="preserve"> is applicable under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Section 10 does not limit the type of circumstances that may constitute a real and substantial connection. The analysis of Huddart J. is equally applicable to a consideration of the test established pursuant to ss. 3(d) and 10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as it was to the common law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last stage of this analysis is to determine if this Court should decline to exercise its territorial competence because the court of another state is a more appropriate forum in which to hear the proceeding. Section 11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sets out the proper approach to this issue:</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 After considering the interests of the parties to a proceeding and the ends of justice, a court may decline to exercise its territorial competence in the proceeding on the ground that a court of another state is a more appropriate forum in which to hear the proceeding.</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in deciding the question of whether it or a court outside British Columbia is the more appropriate forum in which to hear a proceeding, must consider the circumstances relevant to the proceeding, including</w:t>
      </w:r>
    </w:p>
    <w:p>
      <w:pPr>
        <w:numPr>
          <w:numId w:val="1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comparative convenience and expense for the parties to the proceeding and for their witnesses, in litigating in the court or in any alternative forum,</w:t>
      </w:r>
    </w:p>
    <w:p>
      <w:pPr>
        <w:numPr>
          <w:numId w:val="1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 to be applied to issues in the proceeding,</w:t>
      </w:r>
    </w:p>
    <w:p>
      <w:pPr>
        <w:numPr>
          <w:numId w:val="1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desirability of avoiding multiplicity of legal proceedings,</w:t>
      </w:r>
    </w:p>
    <w:p>
      <w:pPr>
        <w:numPr>
          <w:numId w:val="1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desirability of avoiding conflicting decisions in different courts,</w:t>
      </w:r>
    </w:p>
    <w:p>
      <w:pPr>
        <w:numPr>
          <w:numId w:val="1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enforcement of an eventual judgment, and</w:t>
      </w:r>
    </w:p>
    <w:p>
      <w:pPr>
        <w:numPr>
          <w:numId w:val="1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fair and efficient working of the Canadian legal system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While AMO argues that this Court should decline to exercise its territorial competence, it has not put forward an alternate jurisdiction that is more appropriate for hearing the proceeding. In essence, its position is that for every non-resident claimant, his or her province of residence is the appropriate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This argument requires consideration of the circumstances set out in s. 11(2)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It is readily apparent that those factors favour a certification that includes non-residents:</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aggregation of claims, including non-residents, provides economies of scale that will reduce the costs for all parties. While there is some inconvenience for the non-resident class members, they will weigh that inconvenience when deciding whether to opt in.</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AMO has not put forward any evidence to show that the law to be applied will be a factor of any significance on either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common issues or the punitive damages common issue. The comments of the court in </w:t>
      </w:r>
      <w:r>
        <w:rPr>
          <w:rFonts w:ascii="arial" w:eastAsia="arial" w:hAnsi="arial" w:cs="arial"/>
          <w:b/>
          <w:i/>
          <w:color w:val="000000"/>
          <w:sz w:val="20"/>
          <w:lang w:val="en-US" w:eastAsia="en-US" w:bidi="ar-SA"/>
        </w:rPr>
        <w:t>Nantais v. Telectronics Proprietary (Canada) Ltd.</w:t>
      </w:r>
      <w:r>
        <w:rPr>
          <w:rFonts w:ascii="arial" w:eastAsia="arial" w:hAnsi="arial" w:cs="arial"/>
          <w:color w:val="000000"/>
          <w:sz w:val="20"/>
          <w:lang w:val="en-US" w:eastAsia="en-US" w:bidi="ar-SA"/>
        </w:rPr>
        <w:t xml:space="preserve"> </w:t>
      </w:r>
      <w:hyperlink r:id="rId1083" w:history="1">
        <w:r>
          <w:rPr>
            <w:rFonts w:ascii="arial" w:eastAsia="arial" w:hAnsi="arial" w:cs="arial"/>
            <w:i/>
            <w:color w:val="0077CC"/>
            <w:sz w:val="20"/>
            <w:u w:val="single"/>
            <w:shd w:val="clear" w:color="auto" w:fill="FFFFFF"/>
            <w:lang w:val="en-US" w:eastAsia="en-US" w:bidi="ar-SA"/>
          </w:rPr>
          <w:t>(1995), 129 D.L.R. (4th) 110</w:t>
        </w:r>
      </w:hyperlink>
      <w:r>
        <w:rPr>
          <w:rFonts w:ascii="arial" w:eastAsia="arial" w:hAnsi="arial" w:cs="arial"/>
          <w:color w:val="000000"/>
          <w:sz w:val="20"/>
          <w:lang w:val="en-US" w:eastAsia="en-US" w:bidi="ar-SA"/>
        </w:rPr>
        <w:t xml:space="preserve"> at 114, </w:t>
      </w:r>
      <w:hyperlink r:id="rId1084" w:history="1">
        <w:r>
          <w:rPr>
            <w:rFonts w:ascii="arial" w:eastAsia="arial" w:hAnsi="arial" w:cs="arial"/>
            <w:i/>
            <w:color w:val="0077CC"/>
            <w:sz w:val="20"/>
            <w:u w:val="single"/>
            <w:shd w:val="clear" w:color="auto" w:fill="FFFFFF"/>
            <w:lang w:val="en-US" w:eastAsia="en-US" w:bidi="ar-SA"/>
          </w:rPr>
          <w:t>25 O.R. (3d) 331</w:t>
        </w:r>
      </w:hyperlink>
      <w:r>
        <w:rPr>
          <w:rFonts w:ascii="arial" w:eastAsia="arial" w:hAnsi="arial" w:cs="arial"/>
          <w:color w:val="000000"/>
          <w:sz w:val="20"/>
          <w:lang w:val="en-US" w:eastAsia="en-US" w:bidi="ar-SA"/>
        </w:rPr>
        <w:t xml:space="preserve"> (Ont. Ct. J. (Gen. Div.)), are applicable here: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 more practical level it is argued that a court attempting to try this class proceeding will face a multiplicity of laws from all of the provinces which may confuse the matter. This argument in my view is largely speculative. I am not aware of any difference in the law respecting product liability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common law provinces and I have not been shown that there is any real difference between the common law on this matter and the law in the Province of Quebec.</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inclusion of non-residents will make it possible to reduce or avoid multiplicity of proceedings.</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inclusion of non-residents will reduce the possibility of conflicting decisions in different courts.</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Certification of national class actions promotes the fair and efficient use of resources within the Canadian legal system as a whole. It encourages co-operation between the provinces and reduces the number of individual and class proceedings involving a single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AMO also argues that the inclusion of non-resident claims will mean it may have to defend multiple claims from the same individual. It says that a non-resident class member may be able to make a claim in their own province similar to the </w:t>
      </w:r>
      <w:r>
        <w:rPr>
          <w:rFonts w:ascii="arial" w:eastAsia="arial" w:hAnsi="arial" w:cs="arial"/>
          <w:b/>
          <w:i/>
          <w:color w:val="000000"/>
          <w:sz w:val="20"/>
          <w:lang w:val="en-US" w:eastAsia="en-US" w:bidi="ar-SA"/>
        </w:rPr>
        <w:t>BPCPA</w:t>
      </w:r>
      <w:r>
        <w:rPr>
          <w:rFonts w:ascii="arial" w:eastAsia="arial" w:hAnsi="arial" w:cs="arial"/>
          <w:color w:val="000000"/>
          <w:sz w:val="20"/>
          <w:lang w:val="en-US" w:eastAsia="en-US" w:bidi="ar-SA"/>
        </w:rPr>
        <w:t xml:space="preserve"> claims made by British Columbia residents in this action. This is not a serious issue. Pursuant to s. 16(2)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each non-resident class member will have to opt in to these proceedings. They will be required to commit themselves to be bound by them. That commitment will be clearly set out in the Notice of Certification and the opt-in form. Consequently, non-residents who choose to opt in will be required to refrain from pursuing any other litigation related to use of the 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summary, I conclude that this Court has territorial competence over the claims of non-residents. This extends only to the two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common issues and to the punitive damages common issue, not to the </w:t>
      </w:r>
      <w:r>
        <w:rPr>
          <w:rFonts w:ascii="arial" w:eastAsia="arial" w:hAnsi="arial" w:cs="arial"/>
          <w:b/>
          <w:i/>
          <w:color w:val="000000"/>
          <w:sz w:val="20"/>
          <w:lang w:val="en-US" w:eastAsia="en-US" w:bidi="ar-SA"/>
        </w:rPr>
        <w:t>BPCPA</w:t>
      </w:r>
      <w:r>
        <w:rPr>
          <w:rFonts w:ascii="arial" w:eastAsia="arial" w:hAnsi="arial" w:cs="arial"/>
          <w:color w:val="000000"/>
          <w:sz w:val="20"/>
          <w:lang w:val="en-US" w:eastAsia="en-US" w:bidi="ar-SA"/>
        </w:rPr>
        <w:t xml:space="preserve"> common issues, which are unique to British Columbia residents. In my view, there is no basis to decline to exercise jurisdiction in favour of the courts of another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4. Is a class proceeding the preferable procedure for fair and efficient resolution of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AMO argues that individual actions, with a possible test case, are preferable to a class action proceeding. It makes this argument on three bases. First it says that the two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common issues will not appreciably advance the liability inquiry. Second, it says that the class size is so small that individual actions are preferable. Third, it says that the individual issues predominate such that the common issues will be overwhelmed.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first argument is easily answered. It is not necessary that resolution of the common issues be sufficient to resolve liability. Rather, they have to be issues that move the litigation forward: </w:t>
      </w:r>
      <w:r>
        <w:rPr>
          <w:rFonts w:ascii="arial" w:eastAsia="arial" w:hAnsi="arial" w:cs="arial"/>
          <w:b/>
          <w:i/>
          <w:color w:val="000000"/>
          <w:sz w:val="20"/>
          <w:lang w:val="en-US" w:eastAsia="en-US" w:bidi="ar-SA"/>
        </w:rPr>
        <w:t>Campbell v. Flexwatt Corp.</w:t>
      </w:r>
      <w:r>
        <w:rPr>
          <w:rFonts w:ascii="arial" w:eastAsia="arial" w:hAnsi="arial" w:cs="arial"/>
          <w:color w:val="000000"/>
          <w:sz w:val="20"/>
          <w:lang w:val="en-US" w:eastAsia="en-US" w:bidi="ar-SA"/>
        </w:rPr>
        <w:t xml:space="preserve"> (1997), </w:t>
      </w:r>
      <w:hyperlink r:id="rId1085" w:history="1">
        <w:r>
          <w:rPr>
            <w:rFonts w:ascii="arial" w:eastAsia="arial" w:hAnsi="arial" w:cs="arial"/>
            <w:i/>
            <w:color w:val="0077CC"/>
            <w:sz w:val="20"/>
            <w:u w:val="single"/>
            <w:shd w:val="clear" w:color="auto" w:fill="FFFFFF"/>
            <w:lang w:val="en-US" w:eastAsia="en-US" w:bidi="ar-SA"/>
          </w:rPr>
          <w:t>[1998] 6 W.W.R. 275</w:t>
        </w:r>
      </w:hyperlink>
      <w:r>
        <w:rPr>
          <w:rFonts w:ascii="arial" w:eastAsia="arial" w:hAnsi="arial" w:cs="arial"/>
          <w:color w:val="000000"/>
          <w:sz w:val="20"/>
          <w:lang w:val="en-US" w:eastAsia="en-US" w:bidi="ar-SA"/>
        </w:rPr>
        <w:t xml:space="preserve"> at para. 53, </w:t>
      </w:r>
      <w:hyperlink r:id="rId1085" w:history="1">
        <w:r>
          <w:rPr>
            <w:rFonts w:ascii="arial" w:eastAsia="arial" w:hAnsi="arial" w:cs="arial"/>
            <w:i/>
            <w:color w:val="0077CC"/>
            <w:sz w:val="20"/>
            <w:u w:val="single"/>
            <w:shd w:val="clear" w:color="auto" w:fill="FFFFFF"/>
            <w:lang w:val="en-US" w:eastAsia="en-US" w:bidi="ar-SA"/>
          </w:rPr>
          <w:t>44 B.C.L.R. (3d) 343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my view, the need to resolve these issues and the importance of doing so in a way that settles the liability question for all claimants cannot be seriously questioned. AMO's own argument supports the proposition that a resolution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common issues will move the litigation forward. It put forward the following proposal in its written submissions that recognizes the importance of a resolution of the common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AMO submits that a test case on common issues relating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(common issues a. and b.) would be a more practical and efficient means of resolving the claims in this case. In particular, a test case (for example, Ms. Chalmers' case) on these issues would permit court to hear expert evidence, and adjudge AMO's liability on questions of general causation, duty to warn, and standard of care. In this regard, AMO will undertake to the court to be bound by the result of the test case in respect of all persons in British Columbia who assert that the use of the solution caused them to contract 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real issue here is the question of preferability. Is a class action the preferable way to tackle these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Bouchanskaia v. Bayer Inc.</w:t>
      </w:r>
      <w:r>
        <w:rPr>
          <w:rFonts w:ascii="arial" w:eastAsia="arial" w:hAnsi="arial" w:cs="arial"/>
          <w:color w:val="000000"/>
          <w:sz w:val="20"/>
          <w:lang w:val="en-US" w:eastAsia="en-US" w:bidi="ar-SA"/>
        </w:rPr>
        <w:t xml:space="preserve">, </w:t>
      </w:r>
      <w:hyperlink r:id="rId1086" w:history="1">
        <w:r>
          <w:rPr>
            <w:rFonts w:ascii="arial" w:eastAsia="arial" w:hAnsi="arial" w:cs="arial"/>
            <w:i/>
            <w:color w:val="0077CC"/>
            <w:sz w:val="20"/>
            <w:u w:val="single"/>
            <w:shd w:val="clear" w:color="auto" w:fill="FFFFFF"/>
            <w:lang w:val="en-US" w:eastAsia="en-US" w:bidi="ar-SA"/>
          </w:rPr>
          <w:t>2003 BCSC 1306</w:t>
        </w:r>
      </w:hyperlink>
      <w:r>
        <w:rPr>
          <w:rFonts w:ascii="arial" w:eastAsia="arial" w:hAnsi="arial" w:cs="arial"/>
          <w:color w:val="000000"/>
          <w:sz w:val="20"/>
          <w:lang w:val="en-US" w:eastAsia="en-US" w:bidi="ar-SA"/>
        </w:rPr>
        <w:t xml:space="preserve"> at para. 150, Gray J. set out a list of considerations which inform the preferability analysis:</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Whatever limitation period is found to be applicable to the claim is tolled for the entire class (s. 39);</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formal notice program is created which will alert all interested persons to the status of the litigation (s. 19);</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is able to attract counsel through the aggregation of potential damages and the availability of contingency fee arrangements (s. 38);</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prevents the defendant from creating procedural obstacles and hurdles that individual litigants may not have the resources to clear;</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Class members are given the ability to apply to participate in the litigation if desired (s. 15);</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 is case managed by a single judge (s. 14);</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given a number of powers designed to protect the interests of absent class members (s. 12);</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Class members are protected from any adverse cost award in relation to the common issues stage of the proceeding (s. 37);</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terms of the resolution of any remaining individual issues, a class proceeding directs and allows the court to create simplified structures and procedures (s. 27);</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Through the operation of statute, any order or settlement will accrue to the benefit of the entire class, without the necessity of resorting to principles of estoppel (ss. 26 &amp;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Virtually all of these considerations are applicable to the present case and favour a class proceeding as the preferable procedure. The economic benefits to the class members and the case management advantages to the class are such that a class action would be preferable to AMO's proposed procedure of having individual actions with a possible test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With regard to AMO's second argument, that the class size is so small that individual actions are preferable, I disagree. While I may have come to that conclusion if there were only two or three claimants, I have concluded on the basis of all of the evidence before the Court that there are likely many more potential class members. Even if the class includes only British Columbia residents, the class will likely include between 6 and 20 individuals. However, I have decided the class definition can include non-residents. As a result, the total number of class members may be much larger.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A similar argument was made in </w:t>
      </w:r>
      <w:r>
        <w:rPr>
          <w:rFonts w:ascii="arial" w:eastAsia="arial" w:hAnsi="arial" w:cs="arial"/>
          <w:b/>
          <w:i/>
          <w:color w:val="000000"/>
          <w:sz w:val="20"/>
          <w:lang w:val="en-US" w:eastAsia="en-US" w:bidi="ar-SA"/>
        </w:rPr>
        <w:t>Bouchanskaia</w:t>
      </w:r>
      <w:r>
        <w:rPr>
          <w:rFonts w:ascii="arial" w:eastAsia="arial" w:hAnsi="arial" w:cs="arial"/>
          <w:color w:val="000000"/>
          <w:sz w:val="20"/>
          <w:lang w:val="en-US" w:eastAsia="en-US" w:bidi="ar-SA"/>
        </w:rPr>
        <w:t>. Madam Justice Gray found in circumstances similar to those in this case that the class size, while a factor, was not a reason to deny certification. Her comments at para. 149 are applicable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Joinder of a few common claims may be the appropriate procedure for a very small class, such as one involving two or three claimants. Here, the potential class size is more significant. It may be that in the aggregate the claims of the class members will be substantial. That cannot be determined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support of its third argument, AMO identifies the following as individual issues, which it says predominate over the common issues:</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physician who prescribed contact lenses discuss the risk of AK and issues of contact lens hygiene?</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long did the plaintiff use the Solution?</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plaintiff read and observe the directions for use on the package?</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plaintiff engage in any behaviour associated with AK risk?</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plaintiff exposed to any other known risk factors such as previous eye injuries, ditch water, soil, etc.</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 definitive diagnosis of AK, and if so, how was the diagnosis confirmed?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there delays or errors in diagnosis?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Are there issues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claims against third parties?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circumstances relating to individual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It is readily apparent from this list that most of these individual issues raise questions about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quantification of damages. None of these issues is likely to overwhelm the inquiry into the common questions. The questions raised by AMO represent the kind of questions that must routinely be answered once a class action reaches the individual damage assessment phase. No matter how these claims proceed, these questions will need to be answered but the inquiry into these issues will not impair the efficacy of having the common questions dealt with in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one aspect of the individual issues that is somewhat different from the usual products liability class action is the need to inquire into questions that touch on causation. There may be some individual aspects to the causation question. However, it is likely that a full exploration of the common issues will clarify the need to examine individual causation questions. To the extent that such areas need to be explored, there is no disadvantage to doing so as part of the individual inquiry into damages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Indeed, the causation issues will be closely tied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summary, the common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questions will appreciably advance the litigation. It is preferable that the common issues be dealt with by way of a class action. The common issues will not be overwhelmed by the individual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5. Has Ms. Chalmers produced a workable plan for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AMO says that Ms. Chalmers' proposed litigation plan is not workable because it does not provide a mechanism to prove personal injury damages or confirm individual diagnoses of AK before hearing the common issues trial. AMO says that this approach is unacceptable because it leaves an integral part of each putative class member's case dormant during a time when those parties should be collecting and preserving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my view, AMO's objections to the proposed litigation plan are not meritorious. I have already decided that consideration of the common issues will advance the litigation in a significant way. There can be no suggestion that hearing the common issues before resolving the individual issues identified by AMO will result in class members delaying or ignoring the collection and preservation of evidence in relation to their individual claims. Any class member who does this will know that it is done at his or her own peril. Ultimately, each member will have to show a valid diagnosis and prove damages. There is no good reason to postpone the common issues to deal with the individual issues identified by AMO.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Chalmers' proposed litigation plan is based on other plans that have been previously approved by this Court. While it is somewhat general, it can be reviewed and modified, as necessary, by the parties or through the Case Management process. At present, it is sufficient to support the certification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For the reasons given, Ms. Chalmers' application to certify this proceeding as a class proceeding is granted for residents and non-residents who contracted AK after using the Solution. Ms. Chalmers has, at this juncture, not provided the Court with evidence pertaining to the other two subclasses included in her proposed class definition. She is at liberty to do so on further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 have concluded that Ms. Chalmers is an appropriate representative plaintiff for this class proceeding and that she has proposed a workable litigation plan. All of the common issues that Ms. Chalmers proposed are suitable for certification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for British Columbia residents.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common issues and the punitive damages common issue are also suitable for non-residents.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G.B. BUTLER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6" style="position:absolute;z-index:2518558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87"/>
          <w:headerReference w:type="default" r:id="rId1088"/>
          <w:footerReference w:type="even" r:id="rId1089"/>
          <w:footerReference w:type="default" r:id="rId1090"/>
          <w:headerReference w:type="first" r:id="rId1091"/>
          <w:footerReference w:type="first" r:id="rId109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93" w:history="1">
        <w:r>
          <w:rPr>
            <w:rFonts w:ascii="arial" w:eastAsia="arial" w:hAnsi="arial" w:cs="arial"/>
            <w:b/>
            <w:bCs/>
            <w:i/>
            <w:color w:val="0077CC"/>
            <w:kern w:val="32"/>
            <w:sz w:val="28"/>
            <w:szCs w:val="32"/>
            <w:u w:val="single"/>
            <w:shd w:val="clear" w:color="auto" w:fill="FFFFFF"/>
            <w:lang w:val="en-US" w:eastAsia="en-US" w:bidi="ar-SA"/>
          </w:rPr>
          <w:t>Devocht v. Hallgren, 2015 OCLG para. 51,861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Ontario Corporations Law Guide</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Armstrong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February 3,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S62097</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Ontario Corporations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2015 OCLG para. 51,861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94" w:history="1">
        <w:r>
          <w:rPr>
            <w:rFonts w:ascii="arial" w:eastAsia="arial" w:hAnsi="arial" w:cs="arial"/>
            <w:i/>
            <w:color w:val="0077CC"/>
            <w:sz w:val="20"/>
            <w:u w:val="single"/>
            <w:shd w:val="clear" w:color="auto" w:fill="FFFFFF"/>
            <w:lang w:val="en-US" w:eastAsia="en-US" w:bidi="ar-SA"/>
          </w:rPr>
          <w:t>[2015] B.C.J. No. 168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94" w:history="1">
        <w:r>
          <w:rPr>
            <w:rFonts w:ascii="arial" w:eastAsia="arial" w:hAnsi="arial" w:cs="arial"/>
            <w:i/>
            <w:color w:val="0077CC"/>
            <w:sz w:val="20"/>
            <w:u w:val="single"/>
            <w:shd w:val="clear" w:color="auto" w:fill="FFFFFF"/>
            <w:lang w:val="en-US" w:eastAsia="en-US" w:bidi="ar-SA"/>
          </w:rPr>
          <w:t>2015 BCSC 149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Barry Grant Devocht, Joy Morine Devocht, Hyung Min Chung, Jung Ja Lee and Good People Estates Ltd. Plaintiffs v. Marvin W. Hallgren, Peter G.V. Faulkner and Hallgren &amp; Faulkner Law Corporation Defendants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7"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9" w:name="Keywords_43"/>
      <w:bookmarkEnd w:id="309"/>
      <w:r>
        <w:rPr>
          <w:rFonts w:ascii="arial" w:eastAsia="arial" w:hAnsi="arial" w:cs="arial"/>
          <w:b/>
          <w:color w:val="000000"/>
          <w:sz w:val="20"/>
          <w:lang w:val="en-US" w:eastAsia="en-US" w:bidi="ar-SA"/>
        </w:rPr>
        <w:t xml:space="preserve">Piercing the corporate veil — Individual plaintiffs the sole directors and officers of corporate plaintiff — All three plaintiffs instituted proceedings against defendant solicitors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Court concluded that more stringent test was applicable to corporate plaintiffs when ordering security for costs — Corporate plaintiff thus required to provide security for costs, but not individual plaintiffs — British Columbia Business Corporations Act, </w:t>
      </w:r>
      <w:hyperlink r:id="rId1095" w:history="1">
        <w:r>
          <w:rPr>
            <w:rFonts w:ascii="arial" w:eastAsia="arial" w:hAnsi="arial" w:cs="arial"/>
            <w:b/>
            <w:i/>
            <w:color w:val="0077CC"/>
            <w:sz w:val="20"/>
            <w:u w:val="single"/>
            <w:shd w:val="clear" w:color="auto" w:fill="FFFFFF"/>
            <w:lang w:val="en-US" w:eastAsia="en-US" w:bidi="ar-SA"/>
          </w:rPr>
          <w:t>SBC 2002, c. 57, s. 236</w:t>
        </w:r>
      </w:hyperlink>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0" w:name="Case Summary_42"/>
            <w:bookmarkEnd w:id="310"/>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On June 7, 2006, Barry Devocht and Hyung Min Chung (the "Personal Plaintiffs") purchased land (the "Land") from a vendor (the "Vendor") with the intention of subdividing it into strata lots and constructing residences. At the time of this purchase there was an existing statutory building scheme (the "SBS") registered against title to the Land. On August 22, 2006, the Personal Plaintiffs retained the defendant solicitor Mr. Faulkner to act for them in purchasing the Land. On September 1, 2006, the Vendor and the Personal Plaintiffs entered into an addendum to the contract of purchase in which the Vendor agreed not to require the Personal Plaintiffs to comply with the terms of the existing SBS. However, the Personal Plaintiffs were required to comply with a modified SBS. In November 2006, the defendant solicitor Mr. Hallgren was retained to incorporate the corporate plaintiff Good People Estates Ltd. ("Good People") and the Personal Plaintiffs were its sole officers and directors. Title to the Land was transferred to Good People. The sale of the Land to the Personal Plaintiffs was completed without the registration of the modified SBS. As a result, the Vendor lost the ability to amend the SBS without obtaining the consent of other interested parties who might have been affected by the modified SBS, and some of these parties declined to consent to such modification. All three plaintiffs were thus required to obtain court approval to modify the SBS. The plaintiffs therefore sued the defendant solicitors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allegedly failing to advise them of the consequences of taking title to the Land without the registration of the modified SBS. The defendants applied for an order requiring all three plaintiffs to post security for costs in the amount of $150,000 before proceeding with their action for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1" w:name="Holdings of Court_41"/>
            <w:bookmarkEnd w:id="311"/>
            <w:r>
              <w:rPr>
                <w:rFonts w:ascii="arial" w:eastAsia="arial" w:hAnsi="arial" w:cs="arial"/>
                <w:color w:val="000000"/>
                <w:sz w:val="20"/>
                <w:lang w:val="en-US" w:eastAsia="en-US" w:bidi="ar-SA"/>
              </w:rPr>
              <w:t>HELD: The application was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power to order a corporate plaintiff to post security for costs is a function of the court's inherent jurisdiction and the statutory provisions of section 236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However, in granting orders for security for costs, corporate plaintiffs are treated more harshly. The policy reason for this is that the individuals behind a corporation face less risk in pursuing litigation because they are protected by the corporate veil (see </w:t>
            </w:r>
            <w:r>
              <w:rPr>
                <w:rFonts w:ascii="arial" w:eastAsia="arial" w:hAnsi="arial" w:cs="arial"/>
                <w:i/>
                <w:color w:val="000000"/>
                <w:sz w:val="20"/>
                <w:lang w:val="en-US" w:eastAsia="en-US" w:bidi="ar-SA"/>
              </w:rPr>
              <w:t>Kropp v. Swansea Bay Golf Course Ltd. (1997)</w:t>
            </w:r>
            <w:r>
              <w:rPr>
                <w:rFonts w:ascii="arial" w:eastAsia="arial" w:hAnsi="arial" w:cs="arial"/>
                <w:color w:val="000000"/>
                <w:sz w:val="20"/>
                <w:lang w:val="en-US" w:eastAsia="en-US" w:bidi="ar-SA"/>
              </w:rPr>
              <w:t xml:space="preserve">, </w:t>
            </w:r>
            <w:hyperlink r:id="rId1096" w:history="1">
              <w:r>
                <w:rPr>
                  <w:rFonts w:ascii="arial" w:eastAsia="arial" w:hAnsi="arial" w:cs="arial"/>
                  <w:i/>
                  <w:color w:val="0077CC"/>
                  <w:sz w:val="20"/>
                  <w:u w:val="single"/>
                  <w:shd w:val="clear" w:color="auto" w:fill="FFFFFF"/>
                  <w:lang w:val="en-US" w:eastAsia="en-US" w:bidi="ar-SA"/>
                </w:rPr>
                <w:t>29 B.C.L.R. (3e) 252</w:t>
              </w:r>
            </w:hyperlink>
            <w:r>
              <w:rPr>
                <w:rFonts w:ascii="arial" w:eastAsia="arial" w:hAnsi="arial" w:cs="arial"/>
                <w:color w:val="000000"/>
                <w:sz w:val="20"/>
                <w:lang w:val="en-US" w:eastAsia="en-US" w:bidi="ar-SA"/>
              </w:rPr>
              <w:t xml:space="preserve"> (BCCA)). In the present proceedings, the circumstances did not warrant a departure from the principle outlined in the </w:t>
            </w:r>
            <w:r>
              <w:rPr>
                <w:rFonts w:ascii="arial" w:eastAsia="arial" w:hAnsi="arial" w:cs="arial"/>
                <w:i/>
                <w:color w:val="000000"/>
                <w:sz w:val="20"/>
                <w:lang w:val="en-US" w:eastAsia="en-US" w:bidi="ar-SA"/>
              </w:rPr>
              <w:t>Kropp</w:t>
            </w:r>
            <w:r>
              <w:rPr>
                <w:rFonts w:ascii="arial" w:eastAsia="arial" w:hAnsi="arial" w:cs="arial"/>
                <w:color w:val="000000"/>
                <w:sz w:val="20"/>
                <w:lang w:val="en-US" w:eastAsia="en-US" w:bidi="ar-SA"/>
              </w:rPr>
              <w:t xml:space="preserve"> case. The Personal Plaintiffs were insolvent and at risk of becoming bankrupt soon. If Good People's claim was to fail, the resulting order for costs against it would not be payable by the Personal Plaintiffs since they would be shielded by both the corporate veil and by their own inevitable bankruptcy proceedings. In addition, they would have no practical hope of paying costs if their own claim were to fail. Their impecuniosity, however, was not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light of the foregoing findings, Good People alone was ordered to post security for costs in the amount of $100,000.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2" w:name="Counsel_44"/>
      <w:bookmarkEnd w:id="31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8"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R.J. Dumonceaux for the plaintiffs, Devocht and Good People Estates Ltd; S.G. Cordell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3" w:name="Judgment_44"/>
      <w:bookmarkEnd w:id="313"/>
      <w:r>
        <w:pict>
          <v:line id="_x0000_s1249" style="position:absolute;z-index:2518067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4" w:name="T.C. ARMSTRONG J."/>
            <w:bookmarkEnd w:id="314"/>
            <w:r>
              <w:rPr>
                <w:rFonts w:ascii="arial" w:eastAsia="arial" w:hAnsi="arial" w:cs="arial"/>
                <w:b/>
                <w:color w:val="000000"/>
                <w:sz w:val="30"/>
                <w:lang w:val="en-US" w:eastAsia="en-US" w:bidi="ar-SA"/>
              </w:rPr>
              <w:t>T.C. ARMSTRONG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this proceeding, the plaintiffs Barry Devocht, Joy Devocht (the "personal plaintiffs") and Good People Estates Ltd. ("Good People") seek damages for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from their acquisition of development property in Jordan River, BC. These reasons concern the defendants' application to require the three plaintiffs to post security for costs in the amount of $150,000 before proceeding with this damages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Hyung Min Chung ("Chung") and Jung Ja Lee ("Lee") have assigned their claims to the personal plaintiffs and have filed discontinuances of their claims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June 7, 2006 the plaintiffs Barry Devocht and Chung agreed to purchase Lot 1 Trailhead Drive (the "land") from Totangi Forestry Ltd. with the intention of subdividing the land into strata lots and constructing residences for resale. Their plan was to separate the lands into three phases and proceed with development and construction of six strata lots comprising the first phase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When the plaintiffs entered into the contract of purchase and sale of the land (the "contract"), there was an existing statutory building scheme registered against the title. There was an addendum to the contract making their agreement "subject to the buyers and seller agreeing as to the plans and construction of buildings the buyers plan to build by July 31, 2006". On July 31, 2006 the parties removed this subject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same time the vendor and purchasers added a new subject clause to the contract stipulating that the contract was "subject to the seller and buyers agreeing to the form and content of the restrictive covenant that is to be placed on title at completion to replace the building scheme that is currently on title by August 20,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August 22, 2006 Mr. Faulkner was retained to act for the personal plaintiffs in the acquisition of the land. On August 29, 2006 Mr. Faulkner received a copy of the contract and on August 29, 2006 he received confirmation that the restrictive covenant mentioned in the contract had been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September 1, 2006 Mr. Faulkner received the signed addendum.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July 28, 2006 the parties executed a letter of understanding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the intent of the developer to place a restrictive covenant at completion, on Lot 1 Trailhead Drive, to replace the building scheme that will be removed from title at completion. The restrictive covenant will allow the building of the lodge and cabins approximately as shown on the revised plan of the lot done by West Coast and Designs LTD, dated July 17, 2006 and will allow the lot to be used for tourist commercial as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September 1, 2006 the parties entered into another addendum to the contract (the addendum) that included the following terms:</w:t>
      </w:r>
      <w:r>
        <w:rPr>
          <w:rFonts w:ascii="arial" w:eastAsia="arial" w:hAnsi="arial" w:cs="arial"/>
          <w:sz w:val="20"/>
          <w:lang w:val="en-US" w:eastAsia="en-US" w:bidi="ar-SA"/>
        </w:rPr>
        <w:cr/>
      </w:r>
    </w:p>
    <w:p>
      <w:pPr>
        <w:numPr>
          <w:numId w:val="2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seller agreed not to require the buyer to comply with the terms of the existing statutory building scheme ("SBS") but rather would allow the buyer to develop the property in accordance with the provisions of the modified building scheme attached as Schedule A (the "modified SBS");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buyer did not develop the property in accordance with the modified SBS, the seller, at its option, was entitled to require the buyer to comply with the existing SBS without any claim by the buyer against the seller for cost charges or expenses;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buyer did not complete the purchase of the property as contemplated in the contract of purchase and sale, or transferred their interest in the contract, then the agreement to permit the buyer to develop the property in accordance with the modified SBS became null and void and of no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Good People was incorporated September 1, 2006. The personal plaintiffs are the sole officers and directors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completion of the contract of purchase and sale was October 20,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November 2006 Mr. Hallgren was retained to incorporate Good People and transfer title of the land to Good People and to prepare a disclosure statement to allow for the interest in the land to be sold. Good People was organized and the property transferred to it but no disclosure statement was prepared. Mr. Devocht was having trouble obtaining financing and was uncertain about the legal structure he wished to use for development of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sale of all of the land to the personal plaintiffs completed without the registration of the modified SBS as contemplated in the September 1, 2006 amendment. By not registering the modified SBS before sale of the lot to the buyers (Barry Devocht and Chung), the vendor lost the ability to amend the SBS without obtaining consent of others who might have been affected by that instrument. Some of the other persons with an interest in the development of the property declined to consent to filing the modified SBS, and in the end, the plaintiffs were required to obtain court approval to modify the SBS.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obtained tentative financing for the development project from Canadian Western Bank ("CWB") for up to $1 million. One condition of the CWB financing required the plaintiffs to have invested $300,000 in equity. Another condition was that the plaintiffs were obliged to obtain a minimum of $630,000 in bona fide pre-sales and to deliver copies of those agreements to the lender. The purpose of the loan was to assist in the construction of six strata homes.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mortgage commitment contained a term that the pre-sales were to be "arm's length"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November 2007 Mr. Hallgren was retained a second time to prepare the disclosure statement. In December 2007 Mr. Hallgren advised Mr. Devocht about the presence of the SBS on title. Mr. Hallgren asserts that Mr. Devocht told him he would look into it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January 21, 2008, the Superintendent of Real Estate accepted Good People's disclosure statement for filing. Mr. Devocht head reviewed and approved the disclosure statement appending a copy of the SBS on title. In January 2008 Good People retained Mr. Hallgren to assist in completing the necessary steps to obtain financing from the CWB.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the summer of 2009 Good People retained Mr. Hallgren to assist in filing the strata plan with respect to the property. In June 2009 Good People retained another law firm to assist.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December 18, 2008 the corporate plaintiff entered into a contract to sell Lot 3 to Lindsay Salzl ("Salzl"). Salzl was to deliver a $20,000 deposit. There was a completion date for this purchase of March 6, 2009, but construction of the unit was not complete by this date. Salzl extended the completion date of her purchase to April 10, 2009 but her unit was not ready by that time and her mortgage commitment expired April 16, 2009. In the end she did not purchase a unit and on August 13, 2009 Salzl's deposit was returned to her and the contract 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March 19, 2009 Good People entered into two separate contracts of purchase and sale for lots, each for $319,900; one sale was to Chungho Kim ("Kim") and the other to Younghok Park ("Park"). Kim and Park were to deliver a $10,000 deposit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completion date for the sales to Kim and Park was August 15, 2009; both purchasers extended their completion dates to September 4, 2009. It is apparent from the material that the plaintiffs lent the deposit monies to Kim and Park. Neither Kim nor Park completed on their purchases and sometime later Park made an assignment into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court order amendment to the SBS was obtained August 6, 2009. The plaintiffs allege that the delay in obtaining the order resulted in delays in completing on pre-sales, which resulted in the prospective buyers refusing to complete their purchases of the developed lot, which in turn caused a complete collapse of the project and the plaintiffs'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claim damages by reason of the defendants' failure to advise of the consequences of taking title to the land without the registration of the modified SBS. Their notice of civil claim includes the following:</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failure of the defendants or any of them, to ensure registration of the amended building scheme on September 1, 2006, the plaintiffs or any of them have been put to costs and expense, particulars of which include but are not limited to:</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inability to complete the sales of strata lots as a result of the rejection of the registration of the strata plan by the Land Title Office, causing the loss of three purchase and sale transactions, and causing increased interest, principal and other payments;</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fees and expenses to make application to the Supreme Court to register the amended building scheme on title to the property;</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inability of the defendants or any of them to keep payments to subtrades current as a result of the loss of the sales;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inability of the defendants or any of them to keep their obligations to their mortgagee, Canadian Western Bank current;</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and expenses of the foreclosure proceeding arising therefrom, as a result of the loss of the sales;</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of the foreclosure proceeding, inability of the plaintiff to obtain financing to complete three strata units which were only partially completed at the time of original submission for registration of the strata plan in April, 2009;</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reputation of the plaintiffs and the strata project, resulting in greater difficulty selling units, lower prices being offered than the original three sales, and inability to properly market the project due to inability to complete unfinished units and incompleted landscaping;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plaintiffs alleged that the delay between April 2009 and August 2009 in obtaining court approval of an amended SBS also contributed to their inability to obtain increased bank financing. The plaintiffs' lack of funds in addition to loss of pre-sales led to the eventual collapse of the entire project. The plaintiffs lost the lands in foreclosure brought by CWB.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argue that if they had been properly advised, they would not have entered into contract terms that contemplated an amendment to the SBS; they contend they would have insisted on registration of the modified SBS before paying for the land. If the modified SBS had been in place, the plaintiffs would have met CWB mortgage requirements and the plaintiffs would have secured pre-sales of two lots for an expected purchase price of $666,000.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defendants argue that the collapse of the overall plan of the plaintiffs to develop the land into their strata properties with residences failed because they did not have the financial resources to prosecute the development. Furthermore the Park and Kim agreements were not arm's length and the plaintiffs would have been deemed in breach of the mortgage commitment. The defendants contend that the plaintiffs had attempted to defraud CWB into advancing a portion of the loan proceeds without having secured bona fide offers to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Nevertheless, in April 2009 the plaintiffs were short of money; they were desperate to find as little as $600 to pay for hydro installation work. The Salzl transaction had expired and the Kim and Park agreements were extended to September 4, 2009, well after the court order was obtained on August 15,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This proceeding was commenced with a notice of civil claim filed January 28, 2011. Between February and July 2011 the parties exchanged requests for documents and engaged in settlement discussions. Those discussions ended July 14, 2011 and in January 2013 the plaintiffs retained new counsel who communicated a new settlement proposal. In September 2013 the plaintiffs retained Mr. Dumonceaux to represent them in this proceeding. In December 2013, he advised defence counsel that he did not act for Chung or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Motivated by concerns about the plaintiffs' impecuniosity and the costs they will incur in this litigation, on June 16, 2014 the defendants filed this application seeking an order that the personal plaintiffs and Good People be required to pay security for costs in an amount of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There is no issue on this application that the defendants have not applied for a security costs order in a timely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defendants' investigation of Good People's financial circumstances reveals that it owns no real property in British Columbia. The defendants performed searches of the registry kept under the </w:t>
      </w:r>
      <w:r>
        <w:rPr>
          <w:rFonts w:ascii="arial" w:eastAsia="arial" w:hAnsi="arial" w:cs="arial"/>
          <w:i/>
          <w:color w:val="000000"/>
          <w:sz w:val="20"/>
          <w:lang w:val="en-US" w:eastAsia="en-US" w:bidi="ar-SA"/>
        </w:rPr>
        <w:t>Personal Property Security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359</w:t>
      </w:r>
      <w:r>
        <w:rPr>
          <w:rFonts w:ascii="arial" w:eastAsia="arial" w:hAnsi="arial" w:cs="arial"/>
          <w:color w:val="000000"/>
          <w:sz w:val="20"/>
          <w:lang w:val="en-US" w:eastAsia="en-US" w:bidi="ar-SA"/>
        </w:rPr>
        <w:t>; this revealed evidence of registrations encumbering any other assets owned by the company but no other assets were found in the name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title to the land was foreclosed and the plaintiffs have no continuing interest in the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defendants' investigation discloses that the personal plaintiffs own a home in Victoria with an apparent value of $405,500, against which there are mortgages registered with a principal amount of $367,500 securing current and running accounts. The defendants rely on a 2014 BC Assessment Authority web query for this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There is an issue concerning the use of assessment information as evidence of value. In </w:t>
      </w:r>
      <w:r>
        <w:rPr>
          <w:rFonts w:ascii="arial" w:eastAsia="arial" w:hAnsi="arial" w:cs="arial"/>
          <w:i/>
          <w:color w:val="000000"/>
          <w:sz w:val="20"/>
          <w:lang w:val="en-US" w:eastAsia="en-US" w:bidi="ar-SA"/>
        </w:rPr>
        <w:t>Dosanjh v. Liang</w:t>
      </w:r>
      <w:r>
        <w:rPr>
          <w:rFonts w:ascii="arial" w:eastAsia="arial" w:hAnsi="arial" w:cs="arial"/>
          <w:color w:val="000000"/>
          <w:sz w:val="20"/>
          <w:lang w:val="en-US" w:eastAsia="en-US" w:bidi="ar-SA"/>
        </w:rPr>
        <w:t xml:space="preserve">, </w:t>
      </w:r>
      <w:hyperlink r:id="rId1097" w:history="1">
        <w:r>
          <w:rPr>
            <w:rFonts w:ascii="arial" w:eastAsia="arial" w:hAnsi="arial" w:cs="arial"/>
            <w:i/>
            <w:color w:val="0077CC"/>
            <w:sz w:val="20"/>
            <w:u w:val="single"/>
            <w:shd w:val="clear" w:color="auto" w:fill="FFFFFF"/>
            <w:lang w:val="en-US" w:eastAsia="en-US" w:bidi="ar-SA"/>
          </w:rPr>
          <w:t>2015 BCCA 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Dosanjh</w:t>
      </w:r>
      <w:r>
        <w:rPr>
          <w:rFonts w:ascii="arial" w:eastAsia="arial" w:hAnsi="arial" w:cs="arial"/>
          <w:color w:val="000000"/>
          <w:sz w:val="20"/>
          <w:lang w:val="en-US" w:eastAsia="en-US" w:bidi="ar-SA"/>
        </w:rPr>
        <w:t>] Groberman J.A. recently considered this question: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[62] It seems to me that different considerations arise in non-family cases, where one party or the other will generally bear the onus of producing evidence of property value.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It is not necessary, in this case, to make any pronouncement as to the scope for admission of property assessments as evidence of property value in family law cases, and I will refrain from doing so. In my view, however, there is, absent agreement, no scope for using assessments in place of expert opinion evidence in cases such as the present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Dosanjh</w:t>
      </w:r>
      <w:r>
        <w:rPr>
          <w:rFonts w:ascii="arial" w:eastAsia="arial" w:hAnsi="arial" w:cs="arial"/>
          <w:color w:val="000000"/>
          <w:sz w:val="20"/>
          <w:lang w:val="en-US" w:eastAsia="en-US" w:bidi="ar-SA"/>
        </w:rPr>
        <w:t xml:space="preserve"> involved a situation where a real estate transaction failed to complete due to the vendor's repudiation of the contract. The purchaser accepted the repudiation and sought damages. BC Assessments was used to establish damages. In my view, in light of this authority, if the value of assets available to answer for costs judgments is in issue, the evidence must be in the form of admissible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Devocht was recently employed in Alberta in carpentry but in his bankruptcy filing indicates he has no income. He has been unemployed since August 2014. Mrs. Devocht is employed as a teacher and earns $4,091 per month. The parties are supporting one adult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personal plaintiffs have made consumer proposals in bankruptcy which have not been accepted or rejected by their creditors. Apparently a further meeting was contemplated.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Mrs. Devocht has claimed her RRSP savings as exempt under the </w:t>
      </w:r>
      <w:r>
        <w:rPr>
          <w:rFonts w:ascii="arial" w:eastAsia="arial" w:hAnsi="arial" w:cs="arial"/>
          <w:i/>
          <w:color w:val="000000"/>
          <w:sz w:val="20"/>
          <w:lang w:val="en-US" w:eastAsia="en-US" w:bidi="ar-SA"/>
        </w:rPr>
        <w:t>Bankruptcy and Insolvency Act</w:t>
      </w:r>
      <w:r>
        <w:rPr>
          <w:rFonts w:ascii="arial" w:eastAsia="arial" w:hAnsi="arial" w:cs="arial"/>
          <w:color w:val="000000"/>
          <w:sz w:val="20"/>
          <w:lang w:val="en-US" w:eastAsia="en-US" w:bidi="ar-SA"/>
        </w:rPr>
        <w:t xml:space="preserve">, </w:t>
      </w:r>
      <w:hyperlink r:id="rId1098" w:history="1">
        <w:r>
          <w:rPr>
            <w:rFonts w:ascii="arial" w:eastAsia="arial" w:hAnsi="arial" w:cs="arial"/>
            <w:i/>
            <w:color w:val="0077CC"/>
            <w:sz w:val="20"/>
            <w:u w:val="single"/>
            <w:shd w:val="clear" w:color="auto" w:fill="FFFFFF"/>
            <w:lang w:val="en-US" w:eastAsia="en-US" w:bidi="ar-SA"/>
          </w:rPr>
          <w:t>R.S.C. 1985, c. B-3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BIA</w:t>
      </w:r>
      <w:r>
        <w:rPr>
          <w:rFonts w:ascii="arial" w:eastAsia="arial" w:hAnsi="arial" w:cs="arial"/>
          <w:color w:val="000000"/>
          <w:sz w:val="20"/>
          <w:lang w:val="en-US" w:eastAsia="en-US" w:bidi="ar-SA"/>
        </w:rPr>
        <w:t>]. Both individuals have claimed as exempt some of their motor vehicles, Mr. Devocht's tools, and their interest in the family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personal plaintiffs propose to pay $25,046 for the benefit of their unsecured creditors, whose claims total $136,165. This proposal includes an immediate payment of $20,000 followed by 58 monthly instalments of $87 per month. They propose to use $663 per month from their income to pay secured creditors totalling $399,175.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 note that if the proposal is rejected or the personal plaintiffs breach any commitment in their proposals, then the personal plaintiffs will become bankrupt. The </w:t>
      </w:r>
      <w:r>
        <w:rPr>
          <w:rFonts w:ascii="arial" w:eastAsia="arial" w:hAnsi="arial" w:cs="arial"/>
          <w:i/>
          <w:color w:val="000000"/>
          <w:sz w:val="20"/>
          <w:lang w:val="en-US" w:eastAsia="en-US" w:bidi="ar-SA"/>
        </w:rPr>
        <w:t>BIA</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Result of refusal of proposal</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creditors refuse a proposal in respect of an insolvent person,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the insolvent person is deemed to have thereupon made an assignment;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the trustee shall, without delay, file with the official receiver, in the prescribed form, a report of the deemed assignment;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b.1</w:t>
      </w:r>
      <w:r>
        <w:rPr>
          <w:rFonts w:ascii="arial" w:eastAsia="arial" w:hAnsi="arial" w:cs="arial"/>
          <w:color w:val="000000"/>
          <w:sz w:val="20"/>
          <w:lang w:val="en-US" w:eastAsia="en-US" w:bidi="ar-SA"/>
        </w:rPr>
        <w:t>) the official receiver shall issue a certificate of assignment, in the prescribed form, which has the same effect for the purposes of this Act as an assignment filed under section 49; 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defendants estimate their taxable costs and disbursements through to the conclusion of a trial in this proceeding as $152,819. The plaintiffs do not take any issue with this estimate. Document production is incomplete and the defendants do not have accounting evidence, a list of all witnesses, or the steps necessary to obtain evidence. The defendants argue that "in all of the circumstances" it would be just to order security for costs at $150,000 as against the corporate plaintiff and personal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defendants argue that the plaintiffs' claims are weak and conversely their defence is strong.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They contend:</w:t>
      </w:r>
      <w:r>
        <w:rPr>
          <w:rFonts w:ascii="arial" w:eastAsia="arial" w:hAnsi="arial" w:cs="arial"/>
          <w:sz w:val="20"/>
          <w:lang w:val="en-US" w:eastAsia="en-US" w:bidi="ar-SA"/>
        </w:rPr>
        <w:cr/>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Devocht does not deny he was advised, at the time of purchase, that the SBS remained on title or that he was told that the SBS would have to be removed from title before registration of a strata plan;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evidence that pre-sales were lost because of the three month delay in registering a strata plan; they collapsed for other reasons. Even if they were at arm's length, the Kim and Park pre-sale contracts were ratified and extended to September 4, 2009 so they were contractually bound to complete after the three month delay but were released from their contracts by the plaintiffs;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Salzl pre-sale did not complete because construction was slow and her mortgage commitment had expired;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does not suggest that the three month delay in registering a strata plan affected any CWB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defendants argue that the possibility that the plaintiffs will be deterred from pursuing a claim is not, without more detailed evidence, sufficient reason for not ordering security for costs. They contend that a plaintiff must first demonstrate that they have no way of raising funds to continue litigation if an award of costs is made against them; in this case they say the plaintiffs have failed.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defendants point to a carefully worded affidavit by Mrs. Devocht in which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confirm that I do not have access to any other line of credit or credit cards, from which I could draw funds to pay money into court as security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Devocht deposed in his affidavit: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consumer proposal lists accurately all the assets I own and I confirm that I do not have access to any other line of credit or credit cards, from which I could draw funds to pay money into court as security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Neither of the personal plaintiffs has addressed the possibility of obtaining other financial assistance from family or friends or other bank loans. They seem to have found money from an outside source to help in making their proposal payments. Earlier in 2014 the parties managed to obtain an increase in their mortgage debt, part of which is also to be used to fund their bankruptcy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Neither plaintiff deposed that an order for security for costs would stifle the litigation. Neither plaintiff described any efforts they have made to obtain financial assistance. Their comment on this point was limited to their assertions that they are unable to access further credit card debt or lines of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defendants argue that if the court refuses to order security posted by the personal plaintiffs, this should not influence the decision to order the corporate plaintiff to post security. The defendants point out that corporate plaintiffs are treated more harshly when it comes to security for costs orders, the policy reason being that the individuals behind a corporation face less risk in pursing litigation because they are protected by the corporate veil: </w:t>
      </w:r>
      <w:r>
        <w:rPr>
          <w:rFonts w:ascii="arial" w:eastAsia="arial" w:hAnsi="arial" w:cs="arial"/>
          <w:i/>
          <w:color w:val="000000"/>
          <w:sz w:val="20"/>
          <w:lang w:val="en-US" w:eastAsia="en-US" w:bidi="ar-SA"/>
        </w:rPr>
        <w:t>Krupp v. Swansea Bay Golf Course Ltd.</w:t>
      </w:r>
      <w:r>
        <w:rPr>
          <w:rFonts w:ascii="arial" w:eastAsia="arial" w:hAnsi="arial" w:cs="arial"/>
          <w:color w:val="000000"/>
          <w:sz w:val="20"/>
          <w:lang w:val="en-US" w:eastAsia="en-US" w:bidi="ar-SA"/>
        </w:rPr>
        <w:t xml:space="preserve"> </w:t>
      </w:r>
      <w:hyperlink r:id="rId1096" w:history="1">
        <w:r>
          <w:rPr>
            <w:rFonts w:ascii="arial" w:eastAsia="arial" w:hAnsi="arial" w:cs="arial"/>
            <w:i/>
            <w:color w:val="0077CC"/>
            <w:sz w:val="20"/>
            <w:u w:val="single"/>
            <w:shd w:val="clear" w:color="auto" w:fill="FFFFFF"/>
            <w:lang w:val="en-US" w:eastAsia="en-US" w:bidi="ar-SA"/>
          </w:rPr>
          <w:t>(1997), 29 B.C.L.R. (3d) 252</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Kropp</w:t>
      </w:r>
      <w:r>
        <w:rPr>
          <w:rFonts w:ascii="arial" w:eastAsia="arial" w:hAnsi="arial" w:cs="arial"/>
          <w:color w:val="000000"/>
          <w:sz w:val="20"/>
          <w:lang w:val="en-US" w:eastAsia="en-US" w:bidi="ar-SA"/>
        </w:rPr>
        <w:t xml:space="preserve">]. The defendants argue that the less stringent test should continue to apply to the corporate plaintiff in this case, notwithstanding the suggestion in </w:t>
      </w:r>
      <w:r>
        <w:rPr>
          <w:rFonts w:ascii="arial" w:eastAsia="arial" w:hAnsi="arial" w:cs="arial"/>
          <w:i/>
          <w:color w:val="000000"/>
          <w:sz w:val="20"/>
          <w:lang w:val="en-US" w:eastAsia="en-US" w:bidi="ar-SA"/>
        </w:rPr>
        <w:t>Hawksview Enterprises Ltd. v. British Columbia Hydro and Power Authority,</w:t>
      </w:r>
      <w:r>
        <w:rPr>
          <w:rFonts w:ascii="arial" w:eastAsia="arial" w:hAnsi="arial" w:cs="arial"/>
          <w:color w:val="000000"/>
          <w:sz w:val="20"/>
          <w:lang w:val="en-US" w:eastAsia="en-US" w:bidi="ar-SA"/>
        </w:rPr>
        <w:t xml:space="preserve"> </w:t>
      </w:r>
      <w:hyperlink r:id="rId1099" w:history="1">
        <w:r>
          <w:rPr>
            <w:rFonts w:ascii="arial" w:eastAsia="arial" w:hAnsi="arial" w:cs="arial"/>
            <w:i/>
            <w:color w:val="0077CC"/>
            <w:sz w:val="20"/>
            <w:u w:val="single"/>
            <w:shd w:val="clear" w:color="auto" w:fill="FFFFFF"/>
            <w:lang w:val="en-US" w:eastAsia="en-US" w:bidi="ar-SA"/>
          </w:rPr>
          <w:t>2014 BCSC 226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Hawksview</w:t>
      </w:r>
      <w:r>
        <w:rPr>
          <w:rFonts w:ascii="arial" w:eastAsia="arial" w:hAnsi="arial" w:cs="arial"/>
          <w:color w:val="000000"/>
          <w:sz w:val="20"/>
          <w:lang w:val="en-US" w:eastAsia="en-US" w:bidi="ar-SA"/>
        </w:rPr>
        <w:t xml:space="preserve">] that the more stringent test generally applied to individuals may be applied to corporate plaintiffs when an individual and corporate plaintiff are both alleging the same cause of action and damages. The defendants argue that </w:t>
      </w:r>
      <w:r>
        <w:rPr>
          <w:rFonts w:ascii="arial" w:eastAsia="arial" w:hAnsi="arial" w:cs="arial"/>
          <w:i/>
          <w:color w:val="000000"/>
          <w:sz w:val="20"/>
          <w:lang w:val="en-US" w:eastAsia="en-US" w:bidi="ar-SA"/>
        </w:rPr>
        <w:t>Hawksview</w:t>
      </w:r>
      <w:r>
        <w:rPr>
          <w:rFonts w:ascii="arial" w:eastAsia="arial" w:hAnsi="arial" w:cs="arial"/>
          <w:color w:val="000000"/>
          <w:sz w:val="20"/>
          <w:lang w:val="en-US" w:eastAsia="en-US" w:bidi="ar-SA"/>
        </w:rPr>
        <w:t xml:space="preserve"> is distinguishable or wrongly decided and is inconsistent with the decision in </w:t>
      </w:r>
      <w:r>
        <w:rPr>
          <w:rFonts w:ascii="arial" w:eastAsia="arial" w:hAnsi="arial" w:cs="arial"/>
          <w:i/>
          <w:color w:val="000000"/>
          <w:sz w:val="20"/>
          <w:lang w:val="en-US" w:eastAsia="en-US" w:bidi="ar-SA"/>
        </w:rPr>
        <w:t>Kropp.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defendants argue that the less stringent test also applies to Good People because the pleadings in this case do not discriminate between interests of each of the corporate and personal plaintiffs' interests, nor is it clear whether the personal plaintiffs suffered any damage. The CWB financing was offered to Good People subject to the personal plaintiffs providing a personal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plaintiffs contend that the court's discretion to order security for costs against individuals is limited to special circumstances, sometimes described as egregious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They argue that the less demanding test applicable to security for costs applications concerning corporation's proceeds from the assumption that the individuals behind the corporation face little risk in pursuing the litigation. The underlying policy is to protect the community against the abuse created when an artificial person is manipulated by a natural person. In this case they suggest that because the personal plaintiffs will be jointly liable with the corporate plaintiff, the policy directed against limited liability corporations avoiding costs is not engaged.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plaintiffs rely on </w:t>
      </w:r>
      <w:r>
        <w:rPr>
          <w:rFonts w:ascii="arial" w:eastAsia="arial" w:hAnsi="arial" w:cs="arial"/>
          <w:i/>
          <w:color w:val="000000"/>
          <w:sz w:val="20"/>
          <w:lang w:val="en-US" w:eastAsia="en-US" w:bidi="ar-SA"/>
        </w:rPr>
        <w:t>Hawksview</w:t>
      </w:r>
      <w:r>
        <w:rPr>
          <w:rFonts w:ascii="arial" w:eastAsia="arial" w:hAnsi="arial" w:cs="arial"/>
          <w:color w:val="000000"/>
          <w:sz w:val="20"/>
          <w:lang w:val="en-US" w:eastAsia="en-US" w:bidi="ar-SA"/>
        </w:rPr>
        <w:t xml:space="preserve"> for this submission, where the court indicated that applications for security for costs addressed to personal and corporate plaintiffs alleging the same cause of action and damages should not notionally be subdivided between individuals and corporations. The more stringent principles of the test generally applied to individuals should apply to each plaintiff in this case, notwithstanding the general rule that corporations will be treated less stringently.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plaintiffs point out that the defendants recognize that to obtain an order for security against a corporation might stifle the action because the plaintiffs have no assets or means of raising money for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plaintiffs contend that their current financial difficulties have been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this factor should weigh heavily against an order for security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plaintiffs submit that they have a compelling case against the solicitors. Mr. Devocht denied any sophistication in the land development business. He denies being advised by his solicitor that the land was not ready for development because the statutory building scheme could not be modified without court order. That order was not obtained until August 6, 2009 at which point all of the pre-sales previously negotiated by the plaintiffs had collapsed.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plaintiffs contend that any order for security will result in a dismissal of the claim. They are currently under a bankruptcy proposal and are attempting to achieve an agreement to pay creditors $25,000 in satisfaction of more than $500,000 consumer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the absence of any certainty that the statutory building scheme would be approved, the viability of the development was at risk. They contend that the financial collapse of the project and their inability to fund this litigation is a direct consequence of the failure of the real estate development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Thus, it would be inappropriate to require them to post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There are three issues to be decided on this application. I will consider:</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test for granting security for costs should apply to the corporate plaintiff;</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an order for security for costs should be made against the personal plaintiffs;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an order for security for costs should be made against the corporate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power to order a corporate plaintiff to post security for costs is a function of the court's inherent jurisdiction and the statutory provisions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Section 236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corporation is the plaintiff in a legal proceeding brought before the court, and if it appears that the corporation will be unable to pay the costs of the defendant if the defendant is successful in the defence, the court may require security to be given by the corporation for those costs, and may stay all legal proceedings until the security is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principles underlying security for costs applications were settled in </w:t>
      </w:r>
      <w:r>
        <w:rPr>
          <w:rFonts w:ascii="arial" w:eastAsia="arial" w:hAnsi="arial" w:cs="arial"/>
          <w:i/>
          <w:color w:val="000000"/>
          <w:sz w:val="20"/>
          <w:lang w:val="en-US" w:eastAsia="en-US" w:bidi="ar-SA"/>
        </w:rPr>
        <w:t>Kropp</w:t>
      </w:r>
      <w:r>
        <w:rPr>
          <w:rFonts w:ascii="arial" w:eastAsia="arial" w:hAnsi="arial" w:cs="arial"/>
          <w:color w:val="000000"/>
          <w:sz w:val="20"/>
          <w:lang w:val="en-US" w:eastAsia="en-US" w:bidi="ar-SA"/>
        </w:rPr>
        <w:t xml:space="preserve">. The court described the principles from </w:t>
      </w:r>
      <w:r>
        <w:rPr>
          <w:rFonts w:ascii="arial" w:eastAsia="arial" w:hAnsi="arial" w:cs="arial"/>
          <w:i/>
          <w:color w:val="000000"/>
          <w:sz w:val="20"/>
          <w:lang w:val="en-US" w:eastAsia="en-US" w:bidi="ar-SA"/>
        </w:rPr>
        <w:t>Keary Development v. Tarmac Construction</w:t>
      </w:r>
      <w:r>
        <w:rPr>
          <w:rFonts w:ascii="arial" w:eastAsia="arial" w:hAnsi="arial" w:cs="arial"/>
          <w:color w:val="000000"/>
          <w:sz w:val="20"/>
          <w:lang w:val="en-US" w:eastAsia="en-US" w:bidi="ar-SA"/>
        </w:rPr>
        <w:t xml:space="preserve">, [1995] 3 All E.R. 534 as a useful summary of the applicable guide to considerations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They include:</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has a complete discretion whether to order security, and will act in light of all the relevant circumstances;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possibility or probability that the plaintiff company will be deterred from pursuing its claim is not, without more sufficient evidence, reason for not ordering security;</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attempt to balance injustices arising from use of security as an instrument of oppression to stifle a legitimate claim on the one hand, and use of impecuniosity as a means of putting unfair pressure on a defendant on the other;</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have regard to the merits of the action, but should avoid going into detail on the merits unless success or failure appears obvious;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can order any amount of security up to the full amount claimed, as long as the amount is more than nominal;</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court refuses to order security on the ground that it would unfairly stifle a valid claim, the court must be satisfied that, in all the circumstances, it is probable that the claim would be stifled; and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lateness of the application for security is a circumstance which can properly be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At the outset, the applicant must prove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that the plaintiff company is unable to pay the applicant's costs if the claim fails. If the applicant meets this evidentiary burden, then the plaintiff company may be relieved of the burden of security if it can show it has sufficient eligible assets to satisfy an award for costs or if there is no arguable defence to the claim: </w:t>
      </w:r>
      <w:r>
        <w:rPr>
          <w:rFonts w:ascii="arial" w:eastAsia="arial" w:hAnsi="arial" w:cs="arial"/>
          <w:i/>
          <w:color w:val="000000"/>
          <w:sz w:val="20"/>
          <w:lang w:val="en-US" w:eastAsia="en-US" w:bidi="ar-SA"/>
        </w:rPr>
        <w:t>Integrated Contractors Ltd. v. Leduc Development Ltd</w:t>
      </w:r>
      <w:r>
        <w:rPr>
          <w:rFonts w:ascii="arial" w:eastAsia="arial" w:hAnsi="arial" w:cs="arial"/>
          <w:color w:val="000000"/>
          <w:sz w:val="20"/>
          <w:lang w:val="en-US" w:eastAsia="en-US" w:bidi="ar-SA"/>
        </w:rPr>
        <w:t xml:space="preserve">., </w:t>
      </w:r>
      <w:hyperlink r:id="rId1100" w:history="1">
        <w:r>
          <w:rPr>
            <w:rFonts w:ascii="arial" w:eastAsia="arial" w:hAnsi="arial" w:cs="arial"/>
            <w:i/>
            <w:color w:val="0077CC"/>
            <w:sz w:val="20"/>
            <w:u w:val="single"/>
            <w:shd w:val="clear" w:color="auto" w:fill="FFFFFF"/>
            <w:lang w:val="en-US" w:eastAsia="en-US" w:bidi="ar-SA"/>
          </w:rPr>
          <w:t>2009 BCSC 965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(1999), 36 CPC (4th) 266</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Once the applicant has proved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that the plaintiff does not have exigible assets, the burden to prove the existence of such assets shifts to the plaintiff. Absent such evidence the general rule is to order security for costs unless there is no arguable defence: </w:t>
      </w:r>
      <w:r>
        <w:rPr>
          <w:rFonts w:ascii="arial" w:eastAsia="arial" w:hAnsi="arial" w:cs="arial"/>
          <w:i/>
          <w:color w:val="000000"/>
          <w:sz w:val="20"/>
          <w:lang w:val="en-US" w:eastAsia="en-US" w:bidi="ar-SA"/>
        </w:rPr>
        <w:t>Fat Mel's Restaurant Ltd. v. Canadian Northern Shield Insurance Co</w:t>
      </w:r>
      <w:r>
        <w:rPr>
          <w:rFonts w:ascii="arial" w:eastAsia="arial" w:hAnsi="arial" w:cs="arial"/>
          <w:color w:val="000000"/>
          <w:sz w:val="20"/>
          <w:lang w:val="en-US" w:eastAsia="en-US" w:bidi="ar-SA"/>
        </w:rPr>
        <w:t xml:space="preserve">. </w:t>
      </w:r>
      <w:hyperlink r:id="rId1101" w:history="1">
        <w:r>
          <w:rPr>
            <w:rFonts w:ascii="arial" w:eastAsia="arial" w:hAnsi="arial" w:cs="arial"/>
            <w:i/>
            <w:color w:val="0077CC"/>
            <w:sz w:val="20"/>
            <w:u w:val="single"/>
            <w:shd w:val="clear" w:color="auto" w:fill="FFFFFF"/>
            <w:lang w:val="en-US" w:eastAsia="en-US" w:bidi="ar-SA"/>
          </w:rPr>
          <w:t>(1993), 76 B.C.L.R. (2d) 231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Fat Mel's</w:t>
      </w:r>
      <w:r>
        <w:rPr>
          <w:rFonts w:ascii="arial" w:eastAsia="arial" w:hAnsi="arial" w:cs="arial"/>
          <w:color w:val="000000"/>
          <w:sz w:val="20"/>
          <w:lang w:val="en-US" w:eastAsia="en-US" w:bidi="ar-SA"/>
        </w:rPr>
        <w:t>]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There is no rule of court governing when an order should be made for security for costs against an individual; it is entirely within the court's discretion and inherent jurisdiction: </w:t>
      </w:r>
      <w:r>
        <w:rPr>
          <w:rFonts w:ascii="arial" w:eastAsia="arial" w:hAnsi="arial" w:cs="arial"/>
          <w:i/>
          <w:color w:val="000000"/>
          <w:sz w:val="20"/>
          <w:lang w:val="en-US" w:eastAsia="en-US" w:bidi="ar-SA"/>
        </w:rPr>
        <w:t>Han v. Cho,</w:t>
      </w:r>
      <w:r>
        <w:rPr>
          <w:rFonts w:ascii="arial" w:eastAsia="arial" w:hAnsi="arial" w:cs="arial"/>
          <w:color w:val="000000"/>
          <w:sz w:val="20"/>
          <w:lang w:val="en-US" w:eastAsia="en-US" w:bidi="ar-SA"/>
        </w:rPr>
        <w:t xml:space="preserve"> </w:t>
      </w:r>
      <w:hyperlink r:id="rId1102" w:history="1">
        <w:r>
          <w:rPr>
            <w:rFonts w:ascii="arial" w:eastAsia="arial" w:hAnsi="arial" w:cs="arial"/>
            <w:i/>
            <w:color w:val="0077CC"/>
            <w:sz w:val="20"/>
            <w:u w:val="single"/>
            <w:shd w:val="clear" w:color="auto" w:fill="FFFFFF"/>
            <w:lang w:val="en-US" w:eastAsia="en-US" w:bidi="ar-SA"/>
          </w:rPr>
          <w:t>2008 BCSC 1229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Natural persons will not ordinarily be required to post security for costs unless some egregious or extraordinary circumstances merit such an order. This aspect of the application requires a balancing of the interests of justice between the parties in an effort to ensure that the substance of the dispute is properly litigated and the personal plaintiffs are not deprived of access to the court due to impecuniosity: </w:t>
      </w:r>
      <w:r>
        <w:rPr>
          <w:rFonts w:ascii="arial" w:eastAsia="arial" w:hAnsi="arial" w:cs="arial"/>
          <w:i/>
          <w:color w:val="000000"/>
          <w:sz w:val="20"/>
          <w:lang w:val="en-US" w:eastAsia="en-US" w:bidi="ar-SA"/>
        </w:rPr>
        <w:t>Han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Special circumstances that may justify cost security orders against personal plaintiffs include the fact that the plaintiff has failed to pay other cost orders. The categories of behaviours that might warrant a security for costs order against individuals is not closed, but it is clear that impecuniosity is not a basis for ordering security from an individual: </w:t>
      </w:r>
      <w:r>
        <w:rPr>
          <w:rFonts w:ascii="arial" w:eastAsia="arial" w:hAnsi="arial" w:cs="arial"/>
          <w:i/>
          <w:color w:val="000000"/>
          <w:sz w:val="20"/>
          <w:lang w:val="en-US" w:eastAsia="en-US" w:bidi="ar-SA"/>
        </w:rPr>
        <w:t>Deepak Suri Ltd. v Urban Choice Market Ltd.</w:t>
      </w:r>
      <w:r>
        <w:rPr>
          <w:rFonts w:ascii="arial" w:eastAsia="arial" w:hAnsi="arial" w:cs="arial"/>
          <w:color w:val="000000"/>
          <w:sz w:val="20"/>
          <w:lang w:val="en-US" w:eastAsia="en-US" w:bidi="ar-SA"/>
        </w:rPr>
        <w:t xml:space="preserve">, </w:t>
      </w:r>
      <w:hyperlink r:id="rId1103" w:history="1">
        <w:r>
          <w:rPr>
            <w:rFonts w:ascii="arial" w:eastAsia="arial" w:hAnsi="arial" w:cs="arial"/>
            <w:i/>
            <w:color w:val="0077CC"/>
            <w:sz w:val="20"/>
            <w:u w:val="single"/>
            <w:shd w:val="clear" w:color="auto" w:fill="FFFFFF"/>
            <w:lang w:val="en-US" w:eastAsia="en-US" w:bidi="ar-SA"/>
          </w:rPr>
          <w:t>2013 BCSC 2460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court may consider the merits of the plaintiff's claim but should avoid a detailed analysis of those merits unless failure appears obvious. The onus of proving the absence of an arguable defence is on the plaintiff: </w:t>
      </w:r>
      <w:r>
        <w:rPr>
          <w:rFonts w:ascii="arial" w:eastAsia="arial" w:hAnsi="arial" w:cs="arial"/>
          <w:i/>
          <w:color w:val="000000"/>
          <w:sz w:val="20"/>
          <w:lang w:val="en-US" w:eastAsia="en-US" w:bidi="ar-SA"/>
        </w:rPr>
        <w:t>Fat Mel's</w:t>
      </w:r>
      <w:r>
        <w:rPr>
          <w:rFonts w:ascii="arial" w:eastAsia="arial" w:hAnsi="arial" w:cs="arial"/>
          <w:color w:val="000000"/>
          <w:sz w:val="20"/>
          <w:lang w:val="en-US" w:eastAsia="en-US" w:bidi="ar-SA"/>
        </w:rPr>
        <w:t xml:space="preserve"> at para. 236.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cause of action in and of itself is not an asset that can be relied upon by the plaintiff to resist an award of security for costs: </w:t>
      </w:r>
      <w:r>
        <w:rPr>
          <w:rFonts w:ascii="arial" w:eastAsia="arial" w:hAnsi="arial" w:cs="arial"/>
          <w:i/>
          <w:color w:val="000000"/>
          <w:sz w:val="20"/>
          <w:lang w:val="en-US" w:eastAsia="en-US" w:bidi="ar-SA"/>
        </w:rPr>
        <w:t>Malahat Marble Products Ltd. v. Anderson</w:t>
      </w:r>
      <w:r>
        <w:rPr>
          <w:rFonts w:ascii="arial" w:eastAsia="arial" w:hAnsi="arial" w:cs="arial"/>
          <w:color w:val="000000"/>
          <w:sz w:val="20"/>
          <w:lang w:val="en-US" w:eastAsia="en-US" w:bidi="ar-SA"/>
        </w:rPr>
        <w:t xml:space="preserve"> (1955), 14 W.W.R. 697 (B.C.C.A.) at p. 698.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court will not order security if such an order would unfairly stifle a valid claim: </w:t>
      </w:r>
      <w:r>
        <w:rPr>
          <w:rFonts w:ascii="arial" w:eastAsia="arial" w:hAnsi="arial" w:cs="arial"/>
          <w:i/>
          <w:color w:val="000000"/>
          <w:sz w:val="20"/>
          <w:lang w:val="en-US" w:eastAsia="en-US" w:bidi="ar-SA"/>
        </w:rPr>
        <w:t>Kropp</w:t>
      </w:r>
      <w:r>
        <w:rPr>
          <w:rFonts w:ascii="arial" w:eastAsia="arial" w:hAnsi="arial" w:cs="arial"/>
          <w:color w:val="000000"/>
          <w:sz w:val="20"/>
          <w:lang w:val="en-US" w:eastAsia="en-US" w:bidi="ar-SA"/>
        </w:rPr>
        <w:t xml:space="preserve"> at para. 17. Where financial hardship is due to the actions of the applicant in the case, an order may be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this case, the defendants have met their burden of demonstrating that Good People has no exigible assets and will not be able to pay any order for costs from assets currently owned if the action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Test to Apply to the Corporate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this case, I am not satisfied that the circumstances warrant a departure from the principle outlined in </w:t>
      </w:r>
      <w:r>
        <w:rPr>
          <w:rFonts w:ascii="arial" w:eastAsia="arial" w:hAnsi="arial" w:cs="arial"/>
          <w:i/>
          <w:color w:val="000000"/>
          <w:sz w:val="20"/>
          <w:lang w:val="en-US" w:eastAsia="en-US" w:bidi="ar-SA"/>
        </w:rPr>
        <w:t>Kropp</w:t>
      </w:r>
      <w:r>
        <w:rPr>
          <w:rFonts w:ascii="arial" w:eastAsia="arial" w:hAnsi="arial" w:cs="arial"/>
          <w:color w:val="000000"/>
          <w:sz w:val="20"/>
          <w:lang w:val="en-US" w:eastAsia="en-US" w:bidi="ar-SA"/>
        </w:rPr>
        <w:t xml:space="preserve"> that different considerations apply to corporations resisting security for costs applications.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So I am respectfully of the view that the learned chambers judge erred in finding that the corporate plaintiff would be prevented from pursuing its claim if security were to be ordered. And it would, in my view, be contrary to the principles enunciated above to refuse security on the grounds that the corporate plaintiff would "have difficulty" in pursuing the action if security for costs were to be ordered. </w:t>
      </w:r>
      <w:r>
        <w:rPr>
          <w:rFonts w:ascii="arial" w:eastAsia="arial" w:hAnsi="arial" w:cs="arial"/>
          <w:color w:val="000000"/>
          <w:sz w:val="20"/>
          <w:u w:val="single"/>
          <w:lang w:val="en-US" w:eastAsia="en-US" w:bidi="ar-SA"/>
        </w:rPr>
        <w:t>It seems likely, as the defendants contend, that the learned chambers judge failed adequately to distinguish between the position of Mr. Kropp as a natural person, and the corporate plaintiff as an artificial legal entity. I think this is entirely understandable, given the failure to distinguish in the statement of claim between the claims of the two plaintiffs.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my view the situation of the corporate plaintiff is distinguishable from the circumstances described in </w:t>
      </w:r>
      <w:r>
        <w:rPr>
          <w:rFonts w:ascii="arial" w:eastAsia="arial" w:hAnsi="arial" w:cs="arial"/>
          <w:i/>
          <w:color w:val="000000"/>
          <w:sz w:val="20"/>
          <w:lang w:val="en-US" w:eastAsia="en-US" w:bidi="ar-SA"/>
        </w:rPr>
        <w:t>Hawksview.</w:t>
      </w:r>
      <w:r>
        <w:rPr>
          <w:rFonts w:ascii="arial" w:eastAsia="arial" w:hAnsi="arial" w:cs="arial"/>
          <w:color w:val="000000"/>
          <w:sz w:val="20"/>
          <w:lang w:val="en-US" w:eastAsia="en-US" w:bidi="ar-SA"/>
        </w:rPr>
        <w:t xml:space="preserve"> In that case, the corporate plaintiff owned a home in which the personal plaintiffs resided; the home was allegedly damaged by the defendants and the corporate plaintiff and personal plaintiffs jointly advanced an identical claim against them. The court applied the more stringent test generally applicable to individuals and declined to order security for costs against the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 am cognizant of the approach taken by Holmes J. in </w:t>
      </w:r>
      <w:r>
        <w:rPr>
          <w:rFonts w:ascii="arial" w:eastAsia="arial" w:hAnsi="arial" w:cs="arial"/>
          <w:i/>
          <w:color w:val="000000"/>
          <w:sz w:val="20"/>
          <w:lang w:val="en-US" w:eastAsia="en-US" w:bidi="ar-SA"/>
        </w:rPr>
        <w:t>Hawksview</w:t>
      </w:r>
      <w:r>
        <w:rPr>
          <w:rFonts w:ascii="arial" w:eastAsia="arial" w:hAnsi="arial" w:cs="arial"/>
          <w:color w:val="000000"/>
          <w:sz w:val="20"/>
          <w:lang w:val="en-US" w:eastAsia="en-US" w:bidi="ar-SA"/>
        </w:rPr>
        <w:t xml:space="preserve"> where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True, Mr. Cruickshank as one of Hawksview's officers and co-owners, enjoys the protection of Hawksview's corporate veil in relation to Hawksview's own liability. However, along with Ms. Hicks, Mr. Cruickshank pursues the action also in a personal capacity</w:t>
      </w:r>
      <w:r>
        <w:rPr>
          <w:rFonts w:ascii="arial" w:eastAsia="arial" w:hAnsi="arial" w:cs="arial"/>
          <w:color w:val="000000"/>
          <w:sz w:val="20"/>
          <w:u w:val="single"/>
          <w:lang w:val="en-US" w:eastAsia="en-US" w:bidi="ar-SA"/>
        </w:rPr>
        <w:t>. The fact that Hawksview is also a plaintiff in the action does not reduce Mr. Cruickshank's and Ms. Hicks's personal exposure to risk in the litigation as individual plaintiffs.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Similar reasoning leads me to conclude that the defendants applications in this case should each be determined as a whole, according to the test generally applied in relation to individual plaintiffs. The applications should not be notionally subdivided and determined, in relation to Hawksview, according to the less demanding test applied in respect of corporate plaintiffs.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As I have indicated, the evidence discloses no special circumstances to support the orders sought. On its face, the plaintiffs have a reasonable claim against all of the defendants. In my view, this is not the appropriate context in which to determine the merit of the claim against the Dickson defendants in the detail necessary for a determination of whether, as those defendants submit, the claim is bound to fail; the acknowledgement by BC Hydro's Gary Nyrose, in his examination for discovery, that BC Hydro takes full responsibility for identifying and replacing hazardous trees and vegetation, is not necessarily determinative of the Dickson defendants' liability. </w:t>
      </w:r>
      <w:r>
        <w:rPr>
          <w:rFonts w:ascii="arial" w:eastAsia="arial" w:hAnsi="arial" w:cs="arial"/>
          <w:color w:val="000000"/>
          <w:sz w:val="20"/>
          <w:u w:val="single"/>
          <w:lang w:val="en-US" w:eastAsia="en-US" w:bidi="ar-SA"/>
        </w:rPr>
        <w:t>There is no evidence that the individual plaintiffs are impecunious -- indeed, Mr. Cruickshank deposes that he owns an unencumbered property in Mexico with a value he estimates at approximately $500,000. Mr. Cruickshank deposes that he has family still living in British Columbia, including his mother, three children, and two grandchildren, and travels "home" to British Columbia on a regular basis. I find no basis on which to conclude that the plaintiffs have failed to deal appropriately with their financial obligations in the past, or have misconducted themselves in any way.</w:t>
      </w:r>
      <w:r>
        <w:rPr>
          <w:rFonts w:ascii="arial" w:eastAsia="arial" w:hAnsi="arial" w:cs="arial"/>
          <w:color w:val="000000"/>
          <w:sz w:val="20"/>
          <w:lang w:val="en-US" w:eastAsia="en-US" w:bidi="ar-SA"/>
        </w:rPr>
        <w:t xml:space="preserve"> Their claim relates to an event which took place when they lived in B.C., and, on the evidence, it was that event which drove the individual plaintiffs to move to their recreational property outside the country.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 note the recent case of </w:t>
      </w:r>
      <w:r>
        <w:rPr>
          <w:rFonts w:ascii="arial" w:eastAsia="arial" w:hAnsi="arial" w:cs="arial"/>
          <w:i/>
          <w:color w:val="000000"/>
          <w:sz w:val="20"/>
          <w:lang w:val="en-US" w:eastAsia="en-US" w:bidi="ar-SA"/>
        </w:rPr>
        <w:t>603262 B.C. Ltd. v. Eiyom Properties Ltd.,</w:t>
      </w:r>
      <w:r>
        <w:rPr>
          <w:rFonts w:ascii="arial" w:eastAsia="arial" w:hAnsi="arial" w:cs="arial"/>
          <w:color w:val="000000"/>
          <w:sz w:val="20"/>
          <w:lang w:val="en-US" w:eastAsia="en-US" w:bidi="ar-SA"/>
        </w:rPr>
        <w:t xml:space="preserve"> </w:t>
      </w:r>
      <w:hyperlink r:id="rId1104" w:history="1">
        <w:r>
          <w:rPr>
            <w:rFonts w:ascii="arial" w:eastAsia="arial" w:hAnsi="arial" w:cs="arial"/>
            <w:i/>
            <w:color w:val="0077CC"/>
            <w:sz w:val="20"/>
            <w:u w:val="single"/>
            <w:shd w:val="clear" w:color="auto" w:fill="FFFFFF"/>
            <w:lang w:val="en-US" w:eastAsia="en-US" w:bidi="ar-SA"/>
          </w:rPr>
          <w:t>2014 BCSC 2389</w:t>
        </w:r>
      </w:hyperlink>
      <w:r>
        <w:rPr>
          <w:rFonts w:ascii="arial" w:eastAsia="arial" w:hAnsi="arial" w:cs="arial"/>
          <w:color w:val="000000"/>
          <w:sz w:val="20"/>
          <w:lang w:val="en-US" w:eastAsia="en-US" w:bidi="ar-SA"/>
        </w:rPr>
        <w:t xml:space="preserve"> in which the court distinguished </w:t>
      </w:r>
      <w:r>
        <w:rPr>
          <w:rFonts w:ascii="arial" w:eastAsia="arial" w:hAnsi="arial" w:cs="arial"/>
          <w:i/>
          <w:color w:val="000000"/>
          <w:sz w:val="20"/>
          <w:lang w:val="en-US" w:eastAsia="en-US" w:bidi="ar-SA"/>
        </w:rPr>
        <w:t>Hawksview</w:t>
      </w:r>
      <w:r>
        <w:rPr>
          <w:rFonts w:ascii="arial" w:eastAsia="arial" w:hAnsi="arial" w:cs="arial"/>
          <w:color w:val="000000"/>
          <w:sz w:val="20"/>
          <w:lang w:val="en-US" w:eastAsia="en-US" w:bidi="ar-SA"/>
        </w:rPr>
        <w:t xml:space="preserve"> on the basis that on the facts of that case, it was clear that the corporate plaintiff's claim against the defendant was distinct from the individual plaintiffs' claim, and as such the individual plaintiffs faced no personal financial risk from the corporation's involvement in the litigation. In addition there had been no application for costs sought against the individual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the case at bar, while the personal plaintiffs and Good People advance the same cause of action, there is not enough evidence in the pleadings to determine if the claims of the personal plaintiffs and of Good People are the same in the manner contemplated by </w:t>
      </w:r>
      <w:r>
        <w:rPr>
          <w:rFonts w:ascii="arial" w:eastAsia="arial" w:hAnsi="arial" w:cs="arial"/>
          <w:i/>
          <w:color w:val="000000"/>
          <w:sz w:val="20"/>
          <w:lang w:val="en-US" w:eastAsia="en-US" w:bidi="ar-SA"/>
        </w:rPr>
        <w:t>Hawksview</w:t>
      </w:r>
      <w:r>
        <w:rPr>
          <w:rFonts w:ascii="arial" w:eastAsia="arial" w:hAnsi="arial" w:cs="arial"/>
          <w:color w:val="000000"/>
          <w:sz w:val="20"/>
          <w:lang w:val="en-US" w:eastAsia="en-US" w:bidi="ar-SA"/>
        </w:rPr>
        <w:t xml:space="preserve"> sufficient to merit the application of the more stringent test to both the personal plaintiffs and Good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land had been transferred into the names of the personal plaintiffs without registering the amended SBS contemplated in the contract. When the land was transferred from the personal plaintiffs to Good People in November 2006, there was no amended SBS in place. Good People alleges that its losses more than two years later occurred because it could not complete sales of its lots with changes to the SBS that were on title from the date it acquired the land. It is unclear which losses are alleged by the personal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Either way, the personal plaintiffs are insolvent and at risk of becoming bankrupt soon. They have availed themselves of the </w:t>
      </w:r>
      <w:r>
        <w:rPr>
          <w:rFonts w:ascii="arial" w:eastAsia="arial" w:hAnsi="arial" w:cs="arial"/>
          <w:i/>
          <w:color w:val="000000"/>
          <w:sz w:val="20"/>
          <w:lang w:val="en-US" w:eastAsia="en-US" w:bidi="ar-SA"/>
        </w:rPr>
        <w:t>BIA</w:t>
      </w:r>
      <w:r>
        <w:rPr>
          <w:rFonts w:ascii="arial" w:eastAsia="arial" w:hAnsi="arial" w:cs="arial"/>
          <w:color w:val="000000"/>
          <w:sz w:val="20"/>
          <w:lang w:val="en-US" w:eastAsia="en-US" w:bidi="ar-SA"/>
        </w:rPr>
        <w:t xml:space="preserve"> to shield some of their assets from creditors. Any order of costs arising from these proceedings would likely force them into bankruptcy; on bankruptcy, any costs payable by the personal plaintiffs will be extinguished. They will, in effect, be gambling on the success of their claims without any risk resulting from a dismissal of their claim. Meanwhile, if the plaintiffs become bankrupt, Good People will not be affected by their changed status and will still enjoy the protection of a limited liability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If Good People's claim fails, the resulting order for costs against Good People will not be payable by the personal plaintiffs because they will be shielded by both the corporate veil and the inevitable bankruptcy proceedings; as well if the personal plaintiffs' claims against the defendants are sufficiently different from Good People's claims such that they will not be jointly liable, the personal plaintiffs will face no personal financial risk from Good People's involvement with the litigation. The defendants will be left without any recourse.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This speaks to the precise policy reason articulated in </w:t>
      </w:r>
      <w:r>
        <w:rPr>
          <w:rFonts w:ascii="arial" w:eastAsia="arial" w:hAnsi="arial" w:cs="arial"/>
          <w:i/>
          <w:color w:val="000000"/>
          <w:sz w:val="20"/>
          <w:lang w:val="en-US" w:eastAsia="en-US" w:bidi="ar-SA"/>
        </w:rPr>
        <w:t>Kropp</w:t>
      </w:r>
      <w:r>
        <w:rPr>
          <w:rFonts w:ascii="arial" w:eastAsia="arial" w:hAnsi="arial" w:cs="arial"/>
          <w:color w:val="000000"/>
          <w:sz w:val="20"/>
          <w:lang w:val="en-US" w:eastAsia="en-US" w:bidi="ar-SA"/>
        </w:rPr>
        <w:t xml:space="preserve"> why corporate plaintiffs are treated more harshly in security for costs applications, namely to protect the community against litigious abuses by artificial persons manipulated by natural persons. As Finch J.A. highlights in </w:t>
      </w:r>
      <w:r>
        <w:rPr>
          <w:rFonts w:ascii="arial" w:eastAsia="arial" w:hAnsi="arial" w:cs="arial"/>
          <w:i/>
          <w:color w:val="000000"/>
          <w:sz w:val="20"/>
          <w:lang w:val="en-US" w:eastAsia="en-US" w:bidi="ar-SA"/>
        </w:rPr>
        <w:t>Kropp,</w:t>
      </w:r>
      <w:r>
        <w:rPr>
          <w:rFonts w:ascii="arial" w:eastAsia="arial" w:hAnsi="arial" w:cs="arial"/>
          <w:color w:val="000000"/>
          <w:sz w:val="20"/>
          <w:lang w:val="en-US" w:eastAsia="en-US" w:bidi="ar-SA"/>
        </w:rPr>
        <w:t xml:space="preserve"> quoting the English decision of </w:t>
      </w:r>
      <w:r>
        <w:rPr>
          <w:rFonts w:ascii="arial" w:eastAsia="arial" w:hAnsi="arial" w:cs="arial"/>
          <w:i/>
          <w:color w:val="000000"/>
          <w:sz w:val="20"/>
          <w:lang w:val="en-US" w:eastAsia="en-US" w:bidi="ar-SA"/>
        </w:rPr>
        <w:t>Pearson</w:t>
      </w:r>
      <w:r>
        <w:rPr>
          <w:rFonts w:ascii="arial" w:eastAsia="arial" w:hAnsi="arial" w:cs="arial"/>
          <w:color w:val="000000"/>
          <w:sz w:val="20"/>
          <w:lang w:val="en-US" w:eastAsia="en-US" w:bidi="ar-SA"/>
        </w:rPr>
        <w:t xml:space="preserve"> at 535, "one should be slow to whittle away this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my view, the principle outlined in </w:t>
      </w:r>
      <w:r>
        <w:rPr>
          <w:rFonts w:ascii="arial" w:eastAsia="arial" w:hAnsi="arial" w:cs="arial"/>
          <w:i/>
          <w:color w:val="000000"/>
          <w:sz w:val="20"/>
          <w:lang w:val="en-US" w:eastAsia="en-US" w:bidi="ar-SA"/>
        </w:rPr>
        <w:t>Kropp</w:t>
      </w:r>
      <w:r>
        <w:rPr>
          <w:rFonts w:ascii="arial" w:eastAsia="arial" w:hAnsi="arial" w:cs="arial"/>
          <w:color w:val="000000"/>
          <w:sz w:val="20"/>
          <w:lang w:val="en-US" w:eastAsia="en-US" w:bidi="ar-SA"/>
        </w:rPr>
        <w:t xml:space="preserve"> was not diminished by the finding in </w:t>
      </w:r>
      <w:r>
        <w:rPr>
          <w:rFonts w:ascii="arial" w:eastAsia="arial" w:hAnsi="arial" w:cs="arial"/>
          <w:i/>
          <w:color w:val="000000"/>
          <w:sz w:val="20"/>
          <w:lang w:val="en-US" w:eastAsia="en-US" w:bidi="ar-SA"/>
        </w:rPr>
        <w:t>Hawksview</w:t>
      </w:r>
      <w:r>
        <w:rPr>
          <w:rFonts w:ascii="arial" w:eastAsia="arial" w:hAnsi="arial" w:cs="arial"/>
          <w:color w:val="000000"/>
          <w:sz w:val="20"/>
          <w:lang w:val="en-US" w:eastAsia="en-US" w:bidi="ar-SA"/>
        </w:rPr>
        <w:t xml:space="preserve">. The facts in this case are distinguishable from those in </w:t>
      </w:r>
      <w:r>
        <w:rPr>
          <w:rFonts w:ascii="arial" w:eastAsia="arial" w:hAnsi="arial" w:cs="arial"/>
          <w:i/>
          <w:color w:val="000000"/>
          <w:sz w:val="20"/>
          <w:lang w:val="en-US" w:eastAsia="en-US" w:bidi="ar-SA"/>
        </w:rPr>
        <w:t>Hawksview</w:t>
      </w:r>
      <w:r>
        <w:rPr>
          <w:rFonts w:ascii="arial" w:eastAsia="arial" w:hAnsi="arial" w:cs="arial"/>
          <w:color w:val="000000"/>
          <w:sz w:val="20"/>
          <w:lang w:val="en-US" w:eastAsia="en-US" w:bidi="ar-SA"/>
        </w:rPr>
        <w:t xml:space="preserve"> and the principle articulated by Holmes J. has no application to the circumstances before me. The appropriate test to apply to Good People is the one for corporate litigants.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Personal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personal plaintiffs are insolvent and, in view of their consumer proposals, have no practical hope of paying a costs order if their claim is unsuccessful. I think it is more likely that, if the plaintiffs are unsuccessful, they will become bankrupt soon after as it is unlikely they will be able to continue to meet their proposal obligations and answer to an order for costs of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minimal prospects of the defendants recovering costs at the end of this lawsuit are a punishing disadvantage faced by the defendants. There is a tension between an impecunious plaintiff and a legal adversary who is obliged to defend claims with only modest chances of success. Subject to the outcome in the plaintiff's proposal, costs that will accrue between now and trial will be lost to the defendant if the plaintiffs become bankrupt.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defendants correctly point out that the plaintiffs did not disclose the financial circumstances of two closely held corporations in which they own shares. The plaintiffs did not disclose the identity of a third party giving them funds to deal with their consumer proposal. Notwithstanding these shortcomings in their financial disclosure, I am not convinced that they should be required to post security. In my view, </w:t>
      </w:r>
      <w:r>
        <w:rPr>
          <w:rFonts w:ascii="arial" w:eastAsia="arial" w:hAnsi="arial" w:cs="arial"/>
          <w:i/>
          <w:color w:val="000000"/>
          <w:sz w:val="20"/>
          <w:lang w:val="en-US" w:eastAsia="en-US" w:bidi="ar-SA"/>
        </w:rPr>
        <w:t>Beasse v. Holness</w:t>
      </w:r>
      <w:r>
        <w:rPr>
          <w:rFonts w:ascii="arial" w:eastAsia="arial" w:hAnsi="arial" w:cs="arial"/>
          <w:color w:val="000000"/>
          <w:sz w:val="20"/>
          <w:lang w:val="en-US" w:eastAsia="en-US" w:bidi="ar-SA"/>
        </w:rPr>
        <w:t xml:space="preserve">, </w:t>
      </w:r>
      <w:hyperlink r:id="rId1105" w:history="1">
        <w:r>
          <w:rPr>
            <w:rFonts w:ascii="arial" w:eastAsia="arial" w:hAnsi="arial" w:cs="arial"/>
            <w:i/>
            <w:color w:val="0077CC"/>
            <w:sz w:val="20"/>
            <w:u w:val="single"/>
            <w:shd w:val="clear" w:color="auto" w:fill="FFFFFF"/>
            <w:lang w:val="en-US" w:eastAsia="en-US" w:bidi="ar-SA"/>
          </w:rPr>
          <w:t>2006 BCSC 1265</w:t>
        </w:r>
      </w:hyperlink>
      <w:r>
        <w:rPr>
          <w:rFonts w:ascii="arial" w:eastAsia="arial" w:hAnsi="arial" w:cs="arial"/>
          <w:color w:val="000000"/>
          <w:sz w:val="20"/>
          <w:lang w:val="en-US" w:eastAsia="en-US" w:bidi="ar-SA"/>
        </w:rPr>
        <w:t xml:space="preserve"> dealt with circumstances in which the Chambers Judge found the personal plaintiffs to have been less than truthful in their affidavit evidence. This is not the case with the personal plaintiffs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do not accept that this tenuous evidence concerning the personal plaintiffs' circumstances to be untruthful or deliberately misleading. Although they have not addressed some of the usual questions concerning other resources, I am satisfied that this is not an extraordinary or egregious case which would warrant ordering the personal defendants to post security for costs. Insolvency alone has never been a basis for requiring security for costs from personal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the final analysis, the principle of keeping the court accessible to the poorest litigant overrides the risk to more financially robust parties forced to defend claims where costs of a successful defence will not likely be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Corporate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this case, it is my view that the corporation must post security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court has inherent jurisdiction on applications to force a corporate plaintiff to post security for costs. Good People has been shown to own no exigible assets and the defendants have made out their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that if the corporate defendant is unsuccessful, they will not likely recover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There was no promise or undertaking by the personal plaintiffs to pay a costs order against Good People nor is there any evidence that the personal plaintiffs' resources that are exempted from the consumer bankruptcy proposal will not be available to answer for the defendants'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plaintiffs have not said or established that an order for security for costs will stifle the corporation's claims in this litigation. The evidence tendered on this point is equivocal at best and insufficient on its face. Their evidence demonstrates that they cannot access any other lines of credit or credit card debt to pay for security for costs. They have not addressed the question of any other sources of money that might be available. They were able to secure $10,000 from a third party to facilitate their consumer proposal. They expect to pay $5,046 over 58 months to satisfy their unsecured obligations. At this point, it is unknown whether the consumer proposal is or will be accepted by the creditors.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view of the personal plaintiffs' circumstances and the fact that the plaintiffs did not disclose what efforts they had made to secure financial help to assist them, none of the plaintiffs have met the burden of showing that the claim will be stifled if they are required to post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also find that the defendants have an arguable defence to the claim. On the facts asserted by the defendant, there is compelling evidence that the plaintiffs did not suffer any loss in reliance on the advice of the defendants; did not lose the lands due to the delay in obtaining the August 2009 court order; and may have lost the prospect of additional financing as a result of misleading CWB.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Further, the pleadings do not assist in informing the court about the distinctions between Good People's claims and the personal plaintiffs' claims. This issue was specifically mentioned by Finch J.A. in </w:t>
      </w:r>
      <w:r>
        <w:rPr>
          <w:rFonts w:ascii="arial" w:eastAsia="arial" w:hAnsi="arial" w:cs="arial"/>
          <w:i/>
          <w:color w:val="000000"/>
          <w:sz w:val="20"/>
          <w:lang w:val="en-US" w:eastAsia="en-US" w:bidi="ar-SA"/>
        </w:rPr>
        <w:t>Kropp</w:t>
      </w:r>
      <w:r>
        <w:rPr>
          <w:rFonts w:ascii="arial" w:eastAsia="arial" w:hAnsi="arial" w:cs="arial"/>
          <w:color w:val="000000"/>
          <w:sz w:val="20"/>
          <w:lang w:val="en-US" w:eastAsia="en-US" w:bidi="ar-SA"/>
        </w:rPr>
        <w:t xml:space="preserve"> when addressing an application against a corporate plaintiff and a personal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plaintiffs contend that their impecuniosity is a direct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advising them between 2006 and 2009. Their claim identifies the delay in obtaining the registration of the strata plan from April 2009 to August 2009 as the cause of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plaintiffs did not explain why the Kim and Park transactions did not complete in September 2009. There was no evidence to explain the results of their efforts to satisfy CWB and finish their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Was the Plaintiffs Impecuniosity Caused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plaintiffs contend that their current financial circumstances and inability to pay costs were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as such, an order for security for costs should not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It is clear that the plaintiffs were in difficult financial straits in March and April 2009. Those shortcomings appear to have contributed to the loss of Ms. Salzl's purchase. The plaintiffs' evidence did not persuade me that their impecuniosity was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not unrelated circumstances affecting their financial affairs. I infer that the measure and extent of consumer debt disclosed in their proposal is an indication that other factors adversely impacted their current financial state contributing to their impecuniosity.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Tim Keith Contracting Ltd. v. Richform Construction Supply Company Limited</w:t>
      </w:r>
      <w:r>
        <w:rPr>
          <w:rFonts w:ascii="arial" w:eastAsia="arial" w:hAnsi="arial" w:cs="arial"/>
          <w:color w:val="000000"/>
          <w:sz w:val="20"/>
          <w:lang w:val="en-US" w:eastAsia="en-US" w:bidi="ar-SA"/>
        </w:rPr>
        <w:t xml:space="preserve">, </w:t>
      </w:r>
      <w:hyperlink r:id="rId1106" w:history="1">
        <w:r>
          <w:rPr>
            <w:rFonts w:ascii="arial" w:eastAsia="arial" w:hAnsi="arial" w:cs="arial"/>
            <w:i/>
            <w:color w:val="0077CC"/>
            <w:sz w:val="20"/>
            <w:u w:val="single"/>
            <w:shd w:val="clear" w:color="auto" w:fill="FFFFFF"/>
            <w:lang w:val="en-US" w:eastAsia="en-US" w:bidi="ar-SA"/>
          </w:rPr>
          <w:t>2010 BCSC 1861</w:t>
        </w:r>
      </w:hyperlink>
      <w:r>
        <w:rPr>
          <w:rFonts w:ascii="arial" w:eastAsia="arial" w:hAnsi="arial" w:cs="arial"/>
          <w:color w:val="000000"/>
          <w:sz w:val="20"/>
          <w:lang w:val="en-US" w:eastAsia="en-US" w:bidi="ar-SA"/>
        </w:rPr>
        <w:t>, Schultes J. dealt with a security for costs application involving a plaintiff with a substantial number of claims and actions. The court's comments are apposite: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As I said in a previous context in this judgment, the much stronger inference from the number of actions against the plaintiff and the amounts claimed in them is that the plaintiff has been defaulting on its financial commitments to a variety of creditors for reasons that extend beyond its dispute with this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order that Good People post security for costs if it wishes to advance the claims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amount of security is a matter of discretion for the Court. In my view, after considering all the evidence and the case authorities before me, Good People must post security in the amount of $100,000. The security must be posted within 60 days failing which the defendants will be entitled to apply for judgment dismissing Good People's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T.C. ARMSTRONG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0" style="position:absolute;z-index:2518568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07"/>
          <w:headerReference w:type="default" r:id="rId1108"/>
          <w:footerReference w:type="even" r:id="rId1109"/>
          <w:footerReference w:type="default" r:id="rId1110"/>
          <w:headerReference w:type="first" r:id="rId1111"/>
          <w:footerReference w:type="first" r:id="rId111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13" w:history="1">
        <w:r>
          <w:rPr>
            <w:rFonts w:ascii="arial" w:eastAsia="arial" w:hAnsi="arial" w:cs="arial"/>
            <w:b/>
            <w:bCs/>
            <w:i/>
            <w:color w:val="0077CC"/>
            <w:kern w:val="32"/>
            <w:sz w:val="28"/>
            <w:szCs w:val="32"/>
            <w:u w:val="single"/>
            <w:shd w:val="clear" w:color="auto" w:fill="FFFFFF"/>
            <w:lang w:val="en-US" w:eastAsia="en-US" w:bidi="ar-SA"/>
          </w:rPr>
          <w:t>Drader v. Boyes, [2009] B.C.J. No. 1740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Joyce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29,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31,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S18037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1740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1185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Eugene Drader and D.K. Heli-Cropper Int'l Ltd., Plaintiffs, and Wendy Boyes, Richard Haymond, Joel Schoenberger, Greg Ostifiew, Ross Bertram, Dr. Paul Cervenko, Oliver Betz, and the Attorney General of Canada (For Transport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1"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5" w:name="Keywords_44"/>
      <w:bookmarkEnd w:id="315"/>
      <w:r>
        <w:rPr>
          <w:rFonts w:ascii="arial" w:eastAsia="arial" w:hAnsi="arial" w:cs="arial"/>
          <w:b/>
          <w:color w:val="000000"/>
          <w:sz w:val="20"/>
          <w:lang w:val="en-US" w:eastAsia="en-US" w:bidi="ar-SA"/>
        </w:rPr>
        <w:t xml:space="preserve">Civil litigation — Civil procedure — Pleadings — Amendment of — Statement of claim — Striking out pleadings or allegations — Grounds — Lack of jurisdiction — Application by defendants for an order striking out portions of the plaintiffs' further amended statement of claim alleging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abuse of public office and malfeasance in public office dismissed; plaintiffs' application to further amend their statement of claim to include alleged additional facts in relation to the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 granted — The court had jurisdiction to hear the claims — While at first blush it might seem that the plaintiffs' claims put in question the validity of the Notice of Suspension, the claims raised matters that were distinct from the issues that would be addressed in the statutory review process.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Government law — Actions by and against the Crown — Abuse of legal procedure — Application by defendants for an order striking out portions of the plaintiffs' further amended statement of claim alleging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abuse of public office and malfeasance in public office dismissed; plaintiffs' application to further amend their statement of claim to include alleged additional facts in relation to the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 granted — The court had jurisdiction to hear the claims — While at first blush it might seem that the plaintiffs' claims put in question the validity of the Notice of Suspension, the claims raised matters that were distinct from the issues that would be addressed in the statutory review process.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Air transportation — Regulation — Canadian Transportation Agency — Application by defendants for an order striking out portions of the plaintiffs' further amended statement of claim alleging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abuse of public office and malfeasance in public office dismissed; plaintiffs' application to further amend their statement of claim to include alleged additional facts in relation to the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 granted — The court had jurisdiction to hear the claims — While at first blush it might seem that the plaintiffs' claims put in question the validity of the Notice of Suspension, the claims raised matters that were distinct from the issues that would be addressed in the statutory review process.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Practice and procedure — Pleadings — Amendment — Adding or striking out claim — Application by defendants for an order striking out portions of the plaintiffs' further amended statement of claim alleging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abuse of public office and malfeasance in public office dismissed; plaintiffs' application to further amend their statement of claim to include alleged additional facts in relation to the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 granted — The court had jurisdiction to hear the claims — While at first blush it might seem that the plaintiffs' claims put in question the validity of the Notice of Suspension, the claims raised matters that were distinct from the issues that would be addressed in the statutory review process.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6" w:name="Case Summary_43"/>
            <w:bookmarkEnd w:id="31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defendants for an order striking out portions of the plaintiffs' further amended statement of claim for constituting an abuse of process or on the ground that the court lacked jurisdiction to adjudicate the matters raised. Meanwhile, the plaintiffs applied to further amend their amended statement of claim to include alleged additional facts in relation to their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underlying claim, the plaintiff Drader, a helicopter pilot, and his company, engaged in the business of helicopter logging and helicopter cone picking, against the Attorney General of Canada on behalf of Transport Canada, and a number of employees of Transport Canada seeking damages for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abuse of public office and malfeasance in public office. The plaintiffs alleged that from 2005-2007 the defendants negligently subjected them to unnecessary requirements for the conduct of their business and the piloting of their helicopter and by failing to treat the plaintiffs with administrative fairness in their conduct of matters relating to the plaintiffs. They further alleged that Transport Canada, through its employees, engaged in an abuse of public office, thereby causing them damage. They alternatively alleged that TC, through its employees, engaged in malfeasance in public office.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7" w:name="Holdings of Court_42"/>
            <w:bookmarkEnd w:id="317"/>
            <w:r>
              <w:rPr>
                <w:rFonts w:ascii="arial" w:eastAsia="arial" w:hAnsi="arial" w:cs="arial"/>
                <w:color w:val="000000"/>
                <w:sz w:val="20"/>
                <w:lang w:val="en-US" w:eastAsia="en-US" w:bidi="ar-SA"/>
              </w:rPr>
              <w:t>HELD: Defendants' application dismissed; plaintiffs'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for the plaintiffs' application to amend the statement of claim, the new allegations did not raise a new cause of action. They were further particulars of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had already been pleaded. There was a sufficient evidentiary foundation to support the application to amend. With regard to the defendants' application to strike, the thrust of the plaintiffs' claims in relation to the First Transport Canada matter was that while the individual defendants had the authority to decide to issue a notice of suspension because the plaintiffs' maintenance manual no longer complied with the requirements under the Aeronautics Act, they had and could exercise an operational discretion whether to exercise that authority and issue the notice of suspension or extend more time to the plaintiffs voluntarily to amend the manual to bring it into compliance before issuing the notice and setting a fixed deadline. While at first blush it might seem that the plaintiffs' claims put in question the validity of the Notice of Suspension, the court accepted their argument that their claims raised matters that were distinct from the issues that would be addressed in the statutory review process. Engaging the statutory review process would not have enabled the plaintiffs to raise the matters that form the essence of their complaints and would not have provided them with the remedy they sought. The plaintiffs did not seek declaratory relief with respect to the validity of the notice of suspension, rather they sought remedies in tort. It might be difficult for the plaintiffs to prove that the defendants, having the undisputed authority to issue a Notice of Suspension and having the grounds to use that authority, were nonetheless negligent in invoking their authority when and how they did. It may be difficult to prove that the defendants were guilty of malfeasance when they issued a Notice of Suspension on the admitted basis that the plaintiffs' MCM failed to comply with Transport Canada requirements. However, those were questions for the trial judge to decide. The plaintiffs ought to have the opportunity, in this court, to try to prove those allegations.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8" w:name="Legislation Cited_32"/>
      <w:bookmarkEnd w:id="31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2"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Aeronautics Act, </w:t>
      </w:r>
      <w:hyperlink r:id="rId1114" w:history="1">
        <w:r>
          <w:rPr>
            <w:rFonts w:ascii="arial" w:eastAsia="arial" w:hAnsi="arial" w:cs="arial"/>
            <w:i/>
            <w:color w:val="0077CC"/>
            <w:sz w:val="20"/>
            <w:u w:val="single"/>
            <w:shd w:val="clear" w:color="auto" w:fill="FFFFFF"/>
            <w:lang w:val="en-US" w:eastAsia="en-US" w:bidi="ar-SA"/>
          </w:rPr>
          <w:t>R.S.C. 1985, c. A-2, s. 7.1</w:t>
        </w:r>
      </w:hyperlink>
      <w:r>
        <w:rPr>
          <w:rFonts w:ascii="arial" w:eastAsia="arial" w:hAnsi="arial" w:cs="arial"/>
          <w:color w:val="000000"/>
          <w:sz w:val="20"/>
          <w:lang w:val="en-US" w:eastAsia="en-US" w:bidi="ar-SA"/>
        </w:rPr>
        <w:t>, s. 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Supreme Court Rules, Rule 14(6), Rule 19(7), Rule 19(8), Rule 19(24)(d)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Canadian Aviation Regulations, </w:t>
      </w:r>
      <w:r>
        <w:rPr>
          <w:rFonts w:ascii="arial" w:eastAsia="arial" w:hAnsi="arial" w:cs="arial"/>
          <w:i/>
          <w:color w:val="000000"/>
          <w:sz w:val="20"/>
          <w:lang w:val="en-US" w:eastAsia="en-US" w:bidi="ar-SA"/>
        </w:rPr>
        <w:t>SOR/96-433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Environmental Protection Act, R.S.O. 1980, c. 141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Federal Courts Act, </w:t>
      </w:r>
      <w:hyperlink r:id="rId1115" w:history="1">
        <w:r>
          <w:rPr>
            <w:rFonts w:ascii="arial" w:eastAsia="arial" w:hAnsi="arial" w:cs="arial"/>
            <w:i/>
            <w:color w:val="0077CC"/>
            <w:sz w:val="20"/>
            <w:u w:val="single"/>
            <w:shd w:val="clear" w:color="auto" w:fill="FFFFFF"/>
            <w:lang w:val="en-US" w:eastAsia="en-US" w:bidi="ar-SA"/>
          </w:rPr>
          <w:t>R.S.C. 1985, c. F-7, s. 18</w:t>
        </w:r>
      </w:hyperlink>
      <w:r>
        <w:rPr>
          <w:rFonts w:ascii="arial" w:eastAsia="arial" w:hAnsi="arial" w:cs="arial"/>
          <w:color w:val="000000"/>
          <w:sz w:val="20"/>
          <w:lang w:val="en-US" w:eastAsia="en-US" w:bidi="ar-SA"/>
        </w:rPr>
        <w:t>, s. 18.1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CHAPTER 266, s.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Transportation Appeal Tribunal of Canada Act, </w:t>
      </w:r>
      <w:hyperlink r:id="rId1116" w:history="1">
        <w:r>
          <w:rPr>
            <w:rFonts w:ascii="arial" w:eastAsia="arial" w:hAnsi="arial" w:cs="arial"/>
            <w:i/>
            <w:color w:val="0077CC"/>
            <w:sz w:val="20"/>
            <w:u w:val="single"/>
            <w:shd w:val="clear" w:color="auto" w:fill="FFFFFF"/>
            <w:lang w:val="en-US" w:eastAsia="en-US" w:bidi="ar-SA"/>
          </w:rPr>
          <w:t>S.C. 2001, c. 29, s. 2</w:t>
        </w:r>
      </w:hyperlink>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Utilities Commission Act, </w:t>
      </w:r>
      <w:hyperlink r:id="rId1117" w:history="1">
        <w:r>
          <w:rPr>
            <w:rFonts w:ascii="arial" w:eastAsia="arial" w:hAnsi="arial" w:cs="arial"/>
            <w:i/>
            <w:color w:val="0077CC"/>
            <w:sz w:val="20"/>
            <w:u w:val="single"/>
            <w:shd w:val="clear" w:color="auto" w:fill="FFFFFF"/>
            <w:lang w:val="en-US" w:eastAsia="en-US" w:bidi="ar-SA"/>
          </w:rPr>
          <w:t>R.S.C. 1985, c. F-7</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9" w:name="Counsel_45"/>
      <w:bookmarkEnd w:id="31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3" style="position:absolute;z-index:251807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 Stander.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L.C. Morphy and C. Mah.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0" w:name="Judgment_45"/>
      <w:bookmarkEnd w:id="320"/>
      <w:r>
        <w:pict>
          <v:line id="_x0000_s1254" style="position:absolute;z-index:2518579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1" w:name="B.M. JOYCE J."/>
            <w:bookmarkEnd w:id="321"/>
            <w:r>
              <w:rPr>
                <w:rFonts w:ascii="arial" w:eastAsia="arial" w:hAnsi="arial" w:cs="arial"/>
                <w:b/>
                <w:color w:val="000000"/>
                <w:sz w:val="30"/>
                <w:lang w:val="en-US" w:eastAsia="en-US" w:bidi="ar-SA"/>
              </w:rPr>
              <w:t>B.M. JOYCE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Eugene Drader ("Drader") is a helicopter pilot. He owns D.K. Heli-Cropper Int'l Ltd. ("D.K. Heli-Cropper"), which is engaged in the business of helicopter logging and helicopter cone picking.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Drader has at all material times been licensed by Transport Canada as a helicopter pilot. D.K. Heli-Cropper has at all material times been the holder of an Air Operators Certificate issued by Transport Canada under the </w:t>
      </w:r>
      <w:r>
        <w:rPr>
          <w:rFonts w:ascii="arial" w:eastAsia="arial" w:hAnsi="arial" w:cs="arial"/>
          <w:i/>
          <w:color w:val="000000"/>
          <w:sz w:val="20"/>
          <w:lang w:val="en-US" w:eastAsia="en-US" w:bidi="ar-SA"/>
        </w:rPr>
        <w:t>Aeronautics Act</w:t>
      </w:r>
      <w:r>
        <w:rPr>
          <w:rFonts w:ascii="arial" w:eastAsia="arial" w:hAnsi="arial" w:cs="arial"/>
          <w:color w:val="000000"/>
          <w:sz w:val="20"/>
          <w:lang w:val="en-US" w:eastAsia="en-US" w:bidi="ar-SA"/>
        </w:rPr>
        <w:t xml:space="preserve">, </w:t>
      </w:r>
      <w:hyperlink r:id="rId1118" w:history="1">
        <w:r>
          <w:rPr>
            <w:rFonts w:ascii="arial" w:eastAsia="arial" w:hAnsi="arial" w:cs="arial"/>
            <w:i/>
            <w:color w:val="0077CC"/>
            <w:sz w:val="20"/>
            <w:u w:val="single"/>
            <w:shd w:val="clear" w:color="auto" w:fill="FFFFFF"/>
            <w:lang w:val="en-US" w:eastAsia="en-US" w:bidi="ar-SA"/>
          </w:rPr>
          <w:t>R.S.C. 1985, c. A-2</w:t>
        </w:r>
      </w:hyperlink>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Canadian Aviation Regulations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SOR/96-433</w:t>
      </w:r>
      <w:r>
        <w:rPr>
          <w:rFonts w:ascii="arial" w:eastAsia="arial" w:hAnsi="arial" w:cs="arial"/>
          <w:color w:val="000000"/>
          <w:sz w:val="20"/>
          <w:lang w:val="en-US" w:eastAsia="en-US" w:bidi="ar-SA"/>
        </w:rPr>
        <w:t>, authorizing it to carry on the business of aerial inspection and surveillance, aerial harvesting and heli-logging.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plaintiffs have brought this action against the Attorney General of Canada, on behalf of Transport Canada, and a number of employees of Transport Canada seeking damages for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abuse of public office and malfeasance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allege that during the period from 2005 through to 2007 the defendants negligently subjected them to unnecessary requirements for the conduct of their business and the piloting of their helicopter and by failing to treat the plaintiffs with administrative fairness in their conduct of matters relating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also allege that Transport Canada, through its employees, engaged in an abuse of public office, thereby causing the plaintiffs damage. In the alternative, the plaintiffs allege that Transport Canada, through its employees, engaged in malfeasance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defendants apply for an order that portions of the plaintiffs' further amended statement of claim, filed November 18, 2008, be struck out pursuant to Rule 19(24)(d)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on the ground that they constitute an abuse of process or on the alternative ground under Rule 14(6) that this court lacks jurisdiction to adjudicate the matters raised by those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plaintiffs, on the other hand, apply to further amend their amended statement of claim to allege additional facts in relation to their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NATURE OF THE CLAIMS AND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claims concern four different events or circumstances that the plaintiffs refer to as the "First, Second, Third and Fourth Transport Canada Matters". The factual allegations regarding these matters, as set out in the further amended statement of claim, filed November 18, 2008,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 "First Transport Canada Matter"</w:t>
      </w:r>
    </w:p>
    <w:p>
      <w:pPr>
        <w:numPr>
          <w:numId w:val="2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May, 2003, the maintenance manual for the helicopter used by the Plaintiffs in their business was authorized and accepted by Boyes on behalf of Transport Canada - this particular maintenance manual (the "Manual") had been suggested by Boyes herself to the Plaintiffs.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June, 2005, for reasons as yet unknown to the Plaintiffs, Boyes notified the Plaintiffs that the Manual was not appropriate to their business, and that it would have to be revised.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notice of this required revision came in the middle of the Plaintiffs' busy heli-logging and cone picking seasons, so the Plaintiffs sought an extension beyond the September 30, 2005 date stipulated as the deadline for the revisions to the Manual, on the basis that the original Manual had been approved by Transport Canada, and that revisions during the summer months of 2005 would have an adverse impact on the business of the Plaintiffs.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request for the extension, however, was denied by Boyes, Haymond, and Schoenberger on or about June 21, 2005.</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22, 2005, Transport Canada notified the Plaintiffs of the suspension of the Air Operators Certificate, No. 8373, for D.K. Heli-Cropper Int'l Ltd., effective September 30, 2005 - this letter did not provide any information regarding the possibility of an appeal of the Notice of Suspension.</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 "Second Transport Canada Matter"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the same time, in early June, 2005, Drader, while inspecting a cut block in the Kenyon Lake area of British Columbia, for which he had a license to harvest shake blocks, caught two trespassers on the cut block, ostensibly involved in the theft of shake blocks - he obtained information regarding these trespassers by hovering his helicopter within a safe distance of them, so that they could be reported to the authorities.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trespassers, Michael Bergen ("Bergen") and Anerita Chan ("Chan"), made a complaint against Drader for dangerous flying, which was subsequently investigated by Ostafiew and Bertram.</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Ostafiew's investigation, </w:t>
      </w:r>
      <w:r>
        <w:rPr>
          <w:rFonts w:ascii="arial" w:eastAsia="arial" w:hAnsi="arial" w:cs="arial"/>
          <w:color w:val="000000"/>
          <w:sz w:val="20"/>
          <w:u w:val="single"/>
          <w:lang w:val="en-US" w:eastAsia="en-US" w:bidi="ar-SA"/>
        </w:rPr>
        <w:t>with the assistance or guidance of Bertram,</w:t>
      </w:r>
      <w:r>
        <w:rPr>
          <w:rFonts w:ascii="arial" w:eastAsia="arial" w:hAnsi="arial" w:cs="arial"/>
          <w:color w:val="000000"/>
          <w:sz w:val="20"/>
          <w:lang w:val="en-US" w:eastAsia="en-US" w:bidi="ar-SA"/>
        </w:rPr>
        <w:t xml:space="preserve"> Drader was fined for the offence of dangerous flying, and this fine was approved and recommended by Ostafiew and his supervisor </w:t>
      </w:r>
      <w:r>
        <w:rPr>
          <w:rFonts w:ascii="arial" w:eastAsia="arial" w:hAnsi="arial" w:cs="arial"/>
          <w:color w:val="000000"/>
          <w:sz w:val="20"/>
          <w:u w:val="single"/>
          <w:lang w:val="en-US" w:eastAsia="en-US" w:bidi="ar-SA"/>
        </w:rPr>
        <w:t>or assistant, Bertram</w:t>
      </w:r>
      <w:r>
        <w:rPr>
          <w:rFonts w:ascii="arial" w:eastAsia="arial" w:hAnsi="arial" w:cs="arial"/>
          <w:color w:val="000000"/>
          <w:sz w:val="20"/>
          <w:lang w:val="en-US" w:eastAsia="en-US" w:bidi="ar-SA"/>
        </w:rPr>
        <w:t>. [Emphasis added.]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21, 2007, the Transportation Appeal Tribunal of Canada reversed the fine for dangerous flying, and declared the penalty null and void - in doing so, the Tribunal found "significant oversights in the conduct of the investigation" of the complaint, as well as "errors in judgment" in bringing it.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 "Third Transport Canada Matter"</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same period of time, in or about June, 2006, Transport Canada, through its employee, Dr. Cervenko, made requests for Drader to submit to extraordinary medical examinations, despite medical information from Drader's duly authorized medical examiner that he was fit to fly.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Cervenko required Drader to submit to these extraordinary medical examinations during the Plaintiffs' busy heli-logging and cone picking seasons.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 "Fourth Transport Canada Matter"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Also, in or about December, 2006, Transport Canada, through its employee, Betz, performed an audit on the Plaintiffs including an audit of conformance with flight crew training programs.</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Betz determined that the Plaintiffs were not in compliance, and that Drader required alternate forms of annual flight training with a qualified training pilot, even though this requirement had not been made in the previous 5 years, because of the extensive and unmatched experience of Drader in the flying of his Hiller helicopter, and the absence of a qualified pilot to provide him with current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plaintiffs' allegations in respect of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set out in the further amended statement of claim filed November 18, 2008, in the following paragraphs: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2005 through to 2007, the Plaintiffs were subjected to administratively instigated and costly activity as a result of the First, Second, Third, and Fourth Transport Canada Matters.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employees of Transport Canada involved in these four Transport Canada matters, Boyes, Haymond, Schoenberger, Ostafiew, Bertram, Dr. Cervenko and Betz, owed a duty of care to the Plaintiffs, to treat them with administrative fairness, and not to subject them to unnecessary administrative requirements or costs.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Transport Canada employees, Boyes, Haymond, Schoenberger, Ostafiew, Bertram, Dr. Cervenko, and Betz, acted negligently, either by subjecting the Plaintiffs to unnecessary administrative requirements for the conduct of their business and the piloting of their helicopter, or by failing to treat the Plaintiffs with administrative fairness in their conduct of matters relating to the Plaintiffs.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these employees includes, but is not limited to:</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regard to the First Transport Canada Matter, by Boyes, Haymond, and Schoenberger, by failing to provide a reasonable extension on the time period for the changes to the Manual, in circumstances where an extension would normally be given, and where there was no reason to deny an extension, and by failing to advise the Plaintiffs of their right to appeal the decision to deny the extension request;</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regard to the Second Transport Canada Matter, by Ostafiew and Bertram, by failing to conduct a full and proper investigation of the dangerous flying allegation, which included a reasonable review of all evidence, including, </w:t>
      </w:r>
      <w:r>
        <w:rPr>
          <w:rFonts w:ascii="arial" w:eastAsia="arial" w:hAnsi="arial" w:cs="arial"/>
          <w:color w:val="000000"/>
          <w:sz w:val="20"/>
          <w:u w:val="single"/>
          <w:lang w:val="en-US" w:eastAsia="en-US" w:bidi="ar-SA"/>
        </w:rPr>
        <w:t>but not limited to,</w:t>
      </w:r>
      <w:r>
        <w:rPr>
          <w:rFonts w:ascii="arial" w:eastAsia="arial" w:hAnsi="arial" w:cs="arial"/>
          <w:color w:val="000000"/>
          <w:sz w:val="20"/>
          <w:lang w:val="en-US" w:eastAsia="en-US" w:bidi="ar-SA"/>
        </w:rPr>
        <w:t xml:space="preserve"> the evidence of the Ministry of Forests on a similar complaint raised by Bergan and Chan, as well as an interview of Drader's son, Shane Drader, who was a witness to the relevant events, and was in the helicopter with his father at all material times; [Emphasis added.]</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regard to the Third Transport Canada Matter, by Dr. Cervenko, by failing to take into account the medical information provided by Drader's Transport Canada Certified Medical Examiner, that Drader was fit to fly; and</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regard to the Fourth Transport Canada Matter, by Betz, by failing to reasonably recognize that Drader is the most qualified Hiller pilot in British Columbia, and that training from another pilot in this area was unnecessary and unreasonable.</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these Transport Canada employees, the Plaintiffs have suffered general and special damages, including loss of business revenues and mental and emotional suffering.</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Transport Canada is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these Transport Canada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APPLICATION TO AMEND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seek to amend their further amended statement of claim in a number of respects. The only amendments in contention are those that would add a new paragraph 20 (following paragraph 19 in the further amended statement of claim filed November 18, 2008) and to add a new subparagraph (a) to paragraph 31 of the further amended statement of claim filed November 18, 2008 (paragraph 34 in the proposed amended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Originally, the plaintiffs indicated that they sought to amend to include a new paragraph 20 that read as follows:</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complied with the provisions of the Notice of Suspension, by submitting a new Manual on September 30, 2005, however, neither Transport Canada, nor the Defendants, Boyes, Haymond, or Schoenberger approved it and rescinded the Notice of Suspension until February 15,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However, at the hearing the plaintiffs' position changed and they indicated that they were not asserting that they submitted a new manual on September 30, 2005 that was in compliance with the requirements of the Notice of Suspension. Rather, they allege that they submitted a new manual in an attempt to comply and that the defendants were negligent in not working with the plaintiffs more quickly to enable them to make modifications to the proposed new manual that would bring it in compliance. They also allege that the defendants were negligent in not exercising a discretion to grant a longer period of time to change the manual before a Notice of Suspension would become effective. They therefore seek to amend to include new paragraphs 20 and 34(a) as follows:</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responded to the Notice of Suspension, by submitting a new Manual on September 30, 2005, however, Transport Canada and the Defendants, Boyes, Haymond and Schoenberger did not approve the Manual and did not rescind the Notice of Suspension until February 15, 2006.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with regard to the First Transport Canada Matter, by Boyes, Haymond and Schoenberger, by failing to provide a reasonable extension on the time period for the changes to the Manual, in circumstances where an extension would normally be given at the discretion of these Defendants, and where there was no reason to deny an extension, by failing to advise the Plaintiffs of their right to appeal the decision to deny the extension request, and by failing to approve the new Manual in a timely and reasonable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object to these proposed amendments on the grounds that:</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inconsistent with earlier pleadings and therefore not permitted under Rule 19(7);</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proposed amendments are false, frivolous and an abuse of process; and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proposed amendments to paragraphs 20 and 34(a) represent a new claim which is outside of the limitation period and therefore limitation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propose to deal firstly with the application to amend the statement of claim, without regard to the defendants' application to strike portions of the statement of claim. However, as the impugned paragraphs 20 and 34(a) deal with the First Transport Canada Matter, which the defendants seek to have struck from the statement of claim, if the defendants are successful in their application to strike, paragraphs 20 and 34(a) will not be permitted, even if they are not otherwise objectionable.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 will deal first with the limitation issue. The defendants submit that the proposed paragraphs seek to advance a new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the time limit for bringing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two years from September 30, 2005. It appears this submission is based on s. 3(2)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which provides a two-year limitation period for, amongst other actions, an action "for damages in respect of injury to person or property, including economic loss arising from the injury, whether based on contract, tort or statutory duty". The plaintiffs do not claim damages based on injury to person or property and their claims do not come within any of the other actions set out in s. 3(2)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any event, I am not satisfied that the allegations sought to be made by the amendments raise a new cause of action. Rather, I view them as further particulars of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has already been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defendants cannot succeed on this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With regard to the objection on the ground of inconsistent pleadings, subrules 19(7) and (8)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provide:</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shall not plead an allegation of fact or a new ground or claim inconsistent with the party's previous pleading.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Subrule (7) does not affect the right of a party to make allegations in the alternative or to amend or apply for leave to amend a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submit that while a party can, as a general rule, plead inconsistent sets of facts in the alternative, it cannot do so where one of those sets of facts must be known to the party to be false. Such a pleading is embarrassing and will be struck out (</w:t>
      </w:r>
      <w:r>
        <w:rPr>
          <w:rFonts w:ascii="arial" w:eastAsia="arial" w:hAnsi="arial" w:cs="arial"/>
          <w:i/>
          <w:color w:val="000000"/>
          <w:sz w:val="20"/>
          <w:lang w:val="en-US" w:eastAsia="en-US" w:bidi="ar-SA"/>
        </w:rPr>
        <w:t>National Bank Financial Ltd. v. Potter</w:t>
      </w:r>
      <w:r>
        <w:rPr>
          <w:rFonts w:ascii="arial" w:eastAsia="arial" w:hAnsi="arial" w:cs="arial"/>
          <w:color w:val="000000"/>
          <w:sz w:val="20"/>
          <w:lang w:val="en-US" w:eastAsia="en-US" w:bidi="ar-SA"/>
        </w:rPr>
        <w:t xml:space="preserve">, </w:t>
      </w:r>
      <w:hyperlink r:id="rId1119" w:history="1">
        <w:r>
          <w:rPr>
            <w:rFonts w:ascii="arial" w:eastAsia="arial" w:hAnsi="arial" w:cs="arial"/>
            <w:i/>
            <w:color w:val="0077CC"/>
            <w:sz w:val="20"/>
            <w:u w:val="single"/>
            <w:shd w:val="clear" w:color="auto" w:fill="FFFFFF"/>
            <w:lang w:val="en-US" w:eastAsia="en-US" w:bidi="ar-SA"/>
          </w:rPr>
          <w:t>2005 NSSC 8</w:t>
        </w:r>
      </w:hyperlink>
      <w:r>
        <w:rPr>
          <w:rFonts w:ascii="arial" w:eastAsia="arial" w:hAnsi="arial" w:cs="arial"/>
          <w:color w:val="000000"/>
          <w:sz w:val="20"/>
          <w:lang w:val="en-US" w:eastAsia="en-US" w:bidi="ar-SA"/>
        </w:rPr>
        <w:t xml:space="preserve"> at para. 25, </w:t>
      </w:r>
      <w:hyperlink r:id="rId1119" w:history="1">
        <w:r>
          <w:rPr>
            <w:rFonts w:ascii="arial" w:eastAsia="arial" w:hAnsi="arial" w:cs="arial"/>
            <w:i/>
            <w:color w:val="0077CC"/>
            <w:sz w:val="20"/>
            <w:u w:val="single"/>
            <w:shd w:val="clear" w:color="auto" w:fill="FFFFFF"/>
            <w:lang w:val="en-US" w:eastAsia="en-US" w:bidi="ar-SA"/>
          </w:rPr>
          <w:t>231 N.S.R. (2d) 14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my view, the defendants' objection on this ground would have merit with regard to the first proposed new paragraph 20. In their earlier pleading, the plaintiffs alleged that they were not given sufficient time to revise the manual because they were denied an extension. Implicit in the earlier pleading is the allegation that the plaintiffs did not in fact revise the manual so as to comply with the requirements of the Notice of Suspension by September 30, 2005. The amendment as originally proposed, namely that the plaintiffs provided an amended manual that complied with the provisions of the Notice of Suspension, would be inconsistent with the earlier pleading. The defendants say that either the plaintiffs complied or they didn't and the plaintiffs must know which is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revised amendment, as adopted at the hearing, does not give rise to the same objection. The plaintiffs do not assert that they complied by September 30, 2005; they say only that they responded to the Notice of Suspension by providing a proposed new manual by that date. In my view, this is not inconsistent with the earlier pleading. The allegation that they did not have enough time to comply because they were not granted an extension can stand alongside an allegation that they tried to comply by providing a revised manual by September 30, 2005, which manual did not comply with the requirements of the Notice of Suspension.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Finally, the defendants submit that there is no evidence to support the allegations that the plaintiffs seek to make that they submitted a revised manual by September 30, 2005. They submit that all of the evidence is to the contrary. The defendants submit that where, as here, the amendment alleges new facts of substance, some evidence must exist to support the alleged fact (</w:t>
      </w:r>
      <w:r>
        <w:rPr>
          <w:rFonts w:ascii="arial" w:eastAsia="arial" w:hAnsi="arial" w:cs="arial"/>
          <w:i/>
          <w:color w:val="000000"/>
          <w:sz w:val="20"/>
          <w:lang w:val="en-US" w:eastAsia="en-US" w:bidi="ar-SA"/>
        </w:rPr>
        <w:t>Mikisew Cree First Nation v. Canada,</w:t>
      </w:r>
      <w:r>
        <w:rPr>
          <w:rFonts w:ascii="arial" w:eastAsia="arial" w:hAnsi="arial" w:cs="arial"/>
          <w:color w:val="000000"/>
          <w:sz w:val="20"/>
          <w:lang w:val="en-US" w:eastAsia="en-US" w:bidi="ar-SA"/>
        </w:rPr>
        <w:t xml:space="preserve"> </w:t>
      </w:r>
      <w:hyperlink r:id="rId1120" w:history="1">
        <w:r>
          <w:rPr>
            <w:rFonts w:ascii="arial" w:eastAsia="arial" w:hAnsi="arial" w:cs="arial"/>
            <w:i/>
            <w:color w:val="0077CC"/>
            <w:sz w:val="20"/>
            <w:u w:val="single"/>
            <w:shd w:val="clear" w:color="auto" w:fill="FFFFFF"/>
            <w:lang w:val="en-US" w:eastAsia="en-US" w:bidi="ar-SA"/>
          </w:rPr>
          <w:t>2002 ABCA 110</w:t>
        </w:r>
      </w:hyperlink>
      <w:r>
        <w:rPr>
          <w:rFonts w:ascii="arial" w:eastAsia="arial" w:hAnsi="arial" w:cs="arial"/>
          <w:color w:val="000000"/>
          <w:sz w:val="20"/>
          <w:lang w:val="en-US" w:eastAsia="en-US" w:bidi="ar-SA"/>
        </w:rPr>
        <w:t xml:space="preserve">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defendants refer to the following pieces of evidence in submitting that it is clear that no new manual was provided to Transport Canada on or before September 30, 2005:</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Drader's testimony at a Transportation Appeal Tribunal of Canada (TATC) hearing on January 16, 2007 where he was asked how long it took to get the manual changed and he answered, "We got the first revision ready in - - sometime in October and [Jason Drader] submitted it and it was rejected".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Drader's affidavit sworn October 16, 2008, in which he deposed at para. 5:</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the Notice came during an extremely busy time for my business, which involves heli-logging and cone-picking, there was not sufficient time to deal with the revision to the manual, so, on September 30, 2005, I was forced to ground my helicopter, cease business operations, and deal primarily with the request of Transport Canada.</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letter from Transport Canada to Drader dated October 20, 2005 in which Mr. Terry Ostash said, "I have reviewed your Maintenance Control Manual received at this office on October 13,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his affidavit sworn May 27, 2009, Drader's son, Jason Drader, who was charged with the responsibility to revise the manual, deposed that he believes his father was mistaken about the dates when he testified at the TATC hearing. Jason Drader deposed:</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Regardless of that, however, I recall clearly working on the new manual which would be in compliance with the CARs between September 15 and September 30, 2005, following my return, full-time, to the Abbotsford area from police academy.</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work on the new manual, I recall that a first draft of it was ready for submission to Transport Canada on or about September 30, 2005, which was as fast as we could do it following my return from police academy.</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recall that my father, Eugene Drader, took the first draft down to Transport Canada on or about September 30,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also refer to the following internal correspondence at Transport Canada:</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email from Wendy Boyes to Bruce Hutchings dated September 28, 2005, in which she said, in part: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As of this date D.K. Heli-Cropper Int'l Ltd. has not met the conditions for reinstatement as per the Notice of Suspension dated 2003-03-31.</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Note: - An email was received from the Person Responsible for Maintenance on September 14 requesting a generic Maintenance Control Manual.</w:t>
      </w:r>
    </w:p>
    <w:p>
      <w:pPr>
        <w:numPr>
          <w:numId w:val="3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September 22nd I forwarded another draft copy of our MCM Guide. The same was forwarded to them on June 21, 2005.</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further email from Wendy Boyes to Bruce Hutchings dated September 28, 2005, in which she said: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Even if they submit an MCM at this time, giving me two days to approve the manual it is not feasible, other priorities take precedence. I will only be here today and tomorrow and will not have time to approve it. An MCM approved by TC was the grounds for reinstatement. They had 6 months to submit an MCM for approval and have chosen not to or have chosen to leave it to the last minute.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Unless you and Pat Guttormson, Acting Superintendent, Abbotsford decide differently they will go into suspension either way.</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email from Don Royle to Trevor Heryet dated October 4, 2005, in which Mr. Royle said, in part: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 talking to A/TAH, DK Helicroper (sic) did 'technically' not meet TCs requirements prior to the end of September (the suspension date). Terry (A/TAH) thinks they (DK) may have had a 'last minute' submission of the MCM to us that was just not practical to peruse (due to the volume of work) at the drop-dead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foregoing correspondence tends to support Jason Drader's evidence that a revised manual was delivered to Transport Canada on September 30, 2005, but was not reviewed by Transport Canada at that time. It does not tend to show that whatever was submitted was in compliance but the plaintiffs are not making that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am satisfied that there is a sufficient evidentiary foundation as to support the application to amend, if one is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conclude, therefore, that subject to my decision on the defendants' application to strike the pleadings relating to the First Transport Canada Matter, the plaintiffs may amend their further amended statement of claim as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DEFENDANTS' APPLICATION TO STRIKE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 and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defendants apply to strike those pleadings that relate to the First Transport Canada Matter, which is concerned with the Notice of Suspension issued by Transport Canada on June 22, 2005, on the grounds of lack of jurisdiction or abuse of process. The defendants submit that any challenge to the Notice of Suspension should have been brought to the Transportation Appeal Tribunal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particular, the defendants seek to have the following paragraphs of the further amended statement of claim filed November 18, 2008, struck out:</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Paragraphs 3-5, which identify the defendants Boyes, Haymond, and Schoenberger who are named in connection with the First Transport Canada Matter;</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Paragraphs 15-19, which are quoted above, which set out general allegations in connection with the First Transport Canada Matter;</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31(a), which alleges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connection with the First Transport Canada Matter [it appears to me that if this paragraph is struck then the names Boyes, Haymond, and Schoenberger should also be struck from paragraph 30]; and</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Paragraphs 37, 38 and 49, which set out allegations of abuse of public office and misfeasance in public office. Those paragraphs read as follows:</w:t>
      </w:r>
    </w:p>
    <w:p>
      <w:pPr>
        <w:numPr>
          <w:numId w:val="3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Transport Canada, through Boyes, Haymond, and Schoenberger, in the First Transport Canada Matter, exercised its power to refuse the Plaintiffs an extension of time for the revisions to the Manual, for the dominant purpose of arbitrarily restricting the operation of the Plaintiffs' business, by grounding the Hiller helicopter during the busy heli-logging and cone picking seasons.</w:t>
      </w:r>
    </w:p>
    <w:p>
      <w:pPr>
        <w:numPr>
          <w:numId w:val="3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 behind the refusal to grant an extension on the time for revisions to the Manual was improper and without authority, and the responsible employees of Transport Canada involved in these decision (sic) knew that, as a result of their intentional act in refusing the extension, that the Plaintiffs were likely to suffer significant economical damages, and that Drader would be subjected to emotional and mental distress.</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regard to the First Transport Canada Matter, Transport Canada, through the employees involved, failed to provide a reasonable and usually provided extension for the time to revise the Manual.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By way of background, the issuance of an Air Operator Certificate is dependent upon the operator meeting various conditions necessary for the issuance of the certificate. One of these conditions is that the operator must have a maintenance control manual ("MCM") approved by Transport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If, at any time, the operator ceases to meet the conditions necessary for the issuance of the Air Operator Certificate it is within the Minister of Transport's statutory authority to issue a Notice of Suspension. If the Minister decides to suspend the Air Operator Certificate, s. 7.1 of the </w:t>
      </w:r>
      <w:r>
        <w:rPr>
          <w:rFonts w:ascii="arial" w:eastAsia="arial" w:hAnsi="arial" w:cs="arial"/>
          <w:i/>
          <w:color w:val="000000"/>
          <w:sz w:val="20"/>
          <w:lang w:val="en-US" w:eastAsia="en-US" w:bidi="ar-SA"/>
        </w:rPr>
        <w:t>Aeronautics Act</w:t>
      </w:r>
      <w:r>
        <w:rPr>
          <w:rFonts w:ascii="arial" w:eastAsia="arial" w:hAnsi="arial" w:cs="arial"/>
          <w:color w:val="000000"/>
          <w:sz w:val="20"/>
          <w:lang w:val="en-US" w:eastAsia="en-US" w:bidi="ar-SA"/>
        </w:rPr>
        <w:t xml:space="preserve"> provides that the Minister shall notify the operator of that decision and the section provides for a review procedure. Section 7.2 provides for an appeal from the review decision. The material parts of ss. 7.1 and 7.2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 (1) If the Minister decides to suspend, cancel or refuse to renew a Canadian aviation document on the grounds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holder or any aircraft, airport or other facility in respect of which the document was issued ceases to meet the qualifications necessary for the issuance of the document or to fulfil the conditions subject to which the document was issued,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Minister shall, by personal service or by registered or certified mail sent to the holder or the owner or operator of the aircraft, airport or facility, as the case may be, at their latest known address, notify that person of the Minister's decision.</w:t>
      </w:r>
    </w:p>
    <w:p>
      <w:pPr>
        <w:numPr>
          <w:numId w:val="4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notice under subsection (1) shall be in such form as the Governor in Council may by regulation prescribe and shall, in addition to any other information that may be so prescribed,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state the date, being thirty days after the notice is served or sent, on or before which and the address at which a request for a review of the decision of the Minister is to be filed in the event the holder of the document or the owner or operator concerned wishes to have the decision reviewed.</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Minister's decision to suspend or cancel a Canadian aviation document takes effect on the date of receipt of the notice under subsection (1) by the person on whom it is served or to whom it is sent, unless the notice indicates that the decision is to take effect on a later date.</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holder of a Canadian aviation document or the owner or operator of any aircraft, airport or other facility in respect of which a Canadian aviation document is issued who is affected by a decision of the Minister referred to in subsection (1) wishes to have the decision reviewed, he shall, on or before the date that is thirty days after the notice is served on or sent to him under that subsection or within such further time as the Tribunal, on application by the holder, owner or operator, may allow, in writing file with the Tribunal at the address set out in the notice a request for a review of the decision.</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request for a review of the decision of the Minister under subsection (3) does not operate as a stay of the suspension, cancellation or refusal to renew to which the decision relates.</w:t>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receipt of a request filed in accordance with subsection (3), the Tribunal shall forthwith appoint a time, as soon as practicable after the request is filed, and place for the review of the decision referred to in the request and in writing notify the Minister and the person who filed the request of the time and place so appointed.</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and place appointed under subsection (5) for the review of the decision, the member of the Tribunal assigned to conduct the review shall provide the Minister and the holder of the Canadian aviation document or the owner or operator affected by the decision, as the case may be, with an opportunity consistent with procedural fairness and natural justice to present evidence and make representations in relation to the suspension, cancellation or refusal to renew under review.</w:t>
      </w:r>
    </w:p>
    <w:p>
      <w:pPr>
        <w:numPr>
          <w:numId w:val="4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a review under this section of a decision of the Minister to suspend, cancel or refuse to renew a Canadian aviation document, the member of the Tribunal who conducts the review may determine the matter by confirming the Minister's decision or by referring the matter back to the Minister for reconsideration.</w:t>
      </w:r>
    </w:p>
    <w:p>
      <w:pPr>
        <w:numPr>
          <w:numId w:val="4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decision to suspend or cancel a Canadian aviation document is referred back to the Minister for reconsideration under subsection (7), the decision of the Minister remains in effect until the reconsideration is concluded. However, the member, after considering any representations made by the parties, may grant a stay of the decision until the reconsideration is concluded, if he or she is satisfied that granting a stay would not constitute a threat to aviation safety.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thirty days after the determination,</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affected by the determination may appeal a determination made under subsection 6.72(4), paragraph 7(7)(a) or subsection 7.1(7) to the Tribunal;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that does not appear at a review hearing is not entitled to appeal a determination, unless they establish that there was sufficient reason to justify their absence.</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appeal panel of the Tribunal assigned to hear the appeal may</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 determination made under subsection 6.72(4), paragraph 7(7)(a) or subsection 7.1(7), dismiss the appeal or refer the matter back to the Minister for reconsideration;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"Tribunal" under the </w:t>
      </w:r>
      <w:r>
        <w:rPr>
          <w:rFonts w:ascii="arial" w:eastAsia="arial" w:hAnsi="arial" w:cs="arial"/>
          <w:i/>
          <w:color w:val="000000"/>
          <w:sz w:val="20"/>
          <w:lang w:val="en-US" w:eastAsia="en-US" w:bidi="ar-SA"/>
        </w:rPr>
        <w:t>Aeronautics Act</w:t>
      </w:r>
      <w:r>
        <w:rPr>
          <w:rFonts w:ascii="arial" w:eastAsia="arial" w:hAnsi="arial" w:cs="arial"/>
          <w:color w:val="000000"/>
          <w:sz w:val="20"/>
          <w:lang w:val="en-US" w:eastAsia="en-US" w:bidi="ar-SA"/>
        </w:rPr>
        <w:t xml:space="preserve"> is the Transportation Appeal Tribunal of Canada established by subsection 2(1) of the </w:t>
      </w:r>
      <w:r>
        <w:rPr>
          <w:rFonts w:ascii="arial" w:eastAsia="arial" w:hAnsi="arial" w:cs="arial"/>
          <w:i/>
          <w:color w:val="000000"/>
          <w:sz w:val="20"/>
          <w:lang w:val="en-US" w:eastAsia="en-US" w:bidi="ar-SA"/>
        </w:rPr>
        <w:t>Transportation Appeal Tribunal of Canada Act</w:t>
      </w:r>
      <w:r>
        <w:rPr>
          <w:rFonts w:ascii="arial" w:eastAsia="arial" w:hAnsi="arial" w:cs="arial"/>
          <w:color w:val="000000"/>
          <w:sz w:val="20"/>
          <w:lang w:val="en-US" w:eastAsia="en-US" w:bidi="ar-SA"/>
        </w:rPr>
        <w:t xml:space="preserve">, </w:t>
      </w:r>
      <w:hyperlink r:id="rId1121" w:history="1">
        <w:r>
          <w:rPr>
            <w:rFonts w:ascii="arial" w:eastAsia="arial" w:hAnsi="arial" w:cs="arial"/>
            <w:i/>
            <w:color w:val="0077CC"/>
            <w:sz w:val="20"/>
            <w:u w:val="single"/>
            <w:shd w:val="clear" w:color="auto" w:fill="FFFFFF"/>
            <w:lang w:val="en-US" w:eastAsia="en-US" w:bidi="ar-SA"/>
          </w:rPr>
          <w:t>S.C. 2001, c. 29</w:t>
        </w:r>
      </w:hyperlink>
      <w:r>
        <w:rPr>
          <w:rFonts w:ascii="arial" w:eastAsia="arial" w:hAnsi="arial" w:cs="arial"/>
          <w:color w:val="000000"/>
          <w:sz w:val="20"/>
          <w:lang w:val="en-US" w:eastAsia="en-US" w:bidi="ar-SA"/>
        </w:rPr>
        <w:t>. The Tribunal is composed of members who collectively have expertise in the transportation sectors over which the federal government has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plaintiffs allege that they were first notified by Transport Canada in March 2005 that the MCM they were operating under was not suitable for its business and would have to be revised.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plaintiffs allege that they sought an extension of time beyond September 30, 2005 to revise their MCM, which they allege was denied by Transport Canada on or about June 21, 2005 (further amended statement of claim, paras. 17-18).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appears that the formal Notice of Suspension was delivered by the Vancouver office of Transport Canada to D.K. Heli-Cropper by facsimile on June 22, 2005 and delivered by mail on June 23, 2005. The cover letter accompanying the Notice of Suspension read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Pursuant to paragraph 7.1(b) of the Aeronautics Act, the Minister of Transport has decided to suspend Air Operator Certificate No. 8373, for the following reason: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document holder ceases to meet the qualifications necessary for the issuance of a Canadian Air Operator Certificate.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suspension will come into effect September 30, 2005 at 23:59 Pacific time. If you meet all of the conditions for reinstatement prior to the suspension date it is important to co-ordinate with this office requesting a formal letter rescinding this Notice of Suspension.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accordance with Transport Canada policy, should this document still be in suspension after December 30, 2005, a Notice of Cancellation may be issued.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conditions for re-instatement of your Air Operator Certificate are listed in the Appendix to the Notice of Suspension, which is enclosed.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Accompanying the letter was the Notice of Suspension itself, which indicated the reason for the Notice of Suspension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document holder ceases to meet the qualifications necessary for the issuance of a Canadian Air Operator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grounds for suspension set out in the Appendix to the Notice of Suspension read:</w:t>
      </w:r>
      <w:r>
        <w:rPr>
          <w:rFonts w:ascii="arial" w:eastAsia="arial" w:hAnsi="arial" w:cs="arial"/>
          <w:sz w:val="20"/>
          <w:lang w:val="en-US" w:eastAsia="en-US" w:bidi="ar-SA"/>
        </w:rPr>
        <w:cr/>
      </w:r>
    </w:p>
    <w:p>
      <w:pPr>
        <w:numPr>
          <w:numId w:val="5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D.K. Heli-Cropper International Ltd does not have a Transport Canada approved Maintenance Control Manual that meets the requirements of the Canadian Aviation Regulation 706.08.</w:t>
      </w:r>
    </w:p>
    <w:p>
      <w:pPr>
        <w:numPr>
          <w:numId w:val="5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document holder ceases to meet the qualifications necessary for the issuance of a Canadian Air Operator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conditions for reinstatement read:</w:t>
      </w:r>
      <w:r>
        <w:rPr>
          <w:rFonts w:ascii="arial" w:eastAsia="arial" w:hAnsi="arial" w:cs="arial"/>
          <w:sz w:val="20"/>
          <w:lang w:val="en-US" w:eastAsia="en-US" w:bidi="ar-SA"/>
        </w:rPr>
        <w:cr/>
      </w:r>
    </w:p>
    <w:p>
      <w:pPr>
        <w:numPr>
          <w:numId w:val="5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D.K. Heli Croper International Ltd (sic) must receive Transport Canada approval or a Maintenance Control Manual that meets the requirements of the Canadian Aviation Regulation 706.08.</w:t>
      </w:r>
    </w:p>
    <w:p>
      <w:pPr>
        <w:numPr>
          <w:numId w:val="5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document holder must meet all of the qualifications necessary for the issuance of a Canadian Air Operator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D.K. Heli-Cropper's Air Operator Certificate was in fact suspended from October 1, 2005 to February 15, 2006, at which time D.K. Heli-Cropper's revised MCM was approved by Transport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D.K. Heli-Cropper did not invoke the review provisions of the </w:t>
      </w:r>
      <w:r>
        <w:rPr>
          <w:rFonts w:ascii="arial" w:eastAsia="arial" w:hAnsi="arial" w:cs="arial"/>
          <w:i/>
          <w:color w:val="000000"/>
          <w:sz w:val="20"/>
          <w:lang w:val="en-US" w:eastAsia="en-US" w:bidi="ar-SA"/>
        </w:rPr>
        <w:t>Aeronautics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Canadian Aviation Regulations</w:t>
      </w:r>
      <w:r>
        <w:rPr>
          <w:rFonts w:ascii="arial" w:eastAsia="arial" w:hAnsi="arial" w:cs="arial"/>
          <w:color w:val="000000"/>
          <w:sz w:val="20"/>
          <w:lang w:val="en-US" w:eastAsia="en-US" w:bidi="ar-SA"/>
        </w:rPr>
        <w:t xml:space="preserve"> and seek to challenge the Notice of Suspension before the Tribunal.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Defendants' argument on the application to strike</w:t>
      </w:r>
      <w:r>
        <w:rPr>
          <w:rFonts w:ascii="arial" w:eastAsia="arial" w:hAnsi="arial" w:cs="arial"/>
          <w:sz w:val="20"/>
          <w:lang w:val="en-US" w:eastAsia="en-US" w:bidi="ar-SA"/>
        </w:rPr>
        <w:cr/>
      </w:r>
    </w:p>
    <w:p>
      <w:pPr>
        <w:numPr>
          <w:numId w:val="5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Lack of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defendants submit that the crux of the plaintiffs' claim against Transport Canada and its employees in connection with the First Transport Canada Matter stems from the issuance of the Notice of Suspension, which is a decision made under the </w:t>
      </w:r>
      <w:r>
        <w:rPr>
          <w:rFonts w:ascii="arial" w:eastAsia="arial" w:hAnsi="arial" w:cs="arial"/>
          <w:i/>
          <w:color w:val="000000"/>
          <w:sz w:val="20"/>
          <w:lang w:val="en-US" w:eastAsia="en-US" w:bidi="ar-SA"/>
        </w:rPr>
        <w:t>Aeronautics Act</w:t>
      </w:r>
      <w:r>
        <w:rPr>
          <w:rFonts w:ascii="arial" w:eastAsia="arial" w:hAnsi="arial" w:cs="arial"/>
          <w:color w:val="000000"/>
          <w:sz w:val="20"/>
          <w:lang w:val="en-US" w:eastAsia="en-US" w:bidi="ar-SA"/>
        </w:rPr>
        <w:t xml:space="preserve"> and the regulations made under that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defendants submit that the Notice of Suspension involved more than one decision. It involved a determination that D.K. Heli-Cropper's operations were not in compliance with its Air Operator Certificate, a decision to suspend based on that ground and a decision that the suspension would not come into effect until September 30, 2005, thereby giving D.K. Heli-Cropper an opportunity to bring its maintenance control manual into compliance prior to the suspension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With regard to the three-part nature of the decision, the defendants refer to </w:t>
      </w:r>
      <w:r>
        <w:rPr>
          <w:rFonts w:ascii="arial" w:eastAsia="arial" w:hAnsi="arial" w:cs="arial"/>
          <w:i/>
          <w:color w:val="000000"/>
          <w:sz w:val="20"/>
          <w:lang w:val="en-US" w:eastAsia="en-US" w:bidi="ar-SA"/>
        </w:rPr>
        <w:t>Skyward Aviation Ltd. v. Canada (Minister of Transport)</w:t>
      </w:r>
      <w:r>
        <w:rPr>
          <w:rFonts w:ascii="arial" w:eastAsia="arial" w:hAnsi="arial" w:cs="arial"/>
          <w:color w:val="000000"/>
          <w:sz w:val="20"/>
          <w:lang w:val="en-US" w:eastAsia="en-US" w:bidi="ar-SA"/>
        </w:rPr>
        <w:t xml:space="preserve">, </w:t>
      </w:r>
      <w:hyperlink r:id="rId1122" w:history="1">
        <w:r>
          <w:rPr>
            <w:rFonts w:ascii="arial" w:eastAsia="arial" w:hAnsi="arial" w:cs="arial"/>
            <w:i/>
            <w:color w:val="0077CC"/>
            <w:sz w:val="20"/>
            <w:u w:val="single"/>
            <w:shd w:val="clear" w:color="auto" w:fill="FFFFFF"/>
            <w:lang w:val="en-US" w:eastAsia="en-US" w:bidi="ar-SA"/>
          </w:rPr>
          <w:t>2008 FC 325</w:t>
        </w:r>
      </w:hyperlink>
      <w:r>
        <w:rPr>
          <w:rFonts w:ascii="arial" w:eastAsia="arial" w:hAnsi="arial" w:cs="arial"/>
          <w:color w:val="000000"/>
          <w:sz w:val="20"/>
          <w:lang w:val="en-US" w:eastAsia="en-US" w:bidi="ar-SA"/>
        </w:rPr>
        <w:t xml:space="preserve">, </w:t>
      </w:r>
      <w:hyperlink r:id="rId1122" w:history="1">
        <w:r>
          <w:rPr>
            <w:rFonts w:ascii="arial" w:eastAsia="arial" w:hAnsi="arial" w:cs="arial"/>
            <w:i/>
            <w:color w:val="0077CC"/>
            <w:sz w:val="20"/>
            <w:u w:val="single"/>
            <w:shd w:val="clear" w:color="auto" w:fill="FFFFFF"/>
            <w:lang w:val="en-US" w:eastAsia="en-US" w:bidi="ar-SA"/>
          </w:rPr>
          <w:t>[2009] 2 F.C.R. 219</w:t>
        </w:r>
      </w:hyperlink>
      <w:r>
        <w:rPr>
          <w:rFonts w:ascii="arial" w:eastAsia="arial" w:hAnsi="arial" w:cs="arial"/>
          <w:color w:val="000000"/>
          <w:sz w:val="20"/>
          <w:lang w:val="en-US" w:eastAsia="en-US" w:bidi="ar-SA"/>
        </w:rPr>
        <w:t>, where Snider J., who was dealing with the suspension of an Air Operator Certificate, said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 review of the reasons provided by the Tribunal demonstrates that the Tribunal considered that there was only one decision -- the decision to suspend. However, when exercising its authority under the Act, the Minister's decision to suspend is, in fact, more complex. The first decision made by the Minister was the determination that Skyward's operations did not comply with its AOC. The second decision was that the penalty or sanction to be imposed was suspension of Skyward's AOC. In addition, the Minister determined that Skyward's suspension would not immediately come into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defendants submit that whether the plaintiffs took issue with the grounds for suspension, the suspension itself, the conditions for re-instatement or the length of time given to bring the maintenance control manual into compliance, they could have challenged any one of those decisions through the statutory review and appeal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defendants argue that the aviation regulatory scheme constituted by the </w:t>
      </w:r>
      <w:r>
        <w:rPr>
          <w:rFonts w:ascii="arial" w:eastAsia="arial" w:hAnsi="arial" w:cs="arial"/>
          <w:i/>
          <w:color w:val="000000"/>
          <w:sz w:val="20"/>
          <w:lang w:val="en-US" w:eastAsia="en-US" w:bidi="ar-SA"/>
        </w:rPr>
        <w:t>Aeronautics Act</w:t>
      </w:r>
      <w:r>
        <w:rPr>
          <w:rFonts w:ascii="arial" w:eastAsia="arial" w:hAnsi="arial" w:cs="arial"/>
          <w:color w:val="000000"/>
          <w:sz w:val="20"/>
          <w:lang w:val="en-US" w:eastAsia="en-US" w:bidi="ar-SA"/>
        </w:rPr>
        <w:t>, the regulations made under that statute and the orders and directions made by the Minister of Transport in accordance with the legislation is comprehensive, detailed and intricate. It not only contains the authority to suspend a carrier's Air Operator Certificate, it also provides a comprehensive scheme of review and appeal by persons who have technical knowledge of the matters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defendants argue that although this court has inherent jurisdiction, its jurisdiction is ousted where the Legislature or Parliament intended for an issue or dispute to be decided in a forum other than the courts. They seek an order under Rule 14(6) striking the pleadings in respect of the First Transport Canada Matter on the ground that they do not allege facts that, if true, would establish that this court has jurisdiction in respect of this part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test under R. 14(6) was stated in </w:t>
      </w:r>
      <w:r>
        <w:rPr>
          <w:rFonts w:ascii="arial" w:eastAsia="arial" w:hAnsi="arial" w:cs="arial"/>
          <w:i/>
          <w:color w:val="000000"/>
          <w:sz w:val="20"/>
          <w:lang w:val="en-US" w:eastAsia="en-US" w:bidi="ar-SA"/>
        </w:rPr>
        <w:t>Purple Echo Productions, Inc. v. KCTS Television</w:t>
      </w:r>
      <w:r>
        <w:rPr>
          <w:rFonts w:ascii="arial" w:eastAsia="arial" w:hAnsi="arial" w:cs="arial"/>
          <w:color w:val="000000"/>
          <w:sz w:val="20"/>
          <w:lang w:val="en-US" w:eastAsia="en-US" w:bidi="ar-SA"/>
        </w:rPr>
        <w:t xml:space="preserve">, </w:t>
      </w:r>
      <w:hyperlink r:id="rId1123" w:history="1">
        <w:r>
          <w:rPr>
            <w:rFonts w:ascii="arial" w:eastAsia="arial" w:hAnsi="arial" w:cs="arial"/>
            <w:i/>
            <w:color w:val="0077CC"/>
            <w:sz w:val="20"/>
            <w:u w:val="single"/>
            <w:shd w:val="clear" w:color="auto" w:fill="FFFFFF"/>
            <w:lang w:val="en-US" w:eastAsia="en-US" w:bidi="ar-SA"/>
          </w:rPr>
          <w:t>2008 BCCA 85</w:t>
        </w:r>
      </w:hyperlink>
      <w:r>
        <w:rPr>
          <w:rFonts w:ascii="arial" w:eastAsia="arial" w:hAnsi="arial" w:cs="arial"/>
          <w:color w:val="000000"/>
          <w:sz w:val="20"/>
          <w:lang w:val="en-US" w:eastAsia="en-US" w:bidi="ar-SA"/>
        </w:rPr>
        <w:t xml:space="preserve">, </w:t>
      </w:r>
      <w:hyperlink r:id="rId1123" w:history="1">
        <w:r>
          <w:rPr>
            <w:rFonts w:ascii="arial" w:eastAsia="arial" w:hAnsi="arial" w:cs="arial"/>
            <w:i/>
            <w:color w:val="0077CC"/>
            <w:sz w:val="20"/>
            <w:u w:val="single"/>
            <w:shd w:val="clear" w:color="auto" w:fill="FFFFFF"/>
            <w:lang w:val="en-US" w:eastAsia="en-US" w:bidi="ar-SA"/>
          </w:rPr>
          <w:t>52 C.P.C. (6th) 15</w:t>
        </w:r>
      </w:hyperlink>
      <w:r>
        <w:rPr>
          <w:rFonts w:ascii="arial" w:eastAsia="arial" w:hAnsi="arial" w:cs="arial"/>
          <w:color w:val="000000"/>
          <w:sz w:val="20"/>
          <w:lang w:val="en-US" w:eastAsia="en-US" w:bidi="ar-SA"/>
        </w:rPr>
        <w:t>, at para.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 The objective is to determine whether there are facts alleged, which if true, would found jurisdiction. The court is not charged with the task of determining whether the facts are true. A plaintiff need show only an arguable case that they can be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defendants submit that, despite the plaintiffs' characterization of their claims as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abuse and malfeasance in public office, at their heart they concern the validity and propriety of the Minister's decisions in issuing the Notice of Suspension. The defendants say that this court would necessarily have to consider and decide the validity of these decisions if it were to hear and determine the plaintiff's claims. They say that Parliament has explicitly conferred that power on the Tribunal and this court lacks jurisdiction. The defendants submit that the plaintiffs cannot ignore the statutory remedy and then seek relief from the court, in essence challenging the validity or propriety of the decision to suspend.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defendants point to the mandatory language of s. 7.1(3) of the </w:t>
      </w:r>
      <w:r>
        <w:rPr>
          <w:rFonts w:ascii="arial" w:eastAsia="arial" w:hAnsi="arial" w:cs="arial"/>
          <w:i/>
          <w:color w:val="000000"/>
          <w:sz w:val="20"/>
          <w:lang w:val="en-US" w:eastAsia="en-US" w:bidi="ar-SA"/>
        </w:rPr>
        <w:t>Aeronautics Act</w:t>
      </w:r>
      <w:r>
        <w:rPr>
          <w:rFonts w:ascii="arial" w:eastAsia="arial" w:hAnsi="arial" w:cs="arial"/>
          <w:color w:val="000000"/>
          <w:sz w:val="20"/>
          <w:lang w:val="en-US" w:eastAsia="en-US" w:bidi="ar-SA"/>
        </w:rPr>
        <w:t xml:space="preserve"> where it stipulates that "where the holder of a Canadian aviation document ... who is affected by a decision of the Minister ... wishes to have the decision reviewed, </w:t>
      </w:r>
      <w:r>
        <w:rPr>
          <w:rFonts w:ascii="arial" w:eastAsia="arial" w:hAnsi="arial" w:cs="arial"/>
          <w:color w:val="000000"/>
          <w:sz w:val="20"/>
          <w:u w:val="single"/>
          <w:lang w:val="en-US" w:eastAsia="en-US" w:bidi="ar-SA"/>
        </w:rPr>
        <w:t>he shall ... file</w:t>
      </w:r>
      <w:r>
        <w:rPr>
          <w:rFonts w:ascii="arial" w:eastAsia="arial" w:hAnsi="arial" w:cs="arial"/>
          <w:color w:val="000000"/>
          <w:sz w:val="20"/>
          <w:lang w:val="en-US" w:eastAsia="en-US" w:bidi="ar-SA"/>
        </w:rPr>
        <w:t xml:space="preserve"> ... a request for a review of the decision".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defendants also point to the appeal provided for by s. 7.2(1) of the </w:t>
      </w:r>
      <w:r>
        <w:rPr>
          <w:rFonts w:ascii="arial" w:eastAsia="arial" w:hAnsi="arial" w:cs="arial"/>
          <w:i/>
          <w:color w:val="000000"/>
          <w:sz w:val="20"/>
          <w:lang w:val="en-US" w:eastAsia="en-US" w:bidi="ar-SA"/>
        </w:rPr>
        <w:t>Aeronautics Act</w:t>
      </w:r>
      <w:r>
        <w:rPr>
          <w:rFonts w:ascii="arial" w:eastAsia="arial" w:hAnsi="arial" w:cs="arial"/>
          <w:color w:val="000000"/>
          <w:sz w:val="20"/>
          <w:lang w:val="en-US" w:eastAsia="en-US" w:bidi="ar-SA"/>
        </w:rPr>
        <w:t>, which appeal is to an appeal panel of the Tribunal consisting of three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support of their submission that the court's jurisdiction is ousted where an alternative remedy is provided for by statute the defendants refer to </w:t>
      </w:r>
      <w:r>
        <w:rPr>
          <w:rFonts w:ascii="arial" w:eastAsia="arial" w:hAnsi="arial" w:cs="arial"/>
          <w:i/>
          <w:color w:val="000000"/>
          <w:sz w:val="20"/>
          <w:lang w:val="en-US" w:eastAsia="en-US" w:bidi="ar-SA"/>
        </w:rPr>
        <w:t>R. v. Consolidated Maybrun Mines Ltd.</w:t>
      </w:r>
      <w:r>
        <w:rPr>
          <w:rFonts w:ascii="arial" w:eastAsia="arial" w:hAnsi="arial" w:cs="arial"/>
          <w:color w:val="000000"/>
          <w:sz w:val="20"/>
          <w:lang w:val="en-US" w:eastAsia="en-US" w:bidi="ar-SA"/>
        </w:rPr>
        <w:t xml:space="preserve">, </w:t>
      </w:r>
      <w:hyperlink r:id="rId1124" w:history="1">
        <w:r>
          <w:rPr>
            <w:rFonts w:ascii="arial" w:eastAsia="arial" w:hAnsi="arial" w:cs="arial"/>
            <w:i/>
            <w:color w:val="0077CC"/>
            <w:sz w:val="20"/>
            <w:u w:val="single"/>
            <w:shd w:val="clear" w:color="auto" w:fill="FFFFFF"/>
            <w:lang w:val="en-US" w:eastAsia="en-US" w:bidi="ar-SA"/>
          </w:rPr>
          <w:t>[1998] 1 S.C.R. 706</w:t>
        </w:r>
      </w:hyperlink>
      <w:r>
        <w:rPr>
          <w:rFonts w:ascii="arial" w:eastAsia="arial" w:hAnsi="arial" w:cs="arial"/>
          <w:color w:val="000000"/>
          <w:sz w:val="20"/>
          <w:lang w:val="en-US" w:eastAsia="en-US" w:bidi="ar-SA"/>
        </w:rPr>
        <w:t xml:space="preserve">, </w:t>
      </w:r>
      <w:hyperlink r:id="rId1124" w:history="1">
        <w:r>
          <w:rPr>
            <w:rFonts w:ascii="arial" w:eastAsia="arial" w:hAnsi="arial" w:cs="arial"/>
            <w:i/>
            <w:color w:val="0077CC"/>
            <w:sz w:val="20"/>
            <w:u w:val="single"/>
            <w:shd w:val="clear" w:color="auto" w:fill="FFFFFF"/>
            <w:lang w:val="en-US" w:eastAsia="en-US" w:bidi="ar-SA"/>
          </w:rPr>
          <w:t>158 D.L.R. (4th) 193</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Consolidated Maybrun Mines</w:t>
      </w:r>
      <w:r>
        <w:rPr>
          <w:rFonts w:ascii="arial" w:eastAsia="arial" w:hAnsi="arial" w:cs="arial"/>
          <w:color w:val="000000"/>
          <w:sz w:val="20"/>
          <w:lang w:val="en-US" w:eastAsia="en-US" w:bidi="ar-SA"/>
        </w:rPr>
        <w:t xml:space="preserve">]. That case involved a dispute between the owners of an abandoned mine and the Ontario Ministry of the Environment. The Ministry concluded that remedial work relating to a mine was required to deal with the risk of environmental contamination. The Minister gave notice that it intended to issue an order requiring that the site be cleaned up and gave the owners 15 days to respond. When there was no response the Minister issued a clean-up order under the </w:t>
      </w:r>
      <w:r>
        <w:rPr>
          <w:rFonts w:ascii="arial" w:eastAsia="arial" w:hAnsi="arial" w:cs="arial"/>
          <w:i/>
          <w:color w:val="000000"/>
          <w:sz w:val="20"/>
          <w:lang w:val="en-US" w:eastAsia="en-US" w:bidi="ar-SA"/>
        </w:rPr>
        <w:t>Environmental Protection Act</w:t>
      </w:r>
      <w:r>
        <w:rPr>
          <w:rFonts w:ascii="arial" w:eastAsia="arial" w:hAnsi="arial" w:cs="arial"/>
          <w:color w:val="000000"/>
          <w:sz w:val="20"/>
          <w:lang w:val="en-US" w:eastAsia="en-US" w:bidi="ar-SA"/>
        </w:rPr>
        <w:t xml:space="preserve">, R.S.O. 1980, c. 141, requiring the owners to take measures to clean up the site. The owner was informed of his right under the </w:t>
      </w:r>
      <w:r>
        <w:rPr>
          <w:rFonts w:ascii="arial" w:eastAsia="arial" w:hAnsi="arial" w:cs="arial"/>
          <w:i/>
          <w:color w:val="000000"/>
          <w:sz w:val="20"/>
          <w:lang w:val="en-US" w:eastAsia="en-US" w:bidi="ar-SA"/>
        </w:rPr>
        <w:t>Environmental Protection Act</w:t>
      </w:r>
      <w:r>
        <w:rPr>
          <w:rFonts w:ascii="arial" w:eastAsia="arial" w:hAnsi="arial" w:cs="arial"/>
          <w:color w:val="000000"/>
          <w:sz w:val="20"/>
          <w:lang w:val="en-US" w:eastAsia="en-US" w:bidi="ar-SA"/>
        </w:rPr>
        <w:t xml:space="preserve"> to appeal to the Environmental Board. When the owner failed to comply and failed to appeal, the Ministry undertook the remedial work and laid charges against the owner under the </w:t>
      </w:r>
      <w:r>
        <w:rPr>
          <w:rFonts w:ascii="arial" w:eastAsia="arial" w:hAnsi="arial" w:cs="arial"/>
          <w:i/>
          <w:color w:val="000000"/>
          <w:sz w:val="20"/>
          <w:lang w:val="en-US" w:eastAsia="en-US" w:bidi="ar-SA"/>
        </w:rPr>
        <w:t>Environmental Protection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owner's defence at trial was that the original order was invalid. The trial judge reviewed the validity of the order and dismissed three of the charges on the grounds that the order was neither necessary nor desirable, </w:t>
      </w:r>
      <w:hyperlink r:id="rId1125" w:history="1">
        <w:r>
          <w:rPr>
            <w:rFonts w:ascii="arial" w:eastAsia="arial" w:hAnsi="arial" w:cs="arial"/>
            <w:i/>
            <w:color w:val="0077CC"/>
            <w:sz w:val="20"/>
            <w:u w:val="single"/>
            <w:shd w:val="clear" w:color="auto" w:fill="FFFFFF"/>
            <w:lang w:val="en-US" w:eastAsia="en-US" w:bidi="ar-SA"/>
          </w:rPr>
          <w:t>[1992] O.J. No. 1122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Ultimately, the matter came before the Supreme Court, which characterized the issue at para. 1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 whether and, if so, in what circumstances a person charged with failing to comply with an administrative order can collaterally attack the validity of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Supreme Court of Canada referred at para. 26 to the importance of administrative structures in today's society: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 The growing number of regulatory mechanisms and the corresponding administrative structures are a reflection of the state's will to intervene in spheres of activity, such as economics, communications media, health technology or the environment, whose growing complexity requires constantly evolving expertise and normative instruments permitting a pointed and rapid intervention consistent with the specific circumstances of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Court also noted at para. 43 the important goal of many administrative structures to make use of expertise in areas where the courts may lack the specialized knowledge that is necessary to make the decisions: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Nor should it be forgotten that the goal of many such administrative structures is to draw on expert knowledge by creating specialized tribunals. Permitting citizens to circumvent these tribunals and transfer the debate to the judicial arena could lead the courts to rule on matters that they are not best suited to decide.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the context of whether a court can rule on the validity of an administrative order collaterally, at least in penal proceedings, the Court said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[I]t must,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be presumed that the legislature did not intend to deprive citizens affected by government actions of an adequate opportunity to raise the validity of the order. The interpretation process must, therefore, determine not whether a person can challenge the validity of an order that affects his or her rights, but whether the law prescribes a specific forum for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Court said the question to decide was in which forum the attack should be made on the decision. Thus, at para. 49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 Where the legislature has established an administrative appeal tribunal, it must be asked whether it intended that tribunal to have jurisdiction, to the exclusion of a penal court, to determine the validity of the impugned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At para. 50, the Court said that the particular legislative scheme must be considered to determine whether the legislature intended that the administrative tribunal decide the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Thus, where an attack on an order requires the consideration of factors that fall within the specific expertise of an administrative appeal tribunal, this is a strong indication that the legislature wanted that tribunal to decide the question rather than a court of penal jurisdiction. Conversely, where an attack on an order is based on considerations which are foreign to an administrative appeal tribunal's expertise or </w:t>
      </w:r>
      <w:r>
        <w:rPr>
          <w:rFonts w:ascii="arial" w:eastAsia="arial" w:hAnsi="arial" w:cs="arial"/>
          <w:i/>
          <w:color w:val="000000"/>
          <w:sz w:val="20"/>
          <w:lang w:val="en-US" w:eastAsia="en-US" w:bidi="ar-SA"/>
        </w:rPr>
        <w:t>raison d'être</w:t>
      </w:r>
      <w:r>
        <w:rPr>
          <w:rFonts w:ascii="arial" w:eastAsia="arial" w:hAnsi="arial" w:cs="arial"/>
          <w:color w:val="000000"/>
          <w:sz w:val="20"/>
          <w:lang w:val="en-US" w:eastAsia="en-US" w:bidi="ar-SA"/>
        </w:rPr>
        <w:t>, this suggests, although it is not conclusive in itself, that the legislature did not intend to reserve the exclusive authority to rule on the validity of the order to that tribunal. This analysis must be conducted in light of the specific characteristics of each administrative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defendants submit that while the present case does not present a collateral attack on an administrative order in the penal setting, the analysis in </w:t>
      </w:r>
      <w:r>
        <w:rPr>
          <w:rFonts w:ascii="arial" w:eastAsia="arial" w:hAnsi="arial" w:cs="arial"/>
          <w:i/>
          <w:color w:val="000000"/>
          <w:sz w:val="20"/>
          <w:lang w:val="en-US" w:eastAsia="en-US" w:bidi="ar-SA"/>
        </w:rPr>
        <w:t>Consolidated Maybrun Mines</w:t>
      </w:r>
      <w:r>
        <w:rPr>
          <w:rFonts w:ascii="arial" w:eastAsia="arial" w:hAnsi="arial" w:cs="arial"/>
          <w:color w:val="000000"/>
          <w:sz w:val="20"/>
          <w:lang w:val="en-US" w:eastAsia="en-US" w:bidi="ar-SA"/>
        </w:rPr>
        <w:t xml:space="preserve"> is applicable. They submit that in both cases: the validity of the administrative order is in issue; a clear statutory remedy was available to have the decision reviewed; the affected parties did not avail themselves of the statutory remedy; and the intention of the legislature or Parliament was to have administrative tribunals with special expertise deal with the disputes.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defendants submit, therefore, that because the plaintiffs' claims are, at their core, challenges upon the validity of the Notice of Suspension, this court lacks jurisdiction to hear them.</w:t>
      </w:r>
      <w:r>
        <w:rPr>
          <w:rFonts w:ascii="arial" w:eastAsia="arial" w:hAnsi="arial" w:cs="arial"/>
          <w:sz w:val="20"/>
          <w:lang w:val="en-US" w:eastAsia="en-US" w:bidi="ar-SA"/>
        </w:rPr>
        <w:cr/>
      </w:r>
    </w:p>
    <w:p>
      <w:pPr>
        <w:numPr>
          <w:numId w:val="5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defendants argue that if it is determined that this court has jurisdiction to hear the claims in connection with the First Transport Canada Matter, they should be struck as an abuse of process pursuant to R. 19(24)(d) because the plaintiffs failed to avail themselves of the statutory appeal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test under R. 19(24)(d) is whether it is plain and obvious that the impugned pleading is an abuse of process: </w:t>
      </w:r>
      <w:r>
        <w:rPr>
          <w:rFonts w:ascii="arial" w:eastAsia="arial" w:hAnsi="arial" w:cs="arial"/>
          <w:i/>
          <w:color w:val="000000"/>
          <w:sz w:val="20"/>
          <w:lang w:val="en-US" w:eastAsia="en-US" w:bidi="ar-SA"/>
        </w:rPr>
        <w:t>Shuswap Lake Utilities Ltd. v. Mattison,</w:t>
      </w:r>
      <w:r>
        <w:rPr>
          <w:rFonts w:ascii="arial" w:eastAsia="arial" w:hAnsi="arial" w:cs="arial"/>
          <w:color w:val="000000"/>
          <w:sz w:val="20"/>
          <w:lang w:val="en-US" w:eastAsia="en-US" w:bidi="ar-SA"/>
        </w:rPr>
        <w:t xml:space="preserve"> </w:t>
      </w:r>
      <w:hyperlink r:id="rId1126" w:history="1">
        <w:r>
          <w:rPr>
            <w:rFonts w:ascii="arial" w:eastAsia="arial" w:hAnsi="arial" w:cs="arial"/>
            <w:i/>
            <w:color w:val="0077CC"/>
            <w:sz w:val="20"/>
            <w:u w:val="single"/>
            <w:shd w:val="clear" w:color="auto" w:fill="FFFFFF"/>
            <w:lang w:val="en-US" w:eastAsia="en-US" w:bidi="ar-SA"/>
          </w:rPr>
          <w:t>2008 BCCA 176</w:t>
        </w:r>
      </w:hyperlink>
      <w:r>
        <w:rPr>
          <w:rFonts w:ascii="arial" w:eastAsia="arial" w:hAnsi="arial" w:cs="arial"/>
          <w:color w:val="000000"/>
          <w:sz w:val="20"/>
          <w:lang w:val="en-US" w:eastAsia="en-US" w:bidi="ar-SA"/>
        </w:rPr>
        <w:t xml:space="preserve">, at para. 35. In that case, the Court upheld the decision of the chambers judge, </w:t>
      </w:r>
      <w:hyperlink r:id="rId1127" w:history="1">
        <w:r>
          <w:rPr>
            <w:rFonts w:ascii="arial" w:eastAsia="arial" w:hAnsi="arial" w:cs="arial"/>
            <w:i/>
            <w:color w:val="0077CC"/>
            <w:sz w:val="20"/>
            <w:u w:val="single"/>
            <w:shd w:val="clear" w:color="auto" w:fill="FFFFFF"/>
            <w:lang w:val="en-US" w:eastAsia="en-US" w:bidi="ar-SA"/>
          </w:rPr>
          <w:t>[2006] B.C.J. No. 2770</w:t>
        </w:r>
      </w:hyperlink>
      <w:r>
        <w:rPr>
          <w:rFonts w:ascii="arial" w:eastAsia="arial" w:hAnsi="arial" w:cs="arial"/>
          <w:color w:val="000000"/>
          <w:sz w:val="20"/>
          <w:lang w:val="en-US" w:eastAsia="en-US" w:bidi="ar-SA"/>
        </w:rPr>
        <w:t xml:space="preserve">, that it was an abuse of process for Shuswap Lake Utilities Ltd. to bring an action against the Comptroller for declarations that the Comptroller had no jurisdiction to make certain orders where a statutory right of appeal existed under the </w:t>
      </w:r>
      <w:r>
        <w:rPr>
          <w:rFonts w:ascii="arial" w:eastAsia="arial" w:hAnsi="arial" w:cs="arial"/>
          <w:i/>
          <w:color w:val="000000"/>
          <w:sz w:val="20"/>
          <w:lang w:val="en-US" w:eastAsia="en-US" w:bidi="ar-SA"/>
        </w:rPr>
        <w:t>Utilities Commission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At paras. 59-62,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While I agree with the appellants that [</w:t>
      </w:r>
      <w:r>
        <w:rPr>
          <w:rFonts w:ascii="arial" w:eastAsia="arial" w:hAnsi="arial" w:cs="arial"/>
          <w:i/>
          <w:color w:val="000000"/>
          <w:sz w:val="20"/>
          <w:lang w:val="en-US" w:eastAsia="en-US" w:bidi="ar-SA"/>
        </w:rPr>
        <w:t>Berscheid v. Ensign</w:t>
      </w:r>
      <w:r>
        <w:rPr>
          <w:rFonts w:ascii="arial" w:eastAsia="arial" w:hAnsi="arial" w:cs="arial"/>
          <w:color w:val="000000"/>
          <w:sz w:val="20"/>
          <w:lang w:val="en-US" w:eastAsia="en-US" w:bidi="ar-SA"/>
        </w:rPr>
        <w:t xml:space="preserve">, </w:t>
      </w:r>
      <w:hyperlink r:id="rId1128" w:history="1">
        <w:r>
          <w:rPr>
            <w:rFonts w:ascii="arial" w:eastAsia="arial" w:hAnsi="arial" w:cs="arial"/>
            <w:i/>
            <w:color w:val="0077CC"/>
            <w:sz w:val="20"/>
            <w:u w:val="single"/>
            <w:shd w:val="clear" w:color="auto" w:fill="FFFFFF"/>
            <w:lang w:val="en-US" w:eastAsia="en-US" w:bidi="ar-SA"/>
          </w:rPr>
          <w:t>[1999] B.C.J. No. 1172</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Gemex Developments Corp. v. Coquitlam (City)</w:t>
      </w:r>
      <w:r>
        <w:rPr>
          <w:rFonts w:ascii="arial" w:eastAsia="arial" w:hAnsi="arial" w:cs="arial"/>
          <w:color w:val="000000"/>
          <w:sz w:val="20"/>
          <w:lang w:val="en-US" w:eastAsia="en-US" w:bidi="ar-SA"/>
        </w:rPr>
        <w:t xml:space="preserve">, </w:t>
      </w:r>
      <w:hyperlink r:id="rId1129" w:history="1">
        <w:r>
          <w:rPr>
            <w:rFonts w:ascii="arial" w:eastAsia="arial" w:hAnsi="arial" w:cs="arial"/>
            <w:i/>
            <w:color w:val="0077CC"/>
            <w:sz w:val="20"/>
            <w:u w:val="single"/>
            <w:shd w:val="clear" w:color="auto" w:fill="FFFFFF"/>
            <w:lang w:val="en-US" w:eastAsia="en-US" w:bidi="ar-SA"/>
          </w:rPr>
          <w:t>2002 BCSC 412</w:t>
        </w:r>
      </w:hyperlink>
      <w:r>
        <w:rPr>
          <w:rFonts w:ascii="arial" w:eastAsia="arial" w:hAnsi="arial" w:cs="arial"/>
          <w:color w:val="000000"/>
          <w:sz w:val="20"/>
          <w:lang w:val="en-US" w:eastAsia="en-US" w:bidi="ar-SA"/>
        </w:rPr>
        <w:t>] do not support the bald proposition that it is an abuse of process per se for a party to challenge the decision of an administrative body in a civil proceeding where a statutory right of appeal or an application for judicial review is available, the reasons for judgment in the case at bar do not stand on that premise. Instead, the reasons reveal that the chambers judge examined the case before him and decided that, in the particular circumstances of the case, it was an abuse of the process of the court for the appellants to seek a declaratory judgment. [Internal citation added.]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reasons for judgment refer to a number of factors that led the chambers judge to that conclusion. First, Mr. Justice Cole noted that the Utilities Commission Act sets out a comprehensive scheme for appeal. He found that it was obvious from the wording of the Utilities Commission Act that the legislative intent was to have appeals go directly to the Court of Appeal. I agree with him and would only add that further support for this conclusion is found in the privative clause set out in s. 105(2), which states that "unless otherwise provided in this Act" an order or decision of the commission (here, the Comptroller) "must not be questioned, reviewed or restrained by or on an application for judicial review or other process or proceeding in any court".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chambers judge also found that nothing before him suggested that it was more expensive or less expeditious to apply to the Court of Appeal than it would to proceed by statement of claim. If anything, this understates the point. Taking an appeal to this Court is obviously more expeditious and less expensive. The appeal route avoids pleadings and discovery and is expeditious in the sense that leave may be obtained in chambers in this Court. Moreover, in the case at bar the basis for the appellants' complaint is that the Comptroller did not have the authority to make the orders he did. The Comptroller's authority is prescribed by the statute. Thus, the appellants' action for declaratory relief turns on a question of law - the interpretation of the enabling statute. An appeal is an appropriate forum in which to argue jurisdictional issues that turn on statutory interpretation. And finally, if successful in this Court the appellants would have more than a declaration - the result of a successful appeal would be that the orders of the Comptroller would be set aside.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reaching the conclusion he did, the chambers judge discussed all the factors militating against granting the order. There were no factors in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defendants submit that the </w:t>
      </w:r>
      <w:r>
        <w:rPr>
          <w:rFonts w:ascii="arial" w:eastAsia="arial" w:hAnsi="arial" w:cs="arial"/>
          <w:i/>
          <w:color w:val="000000"/>
          <w:sz w:val="20"/>
          <w:lang w:val="en-US" w:eastAsia="en-US" w:bidi="ar-SA"/>
        </w:rPr>
        <w:t>Aeronautics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Transportation Appeal Tribunal of Canada Act</w:t>
      </w:r>
      <w:r>
        <w:rPr>
          <w:rFonts w:ascii="arial" w:eastAsia="arial" w:hAnsi="arial" w:cs="arial"/>
          <w:color w:val="000000"/>
          <w:sz w:val="20"/>
          <w:lang w:val="en-US" w:eastAsia="en-US" w:bidi="ar-SA"/>
        </w:rPr>
        <w:t xml:space="preserve"> together set out a clear and comprehensive scheme for appeal that is much less expensive and more expeditious than resorting to court proceedings. The defendants say further that the </w:t>
      </w:r>
      <w:r>
        <w:rPr>
          <w:rFonts w:ascii="arial" w:eastAsia="arial" w:hAnsi="arial" w:cs="arial"/>
          <w:i/>
          <w:color w:val="000000"/>
          <w:sz w:val="20"/>
          <w:lang w:val="en-US" w:eastAsia="en-US" w:bidi="ar-SA"/>
        </w:rPr>
        <w:t>Transportation Appeal Tribunal of Canada Act</w:t>
      </w:r>
      <w:r>
        <w:rPr>
          <w:rFonts w:ascii="arial" w:eastAsia="arial" w:hAnsi="arial" w:cs="arial"/>
          <w:color w:val="000000"/>
          <w:sz w:val="20"/>
          <w:lang w:val="en-US" w:eastAsia="en-US" w:bidi="ar-SA"/>
        </w:rPr>
        <w:t xml:space="preserve"> contains the following privative clause in s. 21:</w:t>
      </w:r>
      <w:r>
        <w:rPr>
          <w:rFonts w:ascii="arial" w:eastAsia="arial" w:hAnsi="arial" w:cs="arial"/>
          <w:sz w:val="20"/>
          <w:lang w:val="en-US" w:eastAsia="en-US" w:bidi="ar-SA"/>
        </w:rPr>
        <w:cr/>
      </w:r>
    </w:p>
    <w:p>
      <w:pPr>
        <w:numPr>
          <w:numId w:val="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decision of an appeal panel of the Tribunal is final and binding on the parties to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defendants submit, therefore, that these factors support the conclusion that bringing this action dealing with the First Transport Canada Matter is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defendants say that the action cannot be maintained simply because it has been framed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abuse and malfeasance in public office when the essence of the action is to challenge the validity of the Notice of Suspension. In this regard, they refer to </w:t>
      </w:r>
      <w:r>
        <w:rPr>
          <w:rFonts w:ascii="arial" w:eastAsia="arial" w:hAnsi="arial" w:cs="arial"/>
          <w:i/>
          <w:color w:val="000000"/>
          <w:sz w:val="20"/>
          <w:lang w:val="en-US" w:eastAsia="en-US" w:bidi="ar-SA"/>
        </w:rPr>
        <w:t>Gemex Developments Corp. v. Coquitlam (City)</w:t>
      </w:r>
      <w:r>
        <w:rPr>
          <w:rFonts w:ascii="arial" w:eastAsia="arial" w:hAnsi="arial" w:cs="arial"/>
          <w:color w:val="000000"/>
          <w:sz w:val="20"/>
          <w:lang w:val="en-US" w:eastAsia="en-US" w:bidi="ar-SA"/>
        </w:rPr>
        <w:t xml:space="preserve">, </w:t>
      </w:r>
      <w:hyperlink r:id="rId1129" w:history="1">
        <w:r>
          <w:rPr>
            <w:rFonts w:ascii="arial" w:eastAsia="arial" w:hAnsi="arial" w:cs="arial"/>
            <w:i/>
            <w:color w:val="0077CC"/>
            <w:sz w:val="20"/>
            <w:u w:val="single"/>
            <w:shd w:val="clear" w:color="auto" w:fill="FFFFFF"/>
            <w:lang w:val="en-US" w:eastAsia="en-US" w:bidi="ar-SA"/>
          </w:rPr>
          <w:t>2002 BCSC 412</w:t>
        </w:r>
      </w:hyperlink>
      <w:r>
        <w:rPr>
          <w:rFonts w:ascii="arial" w:eastAsia="arial" w:hAnsi="arial" w:cs="arial"/>
          <w:color w:val="000000"/>
          <w:sz w:val="20"/>
          <w:lang w:val="en-US" w:eastAsia="en-US" w:bidi="ar-SA"/>
        </w:rPr>
        <w:t>. There, the plaintiff built a wall on its property that extended into a channel of the Coquitlam River. The Ministry of Environment, Lands and Parks ordered the plaintiff to remove the wall. The plaintiff appealed the order to the Comptroller of Water Rights as provided by the statute and, at the same time, commenced an action alleging that the order was issued in a discriminatory manner, was made in bad faith and was frivolous and vexatious. The plaintiff sought a declaration that the order was null and void and an injunction restraining the Ministry from removing the wall. The plaintiff then adjourned the statutory appeal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defendant successfully applied to strike the claim under R. 19(24)(d). After referring to </w:t>
      </w:r>
      <w:r>
        <w:rPr>
          <w:rFonts w:ascii="arial" w:eastAsia="arial" w:hAnsi="arial" w:cs="arial"/>
          <w:i/>
          <w:color w:val="000000"/>
          <w:sz w:val="20"/>
          <w:lang w:val="en-US" w:eastAsia="en-US" w:bidi="ar-SA"/>
        </w:rPr>
        <w:t>Consolidated Maybrun Mines</w:t>
      </w:r>
      <w:r>
        <w:rPr>
          <w:rFonts w:ascii="arial" w:eastAsia="arial" w:hAnsi="arial" w:cs="arial"/>
          <w:color w:val="000000"/>
          <w:sz w:val="20"/>
          <w:lang w:val="en-US" w:eastAsia="en-US" w:bidi="ar-SA"/>
        </w:rPr>
        <w:t>, Wedge J. held at paras. 32-35: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Having reviewed all of the affidavit materials filed in support of this application, I must conclude that Gemex's actions against the Provincial Crown defendants constitutes an impermissible collateral attack on the order of the Ministry under the Water Act. In bringing this action, Gemex is effectively circumventing the statutory appeal process provided under the Act by asking the court to rule on the validity of the order.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E.A.B. is an independent body established by the legislature pursuant to the </w:t>
      </w:r>
      <w:r>
        <w:rPr>
          <w:rFonts w:ascii="arial" w:eastAsia="arial" w:hAnsi="arial" w:cs="arial"/>
          <w:i/>
          <w:color w:val="000000"/>
          <w:sz w:val="20"/>
          <w:lang w:val="en-US" w:eastAsia="en-US" w:bidi="ar-SA"/>
        </w:rPr>
        <w:t>Environment Management Act</w:t>
      </w:r>
      <w:r>
        <w:rPr>
          <w:rFonts w:ascii="arial" w:eastAsia="arial" w:hAnsi="arial" w:cs="arial"/>
          <w:color w:val="000000"/>
          <w:sz w:val="20"/>
          <w:lang w:val="en-US" w:eastAsia="en-US" w:bidi="ar-SA"/>
        </w:rPr>
        <w:t xml:space="preserve"> to hear appeals under a number of environmental statutes. The expertise of the E.A.B. has been recognized on a number of occasions by the courts, and most recently in </w:t>
      </w:r>
      <w:r>
        <w:rPr>
          <w:rFonts w:ascii="arial" w:eastAsia="arial" w:hAnsi="arial" w:cs="arial"/>
          <w:i/>
          <w:color w:val="000000"/>
          <w:sz w:val="20"/>
          <w:lang w:val="en-US" w:eastAsia="en-US" w:bidi="ar-SA"/>
        </w:rPr>
        <w:t>Beazer East Inc. v. Environmental Appeal Board et al</w:t>
      </w:r>
      <w:r>
        <w:rPr>
          <w:rFonts w:ascii="arial" w:eastAsia="arial" w:hAnsi="arial" w:cs="arial"/>
          <w:color w:val="000000"/>
          <w:sz w:val="20"/>
          <w:lang w:val="en-US" w:eastAsia="en-US" w:bidi="ar-SA"/>
        </w:rPr>
        <w:t xml:space="preserve">, </w:t>
      </w:r>
      <w:hyperlink r:id="rId1130" w:history="1">
        <w:r>
          <w:rPr>
            <w:rFonts w:ascii="arial" w:eastAsia="arial" w:hAnsi="arial" w:cs="arial"/>
            <w:i/>
            <w:color w:val="0077CC"/>
            <w:sz w:val="20"/>
            <w:u w:val="single"/>
            <w:shd w:val="clear" w:color="auto" w:fill="FFFFFF"/>
            <w:lang w:val="en-US" w:eastAsia="en-US" w:bidi="ar-SA"/>
          </w:rPr>
          <w:t>2000 BCSC 1698</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establishment of this specialized appeal structure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is a strong indication that the legislature intended these statutory appeal tribunals to resolve disputes arising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The existence of a privative clause prohibiting judicial review of decisions of the Comptroller or an engineer is further evidence of the legislative intent to deal with disputes arising under the Act through the statutory appeal structure.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 must agree with counsel for the Provincial Crown defendants that Gemex's civil action strikes at the heart of the jurisdiction of the Comptroller and the E.A.B.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to rule on the validity of the order issued by the Ministry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defendants also rely on the decision in </w:t>
      </w:r>
      <w:r>
        <w:rPr>
          <w:rFonts w:ascii="arial" w:eastAsia="arial" w:hAnsi="arial" w:cs="arial"/>
          <w:i/>
          <w:color w:val="000000"/>
          <w:sz w:val="20"/>
          <w:lang w:val="en-US" w:eastAsia="en-US" w:bidi="ar-SA"/>
        </w:rPr>
        <w:t>Canada v. Grenier</w:t>
      </w:r>
      <w:r>
        <w:rPr>
          <w:rFonts w:ascii="arial" w:eastAsia="arial" w:hAnsi="arial" w:cs="arial"/>
          <w:color w:val="000000"/>
          <w:sz w:val="20"/>
          <w:lang w:val="en-US" w:eastAsia="en-US" w:bidi="ar-SA"/>
        </w:rPr>
        <w:t xml:space="preserve">, </w:t>
      </w:r>
      <w:hyperlink r:id="rId1131" w:history="1">
        <w:r>
          <w:rPr>
            <w:rFonts w:ascii="arial" w:eastAsia="arial" w:hAnsi="arial" w:cs="arial"/>
            <w:i/>
            <w:color w:val="0077CC"/>
            <w:sz w:val="20"/>
            <w:u w:val="single"/>
            <w:shd w:val="clear" w:color="auto" w:fill="FFFFFF"/>
            <w:lang w:val="en-US" w:eastAsia="en-US" w:bidi="ar-SA"/>
          </w:rPr>
          <w:t>2005 FCA 348</w:t>
        </w:r>
      </w:hyperlink>
      <w:r>
        <w:rPr>
          <w:rFonts w:ascii="arial" w:eastAsia="arial" w:hAnsi="arial" w:cs="arial"/>
          <w:color w:val="000000"/>
          <w:sz w:val="20"/>
          <w:lang w:val="en-US" w:eastAsia="en-US" w:bidi="ar-SA"/>
        </w:rPr>
        <w:t xml:space="preserve">, </w:t>
      </w:r>
      <w:hyperlink r:id="rId1131" w:history="1">
        <w:r>
          <w:rPr>
            <w:rFonts w:ascii="arial" w:eastAsia="arial" w:hAnsi="arial" w:cs="arial"/>
            <w:i/>
            <w:color w:val="0077CC"/>
            <w:sz w:val="20"/>
            <w:u w:val="single"/>
            <w:shd w:val="clear" w:color="auto" w:fill="FFFFFF"/>
            <w:lang w:val="en-US" w:eastAsia="en-US" w:bidi="ar-SA"/>
          </w:rPr>
          <w:t>(2005), 262 D.L.R. (4th) 337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Grenier</w:t>
      </w:r>
      <w:r>
        <w:rPr>
          <w:rFonts w:ascii="arial" w:eastAsia="arial" w:hAnsi="arial" w:cs="arial"/>
          <w:color w:val="000000"/>
          <w:sz w:val="20"/>
          <w:lang w:val="en-US" w:eastAsia="en-US" w:bidi="ar-SA"/>
        </w:rPr>
        <w:t xml:space="preserve">], for the proposition that the plaintiffs must first proceed under the statutory review and appeal procedure to have the decision to issue the Notice of Suspension invalidated prior to commencing an action form damages. There a former inmate challenged an institutional head's decision of administrative segregation, not by way of judicial review under s. 18.1 of the </w:t>
      </w:r>
      <w:r>
        <w:rPr>
          <w:rFonts w:ascii="arial" w:eastAsia="arial" w:hAnsi="arial" w:cs="arial"/>
          <w:i/>
          <w:color w:val="000000"/>
          <w:sz w:val="20"/>
          <w:lang w:val="en-US" w:eastAsia="en-US" w:bidi="ar-SA"/>
        </w:rPr>
        <w:t>Federal Courts Act</w:t>
      </w:r>
      <w:r>
        <w:rPr>
          <w:rFonts w:ascii="arial" w:eastAsia="arial" w:hAnsi="arial" w:cs="arial"/>
          <w:color w:val="000000"/>
          <w:sz w:val="20"/>
          <w:lang w:val="en-US" w:eastAsia="en-US" w:bidi="ar-SA"/>
        </w:rPr>
        <w:t xml:space="preserve">, </w:t>
      </w:r>
      <w:hyperlink r:id="rId1117" w:history="1">
        <w:r>
          <w:rPr>
            <w:rFonts w:ascii="arial" w:eastAsia="arial" w:hAnsi="arial" w:cs="arial"/>
            <w:i/>
            <w:color w:val="0077CC"/>
            <w:sz w:val="20"/>
            <w:u w:val="single"/>
            <w:shd w:val="clear" w:color="auto" w:fill="FFFFFF"/>
            <w:lang w:val="en-US" w:eastAsia="en-US" w:bidi="ar-SA"/>
          </w:rPr>
          <w:t>R.S.C. 1985, c. F-7</w:t>
        </w:r>
      </w:hyperlink>
      <w:r>
        <w:rPr>
          <w:rFonts w:ascii="arial" w:eastAsia="arial" w:hAnsi="arial" w:cs="arial"/>
          <w:color w:val="000000"/>
          <w:sz w:val="20"/>
          <w:lang w:val="en-US" w:eastAsia="en-US" w:bidi="ar-SA"/>
        </w:rPr>
        <w:t>, within 30 days, but by way of an action for damages some three years after the decision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Létourneau J.A. held that the administrative decision remained effective and that the former inmate was required to apply for judicial review of the decision instead of bringing an action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defendants say that it might be open to the plaintiffs to bring an action for damages but only if they were successful in challenging the validity and propriety of the Notice of Suspension before the Tribunal.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Plaintiff's argument on the application to strike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plaintiffs say, at the outset, that they acknowledge that Transport Canada had the right to issue a Notice of Suspension on June 22, 2005, because the MCM they were operating under no longer met the requirements of the </w:t>
      </w:r>
      <w:r>
        <w:rPr>
          <w:rFonts w:ascii="arial" w:eastAsia="arial" w:hAnsi="arial" w:cs="arial"/>
          <w:i/>
          <w:color w:val="000000"/>
          <w:sz w:val="20"/>
          <w:lang w:val="en-US" w:eastAsia="en-US" w:bidi="ar-SA"/>
        </w:rPr>
        <w:t>Canadian Aviation Regulations</w:t>
      </w:r>
      <w:r>
        <w:rPr>
          <w:rFonts w:ascii="arial" w:eastAsia="arial" w:hAnsi="arial" w:cs="arial"/>
          <w:color w:val="000000"/>
          <w:sz w:val="20"/>
          <w:lang w:val="en-US" w:eastAsia="en-US" w:bidi="ar-SA"/>
        </w:rPr>
        <w:t>. However, they say they take issue with Transport Canada's refusal to grant an extension of time to change the MCM before issuing a Notice of Suspension, given their position that extensions of time for such things as changes to maintenance manuals are routinely granted by Transport Canada. They also take issue with the time that it took for the manual to be ultimately approved after the draft was submitted to Transport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plaintiffs submit this case is not about the validity of the Notice of Suspension. They do not challenge the validity of the decision. They allege that the actions of the defendants in failing or refusing to grant more time to provide an amended manual before taking the step of formally issuing a Notice of Suspension and in not working with the plaintiffs more quickly to enable them to prepare a new manual that complied with the requirements of the Notice of Suspension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They say further that the actions of the Transport Canada employees constitute an abuse of public office, malfeasance in public office and were undertaken in bad faith, for which they are entitled to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plaintiffs say that this action had been ongoing for some 20 months before the defendants gave notice of their application to strike and that many pre-trial steps have been taken in connection with the action, a major part of which is concerned with the First Transport Canada Matter. They say that they will be seriously prejudiced if that claim is struck at this late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plaintiffs submit that this court has jurisdiction over the claim for damages and should hear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plaintiffs submit that the Supreme Court of British Columbia, being a superior court of general jurisdiction has inherent jurisdiction to adjudicate claims of every conceivable nature. They refer to </w:t>
      </w:r>
      <w:r>
        <w:rPr>
          <w:rFonts w:ascii="arial" w:eastAsia="arial" w:hAnsi="arial" w:cs="arial"/>
          <w:i/>
          <w:color w:val="000000"/>
          <w:sz w:val="20"/>
          <w:lang w:val="en-US" w:eastAsia="en-US" w:bidi="ar-SA"/>
        </w:rPr>
        <w:t>TeleZone Inc. v. Canada (Attorney General),</w:t>
      </w:r>
      <w:r>
        <w:rPr>
          <w:rFonts w:ascii="arial" w:eastAsia="arial" w:hAnsi="arial" w:cs="arial"/>
          <w:color w:val="000000"/>
          <w:sz w:val="20"/>
          <w:lang w:val="en-US" w:eastAsia="en-US" w:bidi="ar-SA"/>
        </w:rPr>
        <w:t xml:space="preserve"> </w:t>
      </w:r>
      <w:hyperlink r:id="rId1132" w:history="1">
        <w:r>
          <w:rPr>
            <w:rFonts w:ascii="arial" w:eastAsia="arial" w:hAnsi="arial" w:cs="arial"/>
            <w:i/>
            <w:color w:val="0077CC"/>
            <w:sz w:val="20"/>
            <w:u w:val="single"/>
            <w:shd w:val="clear" w:color="auto" w:fill="FFFFFF"/>
            <w:lang w:val="en-US" w:eastAsia="en-US" w:bidi="ar-SA"/>
          </w:rPr>
          <w:t>2008 ONCA 892</w:t>
        </w:r>
      </w:hyperlink>
      <w:r>
        <w:rPr>
          <w:rFonts w:ascii="arial" w:eastAsia="arial" w:hAnsi="arial" w:cs="arial"/>
          <w:color w:val="000000"/>
          <w:sz w:val="20"/>
          <w:lang w:val="en-US" w:eastAsia="en-US" w:bidi="ar-SA"/>
        </w:rPr>
        <w:t xml:space="preserve">, </w:t>
      </w:r>
      <w:hyperlink r:id="rId1132" w:history="1">
        <w:r>
          <w:rPr>
            <w:rFonts w:ascii="arial" w:eastAsia="arial" w:hAnsi="arial" w:cs="arial"/>
            <w:i/>
            <w:color w:val="0077CC"/>
            <w:sz w:val="20"/>
            <w:u w:val="single"/>
            <w:shd w:val="clear" w:color="auto" w:fill="FFFFFF"/>
            <w:lang w:val="en-US" w:eastAsia="en-US" w:bidi="ar-SA"/>
          </w:rPr>
          <w:t>245 O.A.C. 91</w:t>
        </w:r>
      </w:hyperlink>
      <w:r>
        <w:rPr>
          <w:rFonts w:ascii="arial" w:eastAsia="arial" w:hAnsi="arial" w:cs="arial"/>
          <w:color w:val="000000"/>
          <w:sz w:val="20"/>
          <w:lang w:val="en-US" w:eastAsia="en-US" w:bidi="ar-SA"/>
        </w:rPr>
        <w:t xml:space="preserve">, leave to appeal granted, </w:t>
      </w:r>
      <w:hyperlink r:id="rId1133" w:history="1">
        <w:r>
          <w:rPr>
            <w:rFonts w:ascii="arial" w:eastAsia="arial" w:hAnsi="arial" w:cs="arial"/>
            <w:i/>
            <w:color w:val="0077CC"/>
            <w:sz w:val="20"/>
            <w:u w:val="single"/>
            <w:shd w:val="clear" w:color="auto" w:fill="FFFFFF"/>
            <w:lang w:val="en-US" w:eastAsia="en-US" w:bidi="ar-SA"/>
          </w:rPr>
          <w:t>[2009] S.C.C.A. No. 77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involved four appeals, argued consecutively, concerning the issue whether the jurisdiction over each plaintiff's claim lay in the Superior Court of Ontario or in the Federal Court. The case concerning TeleZone Inc. itself was an action for damages for breach of contract, or in the alternative,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alleging that Industry Canada did not apply its licensing criteria fairly and in good faith in denying TeleZone Inc.'s application for a license to provide personal communication services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Crown asserted that jurisdiction lay in the Federal Court because an essential element in each claim involved an attack on the decision of a federal administrative board or tribunal and that under </w:t>
      </w:r>
      <w:r>
        <w:rPr>
          <w:rFonts w:ascii="arial" w:eastAsia="arial" w:hAnsi="arial" w:cs="arial"/>
          <w:i/>
          <w:color w:val="000000"/>
          <w:sz w:val="20"/>
          <w:lang w:val="en-US" w:eastAsia="en-US" w:bidi="ar-SA"/>
        </w:rPr>
        <w:t>Grenier</w:t>
      </w:r>
      <w:r>
        <w:rPr>
          <w:rFonts w:ascii="arial" w:eastAsia="arial" w:hAnsi="arial" w:cs="arial"/>
          <w:color w:val="000000"/>
          <w:sz w:val="20"/>
          <w:lang w:val="en-US" w:eastAsia="en-US" w:bidi="ar-SA"/>
        </w:rPr>
        <w:t xml:space="preserve"> it was necessary for the plaintiff to first seek a prerogative remedy in the Federal Court since under s. 18(1) of the </w:t>
      </w:r>
      <w:r>
        <w:rPr>
          <w:rFonts w:ascii="arial" w:eastAsia="arial" w:hAnsi="arial" w:cs="arial"/>
          <w:i/>
          <w:color w:val="000000"/>
          <w:sz w:val="20"/>
          <w:lang w:val="en-US" w:eastAsia="en-US" w:bidi="ar-SA"/>
        </w:rPr>
        <w:t>Federal Courts Act</w:t>
      </w:r>
      <w:r>
        <w:rPr>
          <w:rFonts w:ascii="arial" w:eastAsia="arial" w:hAnsi="arial" w:cs="arial"/>
          <w:color w:val="000000"/>
          <w:sz w:val="20"/>
          <w:lang w:val="en-US" w:eastAsia="en-US" w:bidi="ar-SA"/>
        </w:rPr>
        <w:t xml:space="preserve"> that court has exclusive jurisdiction to grant prerogative remedies in respect to decisions of federal tribunals.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With regard to jurisdiction generally, Borins J.A. notes at para.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Because all of the controversies arising within the territorial jurisdiction of the province of Ontario are cognizable in the Superior Court, questions of the competence of provincial superior courts to adjudicate a particular kind of case rarely arise. However, there are two common exceptions that give rise to motions attacking the jurisdiction of the superior court. The first is in respect to an arbitration clause contained in a contract between the parties. The other arises from cases where there is a statutory code that governs enabling the plaintiff to recover the remedy that he seeks in his claim in another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Borins J.A., at paras. 49-52, referred to the reasons of the motions judge in the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applying the Court of Appeal's reasoning to the case at bar, the motion judge stated at para. 60: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not persuaded that it is plain and obvious that this court has no jurisdiction to hear this civil action. In my view, s. 18(1) of the FCA does not contain clear and explicit language precluding the Superior Court from hearing a civil action against the federal Crown that engages, but does not seek to disturb, a decision taken pursuant to a federal grant of power. [Emphasis added.]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Although his conclusion on the application of s. 18(1) of the FCA was sufficient to dispose of the motion, the motion judge commented on the doctrine of collateral attack in the Grenier line of cases, given the emphasis put on it by the Crown. The Grenier line of cases stands for the proposition that "an action for damages stemming from an administrative decision constitutes a collateral attack on that decision" (para. 63).</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motion judge held that Grenier is distinguishable from the case at bar, because in Grenier "the sole source of damages appears to have been the unlawfulness of the decision in an administrative law sense. There was no cause of action independent of the allegation that the decision was inconsistent with the statutory or prerogative power pursuant to which it was taken" (emphasis in original) (para. 69).</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motion judge concluded, at para. 82, that TeleZone's action is not a collateral attack: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collateral attack doctrine applies when a litigant is seeking to challenge the legal force of a prior court order, or judicial or quasi-judicial decision of an administrative tribunal, in subsequent proceedings. In its pleading, TeleZone is not challenging the decision of the Minister. It is not seeking to set aside the licences that have been granted. It is not seeking a licence for itself. It is seeking damages as a result of alleged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collateral attack doctrine has no application. ... A claim should only be struck as a collateral attack if it seeks to affect a decision's legal validity.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Court of Appeal agreed with the motions judge and held that the Superior Court had jurisdiction and was not removed by s. 18 of the </w:t>
      </w:r>
      <w:r>
        <w:rPr>
          <w:rFonts w:ascii="arial" w:eastAsia="arial" w:hAnsi="arial" w:cs="arial"/>
          <w:i/>
          <w:color w:val="000000"/>
          <w:sz w:val="20"/>
          <w:lang w:val="en-US" w:eastAsia="en-US" w:bidi="ar-SA"/>
        </w:rPr>
        <w:t>Federal Courts Act</w:t>
      </w:r>
      <w:r>
        <w:rPr>
          <w:rFonts w:ascii="arial" w:eastAsia="arial" w:hAnsi="arial" w:cs="arial"/>
          <w:color w:val="000000"/>
          <w:sz w:val="20"/>
          <w:lang w:val="en-US" w:eastAsia="en-US" w:bidi="ar-SA"/>
        </w:rPr>
        <w:t xml:space="preserve">. With regard to the Crown's argument based on </w:t>
      </w:r>
      <w:r>
        <w:rPr>
          <w:rFonts w:ascii="arial" w:eastAsia="arial" w:hAnsi="arial" w:cs="arial"/>
          <w:i/>
          <w:color w:val="000000"/>
          <w:sz w:val="20"/>
          <w:lang w:val="en-US" w:eastAsia="en-US" w:bidi="ar-SA"/>
        </w:rPr>
        <w:t>Grenier</w:t>
      </w:r>
      <w:r>
        <w:rPr>
          <w:rFonts w:ascii="arial" w:eastAsia="arial" w:hAnsi="arial" w:cs="arial"/>
          <w:color w:val="000000"/>
          <w:sz w:val="20"/>
          <w:lang w:val="en-US" w:eastAsia="en-US" w:bidi="ar-SA"/>
        </w:rPr>
        <w:t xml:space="preserve"> that the plaintiffs' claims were an impermissible collateral attack on administrative decisions, Borins J.A. said at para. 98: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 agree with the following comments of Morawetz J. about collateral attack at para. 82 of TeleZone: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TeleZone's claims against the Crown do not necessarily constitute a collateral attack on decisions of a federal board or tribunal. The collateral attack doctrine applies when a litigant is seeking to challenge the legal force of a prior court order, or judicial or quasi-judicial decision of an administrative tribunal, in subsequent proceedings. In its pleading, TeleZone is not challenging the decision of the Minister. It is not seeking to set aside the licences that have been granted. It is not seeking a licence for itself. It is seeking damages as a result of alleged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collateral attack doctrine has no application. Phrases like "challenge to the lawfulness of a decision" and "impugning a federal agency's decision" must be used with care in this context in order to be consistent with the Supreme Court of Canada's jurisprudence on the doctrine of collateral attack. A claim should only be struck as a collateral attack if it seeks to affect a decision's legal validity.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Borins J.A. concluded, at para. 100, that </w:t>
      </w:r>
      <w:r>
        <w:rPr>
          <w:rFonts w:ascii="arial" w:eastAsia="arial" w:hAnsi="arial" w:cs="arial"/>
          <w:i/>
          <w:color w:val="000000"/>
          <w:sz w:val="20"/>
          <w:lang w:val="en-US" w:eastAsia="en-US" w:bidi="ar-SA"/>
        </w:rPr>
        <w:t>Grenier</w:t>
      </w:r>
      <w:r>
        <w:rPr>
          <w:rFonts w:ascii="arial" w:eastAsia="arial" w:hAnsi="arial" w:cs="arial"/>
          <w:color w:val="000000"/>
          <w:sz w:val="20"/>
          <w:lang w:val="en-US" w:eastAsia="en-US" w:bidi="ar-SA"/>
        </w:rPr>
        <w:t xml:space="preserve"> was not correctly decided: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As I will explain, Grenier was not correctly decided. In any event, it is not binding on this court. The procedure that it advocates would take litigants back to the days of Bleak House where they had to go from court to court until they were finally able to obtain their remedy. Moreover, if generally accepted, Grenier's insistence that actions in provincial superior courts against the Crown are precluded without a prior application for judicial review would have far reaching implications with respect to principles of Crown liability. In particular, the Crown's position as based on Grenier, would require split or multiple proceedings in different forums, waste scarce judicial resources, impose huge additional costs on plaintiffs, and subject every tort and contract claim against the Crown to a draconian 30-day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Further, at para. 108, Borins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 If the claim is within the subject matter jurisdiction of the Superior Court, that is the end of the matter. The courts' jurisdiction will be affirmed. However, as I have pointed out, there are exceptions. The court will be deprived of its jurisdiction where there is a statutory scheme intended to determine the subject matter of the claim administratively and able to provide the remedy sought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At para. 110, Borins J.A. summarized his conclusions: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Before I conclude by dealing with each of the appeals, I will provide a brief summary. Subject matter jurisdiction refers to the power of a particular court to decide a particular type of case. The Ontario Superior Court, as a court of general jurisdiction, has the prima facie power to decide every type of case, provided the statement of claim discloses a reasonable cause of action. Only by clear and explicit limitation may the power of the Superior Court to decide a particular type of case be curtailed. For example, as in Weber, a statutory remedial scheme or an arbitration clause will remove the jurisdiction of the Superior Court. Section 18 of the FCA clearly does not limit the right to bring an action in contract or tort, or for breach of Charter rights, in the Superior Court. It does not provide for the remedy sought by the plaintiff in any of the four cases. Thus, a judgment may be properly rendered if a court has the power to adjudicate the type of controversy contained in the statement of claim. The Superior Court has such power in each of the four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plaintiffs submit that nowhere in the </w:t>
      </w:r>
      <w:r>
        <w:rPr>
          <w:rFonts w:ascii="arial" w:eastAsia="arial" w:hAnsi="arial" w:cs="arial"/>
          <w:i/>
          <w:color w:val="000000"/>
          <w:sz w:val="20"/>
          <w:lang w:val="en-US" w:eastAsia="en-US" w:bidi="ar-SA"/>
        </w:rPr>
        <w:t>Aeronautics Act</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Transportation Appeal Tribunal of Canada Act</w:t>
      </w:r>
      <w:r>
        <w:rPr>
          <w:rFonts w:ascii="arial" w:eastAsia="arial" w:hAnsi="arial" w:cs="arial"/>
          <w:color w:val="000000"/>
          <w:sz w:val="20"/>
          <w:lang w:val="en-US" w:eastAsia="en-US" w:bidi="ar-SA"/>
        </w:rPr>
        <w:t xml:space="preserve"> is there the kind of clear language necessary to take away this court's jurisdiction to hear a case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abuse and malfeasance in public office in which they do not attack the validity of the Notice of Suspension. They say that neither Transport Canada nor the Transportation Appeal Board Tribunal have the jurisdiction to hear common law complaints and grant remedies in damages, let alone have any special expertise regarding those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plaintiffs submit, therefore, that there is no statutory exclusion to this court hearing the claim based on the First Transport Canada Matter, nor is there any other appropriate forum that would be able to grant the remedies sought by the plaintiffs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With regard to the defendants' submission that the plaintiff's action constitutes an impermissible collateral attack on the decision of the Minister and that the plaintiffs must first seek to challenge that decision through the statutory process before suing, the plaintiffs say again that they do not challenge the Notice of Suspension, do not seek to set it aside and do not seek declaratory relief. They say </w:t>
      </w:r>
      <w:r>
        <w:rPr>
          <w:rFonts w:ascii="arial" w:eastAsia="arial" w:hAnsi="arial" w:cs="arial"/>
          <w:i/>
          <w:color w:val="000000"/>
          <w:sz w:val="20"/>
          <w:lang w:val="en-US" w:eastAsia="en-US" w:bidi="ar-SA"/>
        </w:rPr>
        <w:t>Grenier</w:t>
      </w:r>
      <w:r>
        <w:rPr>
          <w:rFonts w:ascii="arial" w:eastAsia="arial" w:hAnsi="arial" w:cs="arial"/>
          <w:color w:val="000000"/>
          <w:sz w:val="20"/>
          <w:lang w:val="en-US" w:eastAsia="en-US" w:bidi="ar-SA"/>
        </w:rPr>
        <w:t xml:space="preserve">, even if it is correct, has no application to this case, just as it had no application in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because there is no collateral attack in this case. They say that while the Notice of Suspension is involved in the case factually, it is not inextricably tied to the claim and the true subject matter of the action does not involve an attack on the Notice of Suspension.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plaintiffs argue that it is not the Notice of Suspension that is challenged but the conduct of the defendants in carrying out their duties as public servants that forms the basis of the torts pleaded in the further amended statement of claim. They say that the claims fall well outside of the legislative scheme provided for under the </w:t>
      </w:r>
      <w:r>
        <w:rPr>
          <w:rFonts w:ascii="arial" w:eastAsia="arial" w:hAnsi="arial" w:cs="arial"/>
          <w:i/>
          <w:color w:val="000000"/>
          <w:sz w:val="20"/>
          <w:lang w:val="en-US" w:eastAsia="en-US" w:bidi="ar-SA"/>
        </w:rPr>
        <w:t>Aeronautics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Transportation Appeal Tribunal Canada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this regard, the plaintiffs refer to </w:t>
      </w:r>
      <w:r>
        <w:rPr>
          <w:rFonts w:ascii="arial" w:eastAsia="arial" w:hAnsi="arial" w:cs="arial"/>
          <w:i/>
          <w:color w:val="000000"/>
          <w:sz w:val="20"/>
          <w:lang w:val="en-US" w:eastAsia="en-US" w:bidi="ar-SA"/>
        </w:rPr>
        <w:t>The Los Angeles Salad Company Inc. v. Canadian Food Inspection Agency</w:t>
      </w:r>
      <w:r>
        <w:rPr>
          <w:rFonts w:ascii="arial" w:eastAsia="arial" w:hAnsi="arial" w:cs="arial"/>
          <w:color w:val="000000"/>
          <w:sz w:val="20"/>
          <w:lang w:val="en-US" w:eastAsia="en-US" w:bidi="ar-SA"/>
        </w:rPr>
        <w:t xml:space="preserve">, </w:t>
      </w:r>
      <w:hyperlink r:id="rId1134" w:history="1">
        <w:r>
          <w:rPr>
            <w:rFonts w:ascii="arial" w:eastAsia="arial" w:hAnsi="arial" w:cs="arial"/>
            <w:i/>
            <w:color w:val="0077CC"/>
            <w:sz w:val="20"/>
            <w:u w:val="single"/>
            <w:shd w:val="clear" w:color="auto" w:fill="FFFFFF"/>
            <w:lang w:val="en-US" w:eastAsia="en-US" w:bidi="ar-SA"/>
          </w:rPr>
          <w:t>2009 BCSC 109</w:t>
        </w:r>
      </w:hyperlink>
      <w:r>
        <w:rPr>
          <w:rFonts w:ascii="arial" w:eastAsia="arial" w:hAnsi="arial" w:cs="arial"/>
          <w:color w:val="000000"/>
          <w:sz w:val="20"/>
          <w:lang w:val="en-US" w:eastAsia="en-US" w:bidi="ar-SA"/>
        </w:rPr>
        <w:t xml:space="preserve">, in which the plaintiff brought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Federal Agency. On an application to strike the claim on the ground that it constituted a collateral attack on the Agency's decision, Martinson J. reviewed the claim and determined that the essence of the claim did not involve a collateral attack on the administrative decision. At paras. 24-25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this case, the essence of the claim is that the employees of the Agency acted negligently in carrying out their investigation. It is a claim of operational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 Salad asks for damages for that operational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L.A. Salad is not, nor does it have to, challenge the actual decision. I agree with it that it would not benefit by doing so. Rather, it claims that the negligent conduct of the Agency's investigators has caused L.A. Salad significant damage.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wrongs alleged are not inextricably tied to the decision and are not directly related to the decision. They do not challenge the reasonableness of the decision. They do not allege an unreasonable exercise of statutory power leading to an unreasonable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At para. 28, Martinson J. said "[t]he decision is engaged, but L.A. Salad is not attempting to disturb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plaintiffs say this claim is not about the Minister's right to issue the Notice of Suspension, which is conceded, but is about the refusal of Transport Canada employees to exercise their discretion to allow an extension of time before the Notice of Suspension process was officially started and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malfeasance in delaying approval of the new manual after the suspension came into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plaintiffs also argue that this Court has jurisdiction and should hear this claim because it is the only forum where damages can be awarded. Neither the </w:t>
      </w:r>
      <w:r>
        <w:rPr>
          <w:rFonts w:ascii="arial" w:eastAsia="arial" w:hAnsi="arial" w:cs="arial"/>
          <w:i/>
          <w:color w:val="000000"/>
          <w:sz w:val="20"/>
          <w:lang w:val="en-US" w:eastAsia="en-US" w:bidi="ar-SA"/>
        </w:rPr>
        <w:t>Transportation Appeal Tribunal of Canada Act</w:t>
      </w:r>
      <w:r>
        <w:rPr>
          <w:rFonts w:ascii="arial" w:eastAsia="arial" w:hAnsi="arial" w:cs="arial"/>
          <w:color w:val="000000"/>
          <w:sz w:val="20"/>
          <w:lang w:val="en-US" w:eastAsia="en-US" w:bidi="ar-SA"/>
        </w:rPr>
        <w:t xml:space="preserve">, nor ss. 18 and 18.1 of the </w:t>
      </w:r>
      <w:r>
        <w:rPr>
          <w:rFonts w:ascii="arial" w:eastAsia="arial" w:hAnsi="arial" w:cs="arial"/>
          <w:i/>
          <w:color w:val="000000"/>
          <w:sz w:val="20"/>
          <w:lang w:val="en-US" w:eastAsia="en-US" w:bidi="ar-SA"/>
        </w:rPr>
        <w:t>Federal Courts Act</w:t>
      </w:r>
      <w:r>
        <w:rPr>
          <w:rFonts w:ascii="arial" w:eastAsia="arial" w:hAnsi="arial" w:cs="arial"/>
          <w:color w:val="000000"/>
          <w:sz w:val="20"/>
          <w:lang w:val="en-US" w:eastAsia="en-US" w:bidi="ar-SA"/>
        </w:rPr>
        <w:t>, contains provisions for granting damages. The plaintiffs submit that absent an alternative forum that could provide an effective remedy, this court should exercise its inherent jurisdiction and hear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As set out in </w:t>
      </w:r>
      <w:r>
        <w:rPr>
          <w:rFonts w:ascii="arial" w:eastAsia="arial" w:hAnsi="arial" w:cs="arial"/>
          <w:i/>
          <w:color w:val="000000"/>
          <w:sz w:val="20"/>
          <w:lang w:val="en-US" w:eastAsia="en-US" w:bidi="ar-SA"/>
        </w:rPr>
        <w:t>Wilson v. The Queen</w:t>
      </w:r>
      <w:r>
        <w:rPr>
          <w:rFonts w:ascii="arial" w:eastAsia="arial" w:hAnsi="arial" w:cs="arial"/>
          <w:color w:val="000000"/>
          <w:sz w:val="20"/>
          <w:lang w:val="en-US" w:eastAsia="en-US" w:bidi="ar-SA"/>
        </w:rPr>
        <w:t xml:space="preserve">, </w:t>
      </w:r>
      <w:hyperlink r:id="rId1135" w:history="1">
        <w:r>
          <w:rPr>
            <w:rFonts w:ascii="arial" w:eastAsia="arial" w:hAnsi="arial" w:cs="arial"/>
            <w:i/>
            <w:color w:val="0077CC"/>
            <w:sz w:val="20"/>
            <w:u w:val="single"/>
            <w:shd w:val="clear" w:color="auto" w:fill="FFFFFF"/>
            <w:lang w:val="en-US" w:eastAsia="en-US" w:bidi="ar-SA"/>
          </w:rPr>
          <w:t>[1983] 2 S.C.R. 594</w:t>
        </w:r>
      </w:hyperlink>
      <w:r>
        <w:rPr>
          <w:rFonts w:ascii="arial" w:eastAsia="arial" w:hAnsi="arial" w:cs="arial"/>
          <w:color w:val="000000"/>
          <w:sz w:val="20"/>
          <w:lang w:val="en-US" w:eastAsia="en-US" w:bidi="ar-SA"/>
        </w:rPr>
        <w:t xml:space="preserve"> at 599, the rule against collateral attack: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has long been a fundamental rule that a court order, made by a court having jurisdiction to make it, stands and is binding and conclusive unless it is set aside on appeal or lawfully quashed. It is also well settled in the authorities that such an order may not be attacked collaterally and a collateral attack may be described as an attack made in proceedings other than those whose specific object is the reversal, variation, or nullification of the order 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As stated by the Supreme Court of Canada in </w:t>
      </w:r>
      <w:r>
        <w:rPr>
          <w:rFonts w:ascii="arial" w:eastAsia="arial" w:hAnsi="arial" w:cs="arial"/>
          <w:i/>
          <w:color w:val="000000"/>
          <w:sz w:val="20"/>
          <w:lang w:val="en-US" w:eastAsia="en-US" w:bidi="ar-SA"/>
        </w:rPr>
        <w:t>Toronto (City) v. Canadian Union of Public Employees (C.U.P.E.), Local 79</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at para. 34, </w:t>
      </w:r>
      <w:hyperlink r:id="rId182" w:history="1">
        <w:r>
          <w:rPr>
            <w:rFonts w:ascii="arial" w:eastAsia="arial" w:hAnsi="arial" w:cs="arial"/>
            <w:i/>
            <w:color w:val="0077CC"/>
            <w:sz w:val="20"/>
            <w:u w:val="single"/>
            <w:shd w:val="clear" w:color="auto" w:fill="FFFFFF"/>
            <w:lang w:val="en-US" w:eastAsia="en-US" w:bidi="ar-SA"/>
          </w:rPr>
          <w:t>[2003] 3 S.C.R. 77</w:t>
        </w:r>
      </w:hyperlink>
      <w:r>
        <w:rPr>
          <w:rFonts w:ascii="arial" w:eastAsia="arial" w:hAnsi="arial" w:cs="arial"/>
          <w:color w:val="000000"/>
          <w:sz w:val="20"/>
          <w:lang w:val="en-US" w:eastAsia="en-US" w:bidi="ar-SA"/>
        </w:rPr>
        <w:t>, "[p]rohibited 'collateral attacks' are abuses of the court's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foundation of the defendants' attack on the jurisdiction of this court to hear the claims arising out of the First Transport Canada Matter and the foundation of its assertion that bringing those claims in this court constitutes an abuse of process is that these claims necessarily involve a collateral attack on the validity of the Notice of Suspension.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That is not the case however. The plaintiffs accept the validity of the decision to issue the Notice of Suspension and will not be permitted to take the position at trial that the Minister lacked the authority to make those decisions or that he lacked proper grounds to make them. The plaintiffs do not seek the reversal, variation, or nullification of the Notice of Suspension.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thrust of the plaintiffs' claims in relation to the First Transport Canada Matter is that while the individual defendants had the authority to decide to issue a Notice of Suspension because the plaintiffs' maintenance manual no longer complied with the requirements under the </w:t>
      </w:r>
      <w:r>
        <w:rPr>
          <w:rFonts w:ascii="arial" w:eastAsia="arial" w:hAnsi="arial" w:cs="arial"/>
          <w:i/>
          <w:color w:val="000000"/>
          <w:sz w:val="20"/>
          <w:lang w:val="en-US" w:eastAsia="en-US" w:bidi="ar-SA"/>
        </w:rPr>
        <w:t>Aeronautics Act</w:t>
      </w:r>
      <w:r>
        <w:rPr>
          <w:rFonts w:ascii="arial" w:eastAsia="arial" w:hAnsi="arial" w:cs="arial"/>
          <w:color w:val="000000"/>
          <w:sz w:val="20"/>
          <w:lang w:val="en-US" w:eastAsia="en-US" w:bidi="ar-SA"/>
        </w:rPr>
        <w:t>, they had and could exercise an operational discretion whether to exercise that authority and issue the Notice of Suspension or extend more time to the plaintiffs voluntarily to amend the manual to bring it into compliance before issuing the Notice and setting a fixed deadline.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plaintiffs allege that the defendants owed them a duty of care in relation to the exercise of that discretionary operational conduct and that they breached that duty by failing to give more time before invoking the Notice of Suspension. The plaintiffs allege further that the defendants knew or ought to have known that by not exercising the discretion that they had to give more time to the plaintiffs before issuing the Notice of Suspension, when the plaintiffs were at their busiest period of operation. The plaintiffs' claims go beyond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They allege that the defendants' actions in declining to exercise their operational discretion to give the plaintiffs more time were undertaken for the express purpose of causing the plaintiffs financial harm and constitute malfeasance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While at first blush it may seem that the plaintiffs' claims put in question the validity of the Notice of Suspension, I accept their argument that their claims raise matters that are distinct from the issues that would be addressed in the statutory review process. There, the question would be whether the Transport Canada employees had the requisite grounds to make the decision that they made. That is conceded by the plaintiffs. They had no basis for seeking a review in accordance with the statutory scheme. Engaging the statutory review process would not have enabled the plaintiffs to raise the matters that form the essence of their complaints and would not have provided them with the remedy they seek. On this basis, </w:t>
      </w:r>
      <w:r>
        <w:rPr>
          <w:rFonts w:ascii="arial" w:eastAsia="arial" w:hAnsi="arial" w:cs="arial"/>
          <w:i/>
          <w:color w:val="000000"/>
          <w:sz w:val="20"/>
          <w:lang w:val="en-US" w:eastAsia="en-US" w:bidi="ar-SA"/>
        </w:rPr>
        <w:t>Grenier</w:t>
      </w:r>
      <w:r>
        <w:rPr>
          <w:rFonts w:ascii="arial" w:eastAsia="arial" w:hAnsi="arial" w:cs="arial"/>
          <w:color w:val="000000"/>
          <w:sz w:val="20"/>
          <w:lang w:val="en-US" w:eastAsia="en-US" w:bidi="ar-SA"/>
        </w:rPr>
        <w:t xml:space="preserve"> is distinguished.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Furthermore, the specialized knowledge of the members of an Appeal Tribunal is not called into play in deciding the issues raised by these claims. The plaintiffs accept that their MCM did not comply. They will not be attempting to prove that they provided a new manual by September 30, 2005 that did comply. The factual questions that arise from these claims are the type that judges decide all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plaintiffs do not seek declaratory relief with respect to the validity of the Notice of Suspension. They seek remedies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Borins J.A. quoted with approval from </w:t>
      </w:r>
      <w:r>
        <w:rPr>
          <w:rFonts w:ascii="arial" w:eastAsia="arial" w:hAnsi="arial" w:cs="arial"/>
          <w:i/>
          <w:color w:val="000000"/>
          <w:sz w:val="20"/>
          <w:lang w:val="en-US" w:eastAsia="en-US" w:bidi="ar-SA"/>
        </w:rPr>
        <w:t>Gaignard v. Canada (Attorney General)</w:t>
      </w:r>
      <w:r>
        <w:rPr>
          <w:rFonts w:ascii="arial" w:eastAsia="arial" w:hAnsi="arial" w:cs="arial"/>
          <w:color w:val="000000"/>
          <w:sz w:val="20"/>
          <w:lang w:val="en-US" w:eastAsia="en-US" w:bidi="ar-SA"/>
        </w:rPr>
        <w:t xml:space="preserve"> </w:t>
      </w:r>
      <w:hyperlink r:id="rId1136" w:history="1">
        <w:r>
          <w:rPr>
            <w:rFonts w:ascii="arial" w:eastAsia="arial" w:hAnsi="arial" w:cs="arial"/>
            <w:i/>
            <w:color w:val="0077CC"/>
            <w:sz w:val="20"/>
            <w:u w:val="single"/>
            <w:shd w:val="clear" w:color="auto" w:fill="FFFFFF"/>
            <w:lang w:val="en-US" w:eastAsia="en-US" w:bidi="ar-SA"/>
          </w:rPr>
          <w:t>(2003), 67 O.R. (3d) 611</w:t>
        </w:r>
      </w:hyperlink>
      <w:r>
        <w:rPr>
          <w:rFonts w:ascii="arial" w:eastAsia="arial" w:hAnsi="arial" w:cs="arial"/>
          <w:color w:val="000000"/>
          <w:sz w:val="20"/>
          <w:lang w:val="en-US" w:eastAsia="en-US" w:bidi="ar-SA"/>
        </w:rPr>
        <w:t xml:space="preserve"> (C.A.), an excerpt that summarized the principles from </w:t>
      </w:r>
      <w:r>
        <w:rPr>
          <w:rFonts w:ascii="arial" w:eastAsia="arial" w:hAnsi="arial" w:cs="arial"/>
          <w:i/>
          <w:color w:val="000000"/>
          <w:sz w:val="20"/>
          <w:lang w:val="en-US" w:eastAsia="en-US" w:bidi="ar-SA"/>
        </w:rPr>
        <w:t>Weber v. Ontario Hydro</w:t>
      </w:r>
      <w:r>
        <w:rPr>
          <w:rFonts w:ascii="arial" w:eastAsia="arial" w:hAnsi="arial" w:cs="arial"/>
          <w:color w:val="000000"/>
          <w:sz w:val="20"/>
          <w:lang w:val="en-US" w:eastAsia="en-US" w:bidi="ar-SA"/>
        </w:rPr>
        <w:t xml:space="preserve">, </w:t>
      </w:r>
      <w:hyperlink r:id="rId1137" w:history="1">
        <w:r>
          <w:rPr>
            <w:rFonts w:ascii="arial" w:eastAsia="arial" w:hAnsi="arial" w:cs="arial"/>
            <w:i/>
            <w:color w:val="0077CC"/>
            <w:sz w:val="20"/>
            <w:u w:val="single"/>
            <w:shd w:val="clear" w:color="auto" w:fill="FFFFFF"/>
            <w:lang w:val="en-US" w:eastAsia="en-US" w:bidi="ar-SA"/>
          </w:rPr>
          <w:t>[1995] 2 S.C.R. 929</w:t>
        </w:r>
      </w:hyperlink>
      <w:r>
        <w:rPr>
          <w:rFonts w:ascii="arial" w:eastAsia="arial" w:hAnsi="arial" w:cs="arial"/>
          <w:color w:val="000000"/>
          <w:sz w:val="20"/>
          <w:lang w:val="en-US" w:eastAsia="en-US" w:bidi="ar-SA"/>
        </w:rPr>
        <w:t>, one of which was that courts of inherent jurisdiction may hear a case where a statutory appeal does not provide for an adequate remedy (at para.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 The third consideration is whether the arbitration process provided by the collective agreement can furnish an effective remedy for the dispute. The remedy need not be identical to that which the court would provide, but it must be responsive to the wrong complained of. The arbitration process does not acquire exclusive jurisdiction if the result is a real deprivation of any ultimate remedy. McLachlin J. put this point as follows in Weber at pp. 958-959 S.C.R.: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might occur that a remedy is required which the arbitrator is not empowered to grant. In such a case, the courts of inherent jurisdiction in each province may take jurisdiction. This Court in </w:t>
      </w:r>
      <w:r>
        <w:rPr>
          <w:rFonts w:ascii="arial" w:eastAsia="arial" w:hAnsi="arial" w:cs="arial"/>
          <w:i/>
          <w:color w:val="000000"/>
          <w:sz w:val="20"/>
          <w:lang w:val="en-US" w:eastAsia="en-US" w:bidi="ar-SA"/>
        </w:rPr>
        <w:t>St. Anne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Nackawic</w:t>
      </w:r>
      <w:r>
        <w:rPr>
          <w:rFonts w:ascii="arial" w:eastAsia="arial" w:hAnsi="arial" w:cs="arial"/>
          <w:color w:val="000000"/>
          <w:sz w:val="20"/>
          <w:lang w:val="en-US" w:eastAsia="en-US" w:bidi="ar-SA"/>
        </w:rPr>
        <w:t xml:space="preserve">, </w:t>
      </w:r>
      <w:hyperlink r:id="rId1138" w:history="1">
        <w:r>
          <w:rPr>
            <w:rFonts w:ascii="arial" w:eastAsia="arial" w:hAnsi="arial" w:cs="arial"/>
            <w:i/>
            <w:color w:val="0077CC"/>
            <w:sz w:val="20"/>
            <w:u w:val="single"/>
            <w:shd w:val="clear" w:color="auto" w:fill="FFFFFF"/>
            <w:lang w:val="en-US" w:eastAsia="en-US" w:bidi="ar-SA"/>
          </w:rPr>
          <w:t>[1986] 1 S.C.R. 704</w:t>
        </w:r>
      </w:hyperlink>
      <w:r>
        <w:rPr>
          <w:rFonts w:ascii="arial" w:eastAsia="arial" w:hAnsi="arial" w:cs="arial"/>
          <w:color w:val="000000"/>
          <w:sz w:val="20"/>
          <w:lang w:val="en-US" w:eastAsia="en-US" w:bidi="ar-SA"/>
        </w:rPr>
        <w:t xml:space="preserve">, confirmed that the New Brunswick Act did not oust the residual inherent jurisdiction of the superior courts to grant injunctions in labour matters (at p. 724). Similarly, the Court of Appeal of British Columbia in Moore v. British Columbia </w:t>
      </w:r>
      <w:hyperlink r:id="rId1139" w:history="1">
        <w:r>
          <w:rPr>
            <w:rFonts w:ascii="arial" w:eastAsia="arial" w:hAnsi="arial" w:cs="arial"/>
            <w:i/>
            <w:color w:val="0077CC"/>
            <w:sz w:val="20"/>
            <w:u w:val="single"/>
            <w:shd w:val="clear" w:color="auto" w:fill="FFFFFF"/>
            <w:lang w:val="en-US" w:eastAsia="en-US" w:bidi="ar-SA"/>
          </w:rPr>
          <w:t>(1988), 50 D.L.R. (4th) 29</w:t>
        </w:r>
      </w:hyperlink>
      <w:r>
        <w:rPr>
          <w:rFonts w:ascii="arial" w:eastAsia="arial" w:hAnsi="arial" w:cs="arial"/>
          <w:color w:val="000000"/>
          <w:sz w:val="20"/>
          <w:lang w:val="en-US" w:eastAsia="en-US" w:bidi="ar-SA"/>
        </w:rPr>
        <w:t>, at p. 38, accepted that the court's residual jurisdiction to grant a declaration was not ousted by the British Columbia labour legislation, although it declined to exercise that jurisdiction on the ground that the powers of the arbitrator were sufficient to remedy the wrong and that deference was owed to the labour tribunal. What must be avoided, to use the language of Estey J. in St. Anne Nackawic (at p. 723), is a "real deprivation of ultimate remedy". [Emphasis by Borins 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Further, at para. 94, Borins J.A. concluded that the remedy sought by the plaintiffs, being damages, was not not provided for in ss. 18 and 18.1 of the </w:t>
      </w:r>
      <w:r>
        <w:rPr>
          <w:rFonts w:ascii="arial" w:eastAsia="arial" w:hAnsi="arial" w:cs="arial"/>
          <w:i/>
          <w:color w:val="000000"/>
          <w:sz w:val="20"/>
          <w:lang w:val="en-US" w:eastAsia="en-US" w:bidi="ar-SA"/>
        </w:rPr>
        <w:t>Federal Courts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 To maintain that the Superior Court lacks jurisdiction over any of the claims, the Crown must fit the plaintiffs' claims squarely within s. 18(1). In my view, the Crown has failed to do so. Section 18 does not give the Federal Court the power to take away the jurisdiction of the Superior Court except for the remedies it emanates. Section 18 does not deal with procedure. It deals with remedies. In none of the cases is a remedy sought that comes within the prerogative writs or extraordinary remedies of s. 18. Section 18 does not empower the Federal Court to award damages, which are sought in each of the four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None of the </w:t>
      </w:r>
      <w:r>
        <w:rPr>
          <w:rFonts w:ascii="arial" w:eastAsia="arial" w:hAnsi="arial" w:cs="arial"/>
          <w:i/>
          <w:color w:val="000000"/>
          <w:sz w:val="20"/>
          <w:lang w:val="en-US" w:eastAsia="en-US" w:bidi="ar-SA"/>
        </w:rPr>
        <w:t>Transportation Appeal Tribunal of Canada 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Aeronautics Act</w:t>
      </w:r>
      <w:r>
        <w:rPr>
          <w:rFonts w:ascii="arial" w:eastAsia="arial" w:hAnsi="arial" w:cs="arial"/>
          <w:color w:val="000000"/>
          <w:sz w:val="20"/>
          <w:lang w:val="en-US" w:eastAsia="en-US" w:bidi="ar-SA"/>
        </w:rPr>
        <w:t xml:space="preserve">, and ss. 18 and 18.1 of the </w:t>
      </w:r>
      <w:r>
        <w:rPr>
          <w:rFonts w:ascii="arial" w:eastAsia="arial" w:hAnsi="arial" w:cs="arial"/>
          <w:i/>
          <w:color w:val="000000"/>
          <w:sz w:val="20"/>
          <w:lang w:val="en-US" w:eastAsia="en-US" w:bidi="ar-SA"/>
        </w:rPr>
        <w:t>Federal Courts Act</w:t>
      </w:r>
      <w:r>
        <w:rPr>
          <w:rFonts w:ascii="arial" w:eastAsia="arial" w:hAnsi="arial" w:cs="arial"/>
          <w:color w:val="000000"/>
          <w:sz w:val="20"/>
          <w:lang w:val="en-US" w:eastAsia="en-US" w:bidi="ar-SA"/>
        </w:rPr>
        <w:t xml:space="preserve"> provide for damages to be awarded for the common law torts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abuse of public office, malfeasance in public office, and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It may be difficult for the plaintiffs to prove that the defendants, having the undisputed authority to issue a Notice of Suspension and having the grounds to use that authority, were nonetheless negligent in invoking their authority when and how they did. It may be difficult for the plaintiffs to prove that the defendants were guilty of malfeasance when they issued a Notice of Suspension on the admitted basis that the plaintiffs' MCM failed to comply with Transport Canada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However, those are questions for the trial judge to decide. The question for me to decide is whether the plaintiffs ought to have the opportunity, in this court, to try to prove those allegations. I have concluded that they are entitled to that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Accordingly, the defendants' application to strike those portions of the further amended statement of claim dealing with the First Transport Canada Matter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costs of these applications will be to the plaintiffs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JOYCE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5" style="position:absolute;z-index:2518958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40"/>
          <w:headerReference w:type="default" r:id="rId1141"/>
          <w:footerReference w:type="even" r:id="rId1142"/>
          <w:footerReference w:type="default" r:id="rId1143"/>
          <w:headerReference w:type="first" r:id="rId1144"/>
          <w:footerReference w:type="first" r:id="rId114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46" w:history="1">
        <w:r>
          <w:rPr>
            <w:rFonts w:ascii="arial" w:eastAsia="arial" w:hAnsi="arial" w:cs="arial"/>
            <w:b/>
            <w:bCs/>
            <w:i/>
            <w:color w:val="0077CC"/>
            <w:kern w:val="32"/>
            <w:sz w:val="28"/>
            <w:szCs w:val="32"/>
            <w:u w:val="single"/>
            <w:shd w:val="clear" w:color="auto" w:fill="FFFFFF"/>
            <w:lang w:val="en-US" w:eastAsia="en-US" w:bidi="ar-SA"/>
          </w:rPr>
          <w:t>Friedrich (Litigation Guardian of) v. Vernon (City), [2008] B.C.J. No. 1749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 Barrow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25,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15,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37921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Vernon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1749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47" w:history="1">
        <w:r>
          <w:rPr>
            <w:rFonts w:ascii="arial" w:eastAsia="arial" w:hAnsi="arial" w:cs="arial"/>
            <w:i/>
            <w:color w:val="0077CC"/>
            <w:sz w:val="20"/>
            <w:u w:val="single"/>
            <w:shd w:val="clear" w:color="auto" w:fill="FFFFFF"/>
            <w:lang w:val="en-US" w:eastAsia="en-US" w:bidi="ar-SA"/>
          </w:rPr>
          <w:t>2008 BCSC 1243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47" w:history="1">
        <w:r>
          <w:rPr>
            <w:rFonts w:ascii="arial" w:eastAsia="arial" w:hAnsi="arial" w:cs="arial"/>
            <w:i/>
            <w:color w:val="0077CC"/>
            <w:sz w:val="20"/>
            <w:u w:val="single"/>
            <w:shd w:val="clear" w:color="auto" w:fill="FFFFFF"/>
            <w:lang w:val="en-US" w:eastAsia="en-US" w:bidi="ar-SA"/>
          </w:rPr>
          <w:t>49 M.P.L.R. (4th) 63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47" w:history="1">
        <w:r>
          <w:rPr>
            <w:rFonts w:ascii="arial" w:eastAsia="arial" w:hAnsi="arial" w:cs="arial"/>
            <w:i/>
            <w:color w:val="0077CC"/>
            <w:sz w:val="20"/>
            <w:u w:val="single"/>
            <w:shd w:val="clear" w:color="auto" w:fill="FFFFFF"/>
            <w:lang w:val="en-US" w:eastAsia="en-US" w:bidi="ar-SA"/>
          </w:rPr>
          <w:t>2008 CarswellBC 1933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47" w:history="1">
        <w:r>
          <w:rPr>
            <w:rFonts w:ascii="arial" w:eastAsia="arial" w:hAnsi="arial" w:cs="arial"/>
            <w:i/>
            <w:color w:val="0077CC"/>
            <w:sz w:val="20"/>
            <w:u w:val="single"/>
            <w:shd w:val="clear" w:color="auto" w:fill="FFFFFF"/>
            <w:lang w:val="en-US" w:eastAsia="en-US" w:bidi="ar-SA"/>
          </w:rPr>
          <w:t>171 A.C.W.S. (3d) 727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Nicholas Lee Friedrich, an infant, by his Litigation Guardian, Anne Rideout, plaintiff, and The Corporation of the City of Vernon, Anthony Joseph Shea, and Renata Michele Thom,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6"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2" w:name="Keywords_45"/>
      <w:bookmarkEnd w:id="322"/>
      <w:r>
        <w:rPr>
          <w:rFonts w:ascii="arial" w:eastAsia="arial" w:hAnsi="arial" w:cs="arial"/>
          <w:b/>
          <w:color w:val="000000"/>
          <w:sz w:val="20"/>
          <w:lang w:val="en-US" w:eastAsia="en-US" w:bidi="ar-SA"/>
        </w:rPr>
        <w:t xml:space="preserve">Civil litigation — Civil procedure — Judgments and orders — Summary judgments — To dismiss action — Plaintiff cyclist's action for damages for injuries sustained when struck by a motor vehicle summarily dismissed — The plaintiff was obliged to stop before crossing the road and failed to do so — The plaintiff failed to prove the defendant had time, distance and opportunity to take effective measures to counteract the effect of the plaintiff's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As for the liability of the defendant city, the path and the configuration of the surrounding roads did not create an objectively unreasonable risk of harm to the users of them, and it followed that the plaintiff's claim as against the city could not succeed.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Municipal law — Actions by and against — Actions against municipality — Plaintiff cyclist's action for damages for injuries sustained when struck by a motor vehicle summarily dismissed — The plaintiff was obliged to stop before crossing the road and failed to do so — The plaintiff failed to prove the defendant had time, distance and opportunity to take effective measures to counteract the effect of the plaintiff's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As for the liability of the defendant city, the path and the configuration of the surrounding roads did not create an objectively unreasonable risk of harm to the users of them, and it followed that the plaintiff's claim as against the city could not succeed.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Plaintiff cyclist's action for damages for injuries sustained when struck by a motor vehicle summarily dismissed — The plaintiff was obliged to stop before crossing the road and failed to do so — The plaintiff failed to prove the defendant had time, distance and opportunity to take effective measures to counteract the effect of the plaintiff's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As for the liability of the defendant city, the path and the configuration of the surrounding roads did not create an objectively unreasonable risk of harm to the users of them, and it followed that the plaintiff's claim as against the city could not succeed.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Rules of the road — Cyclists — Intersections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Plaintiff cyclist's action for damages for injuries sustained when struck by a motor vehicle summarily dismissed — The plaintiff was obliged to stop before crossing the road and failed to do so — The plaintiff failed to prove the defendant had time, distance and opportunity to take effective measures to counteract the effect of the plaintiff's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As for the liability of the defendant city, the path and the configuration of the surrounding roads did not create an objectively unreasonable risk of harm to the users of them, and it followed that the plaintiff's claim as against the city could not succeed.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3" w:name="Case Summary_44"/>
            <w:bookmarkEnd w:id="32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defendants to dismiss plaintiff's action alleging the defendants were negligent in relation to a June 22, 2005 accident. The plaintiff was injured while struck by the defendant's vehicle while riding his bicycle. The essence of the claim was that the defendant Shea failed to operate his vehicle with the standard of care demanded in the circumstances. The plaintiff alleged the defendant city was negligent in its design and construction of the roadway in question in that there were no traffic signals, no sidewalk or soft shoulder, that there was an unsafe narrow opening in the concrete adjacent to the service road along the curve in the roadway, etc., plus generally failing to take reasonable measures to render the intersection/roadway safe, failure to give warning of the dangerous and/or defective condition of the intersection, etc. The two issues on the application were: (1) whether the matter was suitable for summary disposition; whether the plaintiff had proven that either defendant was negligent; and (3) if so, whether liability ought to be apportioned between the defendant(s) and the plaintiff.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24" w:name="Holdings of Court_43"/>
            <w:bookmarkEnd w:id="324"/>
            <w:r>
              <w:rPr>
                <w:rFonts w:ascii="arial" w:eastAsia="arial" w:hAnsi="arial" w:cs="arial"/>
                <w:color w:val="000000"/>
                <w:sz w:val="20"/>
                <w:lang w:val="en-US" w:eastAsia="en-US" w:bidi="ar-SA"/>
              </w:rPr>
              <w:t>HELD: Action dismissed against all defendants, with costs at Scale B.</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not possible on the evidence to conclude that the defendant Shea did not signal sufficiently in advance of the turn to warn other traffic of his intention to do so. The path such as the one the plaintiff exited from was for the purposes of s. 176(2) of the Motor Vehicle Act, an "alley". Alternatively, common sense led inexorably to the conclusion that someone intending to cross a paved road other than at an intersection or crosswalk was obliged to first ascertain if it was safe to do so. It was beyond dispute that a cyclist intending to cross a road was obliged to use reasonable care. In these circumstances, the plaintiff was obliged to stop, and was negligent in failing to do so. There was no suggestion that the plaintiff was speeding. If there was a breach, it was that the defendant Shea, failed to appreciate the fact that the plaintiff might, in disregard for his own safety, ride across the road without stopping, into his path of travel. In the circumstances, the court was not satisfied that the plaintiff had proven by definitive evidence and on the balance of probabilities that the defendant had time, distance and opportunity to take effective measures to counteract the effect of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for the liability of the city, The path that gives access to Tronson Road was not in itself hazardous. Users of the path had an unobstructed view of traffic travelling in both directions along Tronson Road. Drivers on Tronson Road could see and react to pedestrians and cyclists who chose to cross the road at that location, provided they did so using reasonable care. The path and the configuration of the surrounding roads did not create an objectively unreasonable risk of harm to the users of them. It followed that the plaintiff's claim as against the city could not succeed.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5" w:name="Legislation Cited_33"/>
      <w:bookmarkEnd w:id="32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7"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1148" w:history="1">
        <w:r>
          <w:rPr>
            <w:rFonts w:ascii="arial" w:eastAsia="arial" w:hAnsi="arial" w:cs="arial"/>
            <w:i/>
            <w:color w:val="0077CC"/>
            <w:sz w:val="20"/>
            <w:u w:val="single"/>
            <w:shd w:val="clear" w:color="auto" w:fill="FFFFFF"/>
            <w:lang w:val="en-US" w:eastAsia="en-US" w:bidi="ar-SA"/>
          </w:rPr>
          <w:t>RSBC 1996, CHAPTER 318, s. 119</w:t>
        </w:r>
      </w:hyperlink>
      <w:r>
        <w:rPr>
          <w:rFonts w:ascii="arial" w:eastAsia="arial" w:hAnsi="arial" w:cs="arial"/>
          <w:color w:val="000000"/>
          <w:sz w:val="20"/>
          <w:lang w:val="en-US" w:eastAsia="en-US" w:bidi="ar-SA"/>
        </w:rPr>
        <w:t>, s. 170, s. 176(2), s. 183(1)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26" w:name="Counsel_46"/>
      <w:bookmarkEnd w:id="32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8" style="position:absolute;z-index:251808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M.J. Yawney.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City of Vernon: L.E.W. Barrett.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A.J. Shea and R.M. Thom: T. Decker.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7" w:name="Judgment_46"/>
      <w:bookmarkEnd w:id="327"/>
      <w:r>
        <w:pict>
          <v:line id="_x0000_s1259" style="position:absolute;z-index:2518589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8" w:name="G. BARROW J."/>
            <w:bookmarkEnd w:id="328"/>
            <w:r>
              <w:rPr>
                <w:rFonts w:ascii="arial" w:eastAsia="arial" w:hAnsi="arial" w:cs="arial"/>
                <w:b/>
                <w:color w:val="000000"/>
                <w:sz w:val="30"/>
                <w:lang w:val="en-US" w:eastAsia="en-US" w:bidi="ar-SA"/>
              </w:rPr>
              <w:t>G. BARROW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alleges that the defendants were negligent in relation to an accident that occurred on June 22, 2005. The defendants have applied under Rule 18A for dismissal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order to appreciate the issues, it is necessary to understand the geography and geometry of the roads and landmarks involved. There are three roads involved: Okanagan Landing Road, Tronson Road, and an access road. They form what might be described as a three-sided trapezoid, with the bottom base being the access road and the upper and parallel base being Okanagan Landing Road. Tronson Road is the right-hand leg of the figure. Okanagan Landing Road and Tronson Road intersect at an angle of approximately 135 degrees, such that for traffic on Okanagan Landing Road turning right onto Tronson Road, the turn is quite gradual. Okanagan Landing Road and the access road are about 20 meters apart and the area between them is grassed. The paved portion of the access road ends perhaps 10 or 15 meters before Tronson Road. The 10 or 15 meters between the end of the pavement and Tronson Road are covered with fine gravel and dirt which gradually dissipates such that the final several meters is no more than a path. The area is both flat and level. Drivers on Okanagan Landing Road have an unobstructed view of the access road, and those using the access road have a similarly unobstructed view of traffic on Okanagan Landing Road. Tronson Road is bounded by concrete no-post barriers between Okanagan Landing Road and the access road; in fact, the barriers extend along Tronson Road beyond the intersection with the path. There is a gap in those barriers of about four feet in width at the end of the path, such that pedestrians or cyclists travelling along the access road and then along the path can cross Tronson Road without stopping or having to climb over a barrier.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June 22, 2005, the plaintiff was riding his bicycle in the company of a friend, along the access road and in the direction of Tronson Road. The plaintiff rode between a gap in the barriers and, without stopping or looking to his left, proceeded across Tronson Road. The defendant, Mr. Shea, was driving along Okanagan Landing Road, basically parallel to the path of travel of the plaintiff. He turned right onto Tronson Road. Traffic on Okanagan Landing Road is not required to stop at the intersection of Tronson Road. Mr. Shea travelled the short distance along Tronson Road to the point where the path from the access road intersects it, and as he passed that point, the plaintiff emerged and was struck by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 was injured in the collision and has sued both the defendant driver and the City of Vernon (the "City").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against the defendant driver is multifaceted, but the essence of the claim is that he failed to operate his vehicle with the standard of care demanded in the circumstances. As against the City of Vernon, the plaintiff alleges that it was negligent in the following ways:</w:t>
      </w:r>
      <w:r>
        <w:rPr>
          <w:rFonts w:ascii="arial" w:eastAsia="arial" w:hAnsi="arial" w:cs="arial"/>
          <w:sz w:val="20"/>
          <w:lang w:val="en-US" w:eastAsia="en-US" w:bidi="ar-SA"/>
        </w:rPr>
        <w:cr/>
      </w:r>
    </w:p>
    <w:p>
      <w:pPr>
        <w:numPr>
          <w:numId w:val="2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design and construction of the roadway (Tronson Road &amp; Okanagan Landing Road) as follows: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traffic signals;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sidewalk or soft shoulder;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unsafe narrow opening in the concrete "no posts" adjacent to the service road along the curve in the roadway;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such other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may be advised.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any or any reasonable measures to render the said intersection and/or roadway safe to use when the Defendant ... knew or ought to have known that it was in a dangerous and/or defective condition and was liable to cause injury, damage and/or loss;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any or any reasonable measures, whether be way of examination, inspection, or test or otherwise, to ensure that the intersection was in a reasonable [sic] safe condition;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give the Plaintiff any or any adequate warning of the dangerous and/or defective condition of the said intersection;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such other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may be advised.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No other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"advised" in relation to the defendant municipality.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If the matter proceeds to trial, it will do so over eight days commencing in February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are two issues on this application. The first is whether the matter is suitable for disposition, either as against one or both of the defendants, under Rule 18A. If it is, the next issue is whether the plaintiff has proven that one or both of the defendants were negligent. If so, the final issue is whether liability ought to be apportioned as between the defendant or defendants and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Many, indeed most, of the circumstances surrounding the accident, and the design and maintenance of the road, are not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was born on August 25, 1990. He was just shy of his 15th birthday on the date of the accident and had just completed Grade 8. He has ridden bicycles since he was three years old. He races BMX bicycles recreationally. He was riding a BMX-style racing bicycle at the time of the accident. His bicycle was not equipped with a light, although it did have reflectors on the spokes of both wheels. Shortly after dinner on June 22, 2005, the plaintiff's friend, Kane Arkeral, came over to the plaintiff's house with his bicycle, also not equipped with a light. They decided to ride to a local fast food restaurant. After having a snack at the restaurant, they decided to ride to Kin Beach to join some of their friends. When they left the restaurant, it was still light out, although the sun was setting. It was warm and had rained earlier in the day. The pavement was still wet. They rode along the access road that parallels Okanagan Landing Road, planning to cross Tronson Road when they reached it. The access road was familiar to the plaintiff, in that he had both ridden and walked along it on several occasions prior to the accident. He knew that the access road had no post barriers at its terminus and that there was a gap between two of them wide enough to ride a bicycle through.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the plaintiff and Kane were riding along the access road, they were initially riding side by side. Before reaching Tronson Road, the plaintiff pulled ahead of his friend. He estimates that they were riding at a pace somewhere between walking and running. As he approached the barriers, it was his intention to ride between them and cross Tronson Road. Some distance before reaching Tronson Road, he looked to his left, in the direction of Okanagan Landing Road, and saw two vehicles: a black pickup truck followed by a car. The car was being driven by the defendant, Mr. Shea. The plaintiff cannot recall if either vehicle had their headlights on. He saw that the pickup truck was signalling to turn right onto Tronson Road, which would bring the pickup into or across his intended course of travel. The car did not have its turn indicator on when the plaintiff looked. The plaintiff assumed that it was not going to turn right onto Tronson Road and gave it no further thought. Faced with these unfolding events, the plaintiff slowed down a short distance before reaching Tronson Road so that the pickup truck would cross in front of him, and he would then be able to cross Tronson Road without stopping. Having done that, he then increased his speed. As he emerged from the path, the plaintiff looked to his right but not to his left. He passed through the gap in the no posts and proceeded to cross Tronson Road. He did not stop; in fact, as just noted, he increased his speed. He was almost at the center line on Tronson Road when he was struck by the defendant. He did not see the defendant prior to the collision, at least not since he had looked over to Okanagan Landing Road while he was still on the access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was not wearing a helmet. He was wearing a bright orange hoodie and jeans. There is no evidence from Kane and no evidence as to what he was wearing.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Mr. Shea, is 54 years old. He is a friend and tenant of the defendant, Ms. Thom, who owned the Oldsmobile Cutlass that Mr. Shea was driving at the time of the accident. He had been visiting Ms. Thom on the evening in question. Her son, Devan Shaw, wanted to visit a friend and Ms. Thom asked Mr. Shea if he would mind driving him. Mr. Shea agreed, and he and Mr. Shaw left the Thom residence at about 8:45 p.m., intending to drive to Kin Beach which is near where Mr. Shaw's friend lived. The uncontradicted evidence of Mr. Shea is that the headlights and turn signals on the Thom vehicle were working and that he turned his headlights on before leaving.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Shea travelled along Okanagan Landing Road intending to turn right onto Tronson Road. For vehicles traveling in the direction that Mr. Shea was traveling, the turn onto Tronson Road is relatively gradual. Mr. Shea's evidence is that neither he nor Mr. Shaw were in any particular hurry that evening, and as he proceeded along Okanagan Landing Road, he was travelling at between 50 and 60 kilometers per hour. The speed limit on Okanagan Landing Road is 50 kilometers per hour. It was still light out as he approached Tronson Road, and while he had his headlights on, he did not need them to see the road. He was following a black pickup truck, which was about three or four car lengths in front of him. He saw that it had activated its right turn signal as it approached Tronson Road, and Mr. Shea then did likewise. He slowed to approximately 20 to 25 kilometers per hour in preparation for the turn. He made the turn and was "about to straighten out" when he noticed a flash of silver approaching from his right. He braked immediately and swerved to the left. He came to a stop with the front his vehicle encroaching some two or three feet into the oncoming lane and the rear of the vehicle still in its proper lane of travel. It was only as the plaintiff rolled up onto the hood of the car that Mr. Shea realized the flash that he had seen was a cyclist. He had not seen the plaintiff at any point before he saw the flash of silver.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Shaw was just short of his 17th birthday on the date of the accident. He was riding in the front passenger seat of his mother's vehicle. He recalls leaving for his friend's house shortly before 9 p.m. He has deposed that Mr. Shea had his headlights on at the time of the accident. He too recalls the pickup truck that was in front of them as they approached the intersection of Tronson Road. As they approached that intersection, he was looking out the passenger window; neither he nor Mr. Shea were talking. He saw the two boys riding along the access road approaching Tronson Road. He noticed the pickup truck was slowing down to turn right onto Tronson Road, and Mr. Shea did likewise. He assumed the cyclists had stopped to allow the vehicles to pass along Tronson Road. Just before the collision, he saw the plaintiff "come flying in front" of their car. Mr. Shea braked at that moment but struck the plaintiff. He estimated that Mr. Shea was travelling about 20 kilometers per hour as he turned onto Tronson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 will deal first with the issue of whether the matter is suitable for resolution under Rule 18A in relation to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against the defendant driver, and then I will turn to the issue of the defendant driver's liability before addressing the claim against the City of Vernon.</w:t>
      </w:r>
      <w:r>
        <w:rPr>
          <w:rFonts w:ascii="arial" w:eastAsia="arial" w:hAnsi="arial" w:cs="arial"/>
          <w:sz w:val="20"/>
          <w:lang w:val="en-US" w:eastAsia="en-US" w:bidi="ar-SA"/>
        </w:rPr>
        <w:cr/>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Defendant Driver</w:t>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Suitability for Resolution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Rule 18A(1) provides that a party may apply for judgment under the Rule. Rule 18A(11) provides in its material parts as follows:</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an application under subrule (1), the court may</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1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1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argues that the matter is not suitable for resolution under the Rule because there is a conflict in the evidence, and thus the facts necessary to resolve the issues cannot be found. Further, the plaintiff argues that it would be unjust to decide the matter in this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Not all evidentiary conflicts will render a matter unsuitable for resolution under the Rule. It is only if those conflicts relate to a matter material to the cause and, if they cannot be resolved, that they may render it inappropriate to resolve the matter short of a traditional trial. It is thus necessary to first appreciate the nature of the plaintiff's claim because it is only by doing so that the material facts can be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claim as against the defendant driver rests on two propositions: first, he did not signal his intention to turn right onto Tronson Road in a timely manner; and second, he did not keep an adequate lookout for pedestrians or cyclists that may be crossing Tronson Road in front of him. It is in relation to the first proposition that it is argued there is a conflict in the evidence. There is no basis for concluding that the second proposition cannot be dealt with in the context of 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conflict in the evidence is not really a conflict at all; rather, it is a gap. That which the plaintiff characterizes as a conflict is whether, and if so when, the defendant driver activated his turn signal. There is no conflict on the issue of whether the defendant driver activated his signal. He has deposed that he did. His passenger has deposed likewise. The plaintiff does not and cannot deny that. All the plaintiff says is that when he looked at the defendant's vehicle, the turn signal was not on. What remains is a gap and that is when, not whether, the defendant activated his signal.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Section 170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provides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(1) If traffic may be affected by turning a vehicle, a person must not turn it without giving the appropriate signal under sections 171 and 172.</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signal of intention to turn right or left is required, a driver must give it continuously for sufficient distance before making the turn to warn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Whether the defendant driver signalled a "sufficient distance" before making the turn onto Tronson Road is a matter for the plaintiff to prove if he is to be successful in his claim based on this assertion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His evidence is that when he looked at the defendant's car, the signal light was not activated. He has not deposed as to where he was relative to Tronson Road when he looked. Nor is there any evidence from him as to how far the black pickup truck was from the intersection of Tronson Road when he looked over at it. The defendant driver has not deposed as to where he was relative to the turn when he put his signal on. He has, however, deposed that he was some three to four car lengths behind the pickup truck when it activated its turn signal. That evidence stands uncontradicted. Given that the plaintiff was riding at a "moderate speed", it is likely that he looked only briefly in the direction of Okanagan Landing Road. It is not possible to conclude that the defendant did not signal sufficiently in advance of the turn to warn other traffic of his intention to do so. This gap in the evidence does not render the matter unsuitable for resolution under the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Although the plaintiff argues that it would be "unjust" to resolve the question of the defendant driver's liability, he has not pointed to any specific way in which that is so. I am satisfied that it would not be unjust to resolve the issue of the defendant's liability in this manner, and I therefore propose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(ii) The Liability of the Defendant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Given that which I have already noted, I am satisfied that the plaintiff has not proven the defendant driver was negligent in not signalling his intention to turn in a timely way. In reaching this conclusion, I have assumed that the plaintiff's presence on the parallel access road was a factor to be taken into account in assessing the timeliness of his signalling, although that is far from clear. That leaves for consideration the issue of whether the defendant driver was negligent in failing to keep a proper lookout.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Before turning to the substance of this aspect of the claim, some further comment on the nature of the roads in the area is in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For drivers turning from Okanagan Landing Road onto Tronson Road, there is no traffic control device or sign. They can and are permitted to make the turn without stopping.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term "crosswalk" is defined in s. 119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"crosswalk"</w:t>
      </w:r>
      <w:r>
        <w:rPr>
          <w:rFonts w:ascii="arial" w:eastAsia="arial" w:hAnsi="arial" w:cs="arial"/>
          <w:color w:val="000000"/>
          <w:sz w:val="20"/>
          <w:lang w:val="en-US" w:eastAsia="en-US" w:bidi="ar-SA"/>
        </w:rPr>
        <w:t xml:space="preserve"> means</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portion of the roadway at an intersection or elsewhere distinctly indicated for pedestrian crossing by signs or by lines or other markings on the surface, or</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portion of a highway at an intersection that is included within the connection of the lateral lines of the sidewalks on the opposite sides of the highway, or within the extension of the lateral lines of the sidewalk on one side of the highway, measured from the curbs, or in the absence of curbs, from the edges of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Subparagraph (a) defines a marked crosswalk and subparagraph (b) defines an unmarked crosswalk. The location at which the plaintiff crossed Tronson Road is neither.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By s. 183(1)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cyclists have the same rights and duties as the driver of a motor vehicle. Section 176(2)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about to enter or cross a highway from an alley, lane, driveway, building or private road must yield the right of way to traffic approaching on the highway so closely that it constitutes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defendant driver argues that the plaintiff was emerging from an alley or lane when he entered Tronson Road and, therefore, was obliged to yield the right of way to him. The plaintiff argues that there is no evidence that the path which the plaintiff was using to access Tronson Road was a lane or alley, and thus the section does not apply. The word "path" does not appear in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neither "lane" nor "alley" are defined in it. They are to be given their ordinary meaning. The primary definition of "alley" in the </w:t>
      </w:r>
      <w:r>
        <w:rPr>
          <w:rFonts w:ascii="arial" w:eastAsia="arial" w:hAnsi="arial" w:cs="arial"/>
          <w:b/>
          <w:i/>
          <w:color w:val="000000"/>
          <w:sz w:val="20"/>
          <w:lang w:val="en-US" w:eastAsia="en-US" w:bidi="ar-SA"/>
        </w:rPr>
        <w:t>New Oxford Dictionary of English</w:t>
      </w:r>
      <w:r>
        <w:rPr>
          <w:rFonts w:ascii="arial" w:eastAsia="arial" w:hAnsi="arial" w:cs="arial"/>
          <w:color w:val="000000"/>
          <w:sz w:val="20"/>
          <w:lang w:val="en-US" w:eastAsia="en-US" w:bidi="ar-SA"/>
        </w:rPr>
        <w:t xml:space="preserve">, Oxford University Press (2001), is "a narrow passageway between or behind buildings". Its subsense is "a path lined with trees, bushes, or stones". Thus, in my view, a path such as the one here in issue is, for purposes of s. 176(2) an "alley". In any event, and ignoring the provisions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common sense leads inexorably to the conclusion that someone intending to cross a paved road other than at an intersection or crosswalk is obliged to first ascertain if it is safe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I understand the defendant driver's position, it is twofold: first that the plaintiff was negligent in crossing as he did; and second that the defendant was entitled to assume that the plaintiff or anyone else in his situation would obey the rules of the road. He argues that he was faced with a completely unforeseeable situation that he had no opportunity to avoid.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 determination of the respective rights and duties of the plaintiff and the defendant driver does not turn on the issue of whether the surface that the plaintiff was using to access Tronson Road was a "lane" or an "alley", although I am inclined to think it was. Rather, it can be resolved by reference to the authorities and common sense. As to the latter, it seems to me beyond dispute that a cyclist intending to cross a road is obliged to use reasonable care. If the circumstances are such that reasonable care dictates stopping to allow traffic to clear, then a cyclist is obliged to stop. Clearly here, the circumstances were such that the exercise of reasonable care obliged the plaintiff to stop. He was negligent in not doing so. While that is relevant to the determination of whether the defendant driver was negligent, it is not determinative of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case rests on the proposition that the defendant did not take reasonable care, and that lack of care gave rise to the accident. The plaintiff argues that he was there to be seen, and the defendant simply did not see him. It is not seriously contended that the plaintiff was not himself negligent, but rather he argues that the defendant was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support of his position, the plaintiff points to the fact that he was wearing a bright orange jacket. As he approached Tronson Road, he was riding at an oblique angle to the defendant driver's path of travel - that is neither parallel to the defendant's path nor perpendicular to it, but rather in a direction such that their paths would merge at an angle of about 45 degrees. He argues that from the defendant driver's perspective, the plaintiff was potentially visible both from a distance and for some time. There was nothing to obscure the defendant's view of the plaintiff and his path of travel. In addition, the plaintiff argues that given his age, the defendant was under a greater duty to take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There was, in my view, no elevated duty on the defendant because of the plaintiff's age. The area in which the accident occurred is not at or near a school, playground or similar area where the presence of children might reasonably be expected. There are no houses on Tronson Road or on Okanagan Landing Road for that matter. There are houses on the access road, but the one closest to Tronson Road is set well back and away from both roads. There are no signs in the area of the intersection of the path and Tronson Road indicating the possible presence of pedestrians or cyclists, never mind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 is no suggestion that the defendant was speeding; in fact, the uncontradicted evidence is that he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defendant driver points to the observations of Cartwright J. in </w:t>
      </w:r>
      <w:r>
        <w:rPr>
          <w:rFonts w:ascii="arial" w:eastAsia="arial" w:hAnsi="arial" w:cs="arial"/>
          <w:b/>
          <w:i/>
          <w:color w:val="000000"/>
          <w:sz w:val="20"/>
          <w:lang w:val="en-US" w:eastAsia="en-US" w:bidi="ar-SA"/>
        </w:rPr>
        <w:t>Walker v. Brownlee and Harmon</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w:t>
      </w:r>
      <w:r>
        <w:rPr>
          <w:rFonts w:ascii="arial" w:eastAsia="arial" w:hAnsi="arial" w:cs="arial"/>
          <w:b/>
          <w:i/>
          <w:color w:val="000000"/>
          <w:sz w:val="20"/>
          <w:lang w:val="en-US" w:eastAsia="en-US" w:bidi="ar-SA"/>
        </w:rPr>
        <w:t>Walker</w:t>
      </w:r>
      <w:r>
        <w:rPr>
          <w:rFonts w:ascii="arial" w:eastAsia="arial" w:hAnsi="arial" w:cs="arial"/>
          <w:color w:val="000000"/>
          <w:sz w:val="20"/>
          <w:lang w:val="en-US" w:eastAsia="en-US" w:bidi="ar-SA"/>
        </w:rPr>
        <w:t>]. Cartwright J. was one of six judges in the majority in that case. Locke J concurred with him. Rand J. wrote for himself and Fauteux J., while Kerwin J. and Estey J. each wrote separate judgements. At para. 49, Cartwright J.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decision of every motor vehicle collision case must depend on its particular facts, I am of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 xml:space="preserve"> [the source and origin of the evil].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Both Rand J. (at para. 22) and Kerwin J. (at para. 15) expressed similar views. This statement of the law has been repeated and adopted many times and most recently in this province by the Court of Appeal in </w:t>
      </w:r>
      <w:r>
        <w:rPr>
          <w:rFonts w:ascii="arial" w:eastAsia="arial" w:hAnsi="arial" w:cs="arial"/>
          <w:b/>
          <w:i/>
          <w:color w:val="000000"/>
          <w:sz w:val="20"/>
          <w:lang w:val="en-US" w:eastAsia="en-US" w:bidi="ar-SA"/>
        </w:rPr>
        <w:t>McIlvenna (Litigation Guardian of) v. Viebig</w:t>
      </w:r>
      <w:r>
        <w:rPr>
          <w:rFonts w:ascii="arial" w:eastAsia="arial" w:hAnsi="arial" w:cs="arial"/>
          <w:color w:val="000000"/>
          <w:sz w:val="20"/>
          <w:lang w:val="en-US" w:eastAsia="en-US" w:bidi="ar-SA"/>
        </w:rPr>
        <w:t xml:space="preserve"> </w:t>
      </w:r>
      <w:hyperlink r:id="rId1149" w:history="1">
        <w:r>
          <w:rPr>
            <w:rFonts w:ascii="arial" w:eastAsia="arial" w:hAnsi="arial" w:cs="arial"/>
            <w:i/>
            <w:color w:val="0077CC"/>
            <w:sz w:val="20"/>
            <w:u w:val="single"/>
            <w:shd w:val="clear" w:color="auto" w:fill="FFFFFF"/>
            <w:lang w:val="en-US" w:eastAsia="en-US" w:bidi="ar-SA"/>
          </w:rPr>
          <w:t>(2008), 78 B.C.L.R. (4th) 27</w:t>
        </w:r>
      </w:hyperlink>
      <w:r>
        <w:rPr>
          <w:rFonts w:ascii="arial" w:eastAsia="arial" w:hAnsi="arial" w:cs="arial"/>
          <w:color w:val="000000"/>
          <w:sz w:val="20"/>
          <w:lang w:val="en-US" w:eastAsia="en-US" w:bidi="ar-SA"/>
        </w:rPr>
        <w:t xml:space="preserve">, </w:t>
      </w:r>
      <w:hyperlink r:id="rId1149" w:history="1">
        <w:r>
          <w:rPr>
            <w:rFonts w:ascii="arial" w:eastAsia="arial" w:hAnsi="arial" w:cs="arial"/>
            <w:i/>
            <w:color w:val="0077CC"/>
            <w:sz w:val="20"/>
            <w:u w:val="single"/>
            <w:shd w:val="clear" w:color="auto" w:fill="FFFFFF"/>
            <w:lang w:val="en-US" w:eastAsia="en-US" w:bidi="ar-SA"/>
          </w:rPr>
          <w:t>2008 BCCA 105</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Bedwell v. McGill</w:t>
      </w:r>
      <w:r>
        <w:rPr>
          <w:rFonts w:ascii="arial" w:eastAsia="arial" w:hAnsi="arial" w:cs="arial"/>
          <w:color w:val="000000"/>
          <w:sz w:val="20"/>
          <w:lang w:val="en-US" w:eastAsia="en-US" w:bidi="ar-SA"/>
        </w:rPr>
        <w:t xml:space="preserve">, </w:t>
      </w:r>
      <w:hyperlink r:id="rId1150" w:history="1">
        <w:r>
          <w:rPr>
            <w:rFonts w:ascii="arial" w:eastAsia="arial" w:hAnsi="arial" w:cs="arial"/>
            <w:i/>
            <w:color w:val="0077CC"/>
            <w:sz w:val="20"/>
            <w:u w:val="single"/>
            <w:shd w:val="clear" w:color="auto" w:fill="FFFFFF"/>
            <w:lang w:val="en-US" w:eastAsia="en-US" w:bidi="ar-SA"/>
          </w:rPr>
          <w:t>2008 BCCA 6</w:t>
        </w:r>
      </w:hyperlink>
      <w:r>
        <w:rPr>
          <w:rFonts w:ascii="arial" w:eastAsia="arial" w:hAnsi="arial" w:cs="arial"/>
          <w:color w:val="000000"/>
          <w:sz w:val="20"/>
          <w:lang w:val="en-US" w:eastAsia="en-US" w:bidi="ar-SA"/>
        </w:rPr>
        <w:t xml:space="preserve"> at para. 58. Although the facts in </w:t>
      </w:r>
      <w:r>
        <w:rPr>
          <w:rFonts w:ascii="arial" w:eastAsia="arial" w:hAnsi="arial" w:cs="arial"/>
          <w:b/>
          <w:i/>
          <w:color w:val="000000"/>
          <w:sz w:val="20"/>
          <w:lang w:val="en-US" w:eastAsia="en-US" w:bidi="ar-SA"/>
        </w:rPr>
        <w:t>Walker</w:t>
      </w:r>
      <w:r>
        <w:rPr>
          <w:rFonts w:ascii="arial" w:eastAsia="arial" w:hAnsi="arial" w:cs="arial"/>
          <w:color w:val="000000"/>
          <w:sz w:val="20"/>
          <w:lang w:val="en-US" w:eastAsia="en-US" w:bidi="ar-SA"/>
        </w:rPr>
        <w:t xml:space="preserve"> involved the duties of drivers at intersections, the principle applies with equal if not greater force to the duties of drivers approaching one another at places other than intersections.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 argues that he was the dominant driver and that the plaintiff, as the servient driver, had a statutory and common law duty to yield the right-of-way to him. Applying Cartwright J.'s dictum to the parties in this case, the plaintiff must show that after the defendant became aware, or by the exercise of reasonable care should have become aware, of the plaintiff's likely disregard for the law, he (that is, the defendant) had sufficient opportunity to avoid the collision using reasonable care and skill.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defendant driver also points to </w:t>
      </w:r>
      <w:r>
        <w:rPr>
          <w:rFonts w:ascii="arial" w:eastAsia="arial" w:hAnsi="arial" w:cs="arial"/>
          <w:b/>
          <w:i/>
          <w:color w:val="000000"/>
          <w:sz w:val="20"/>
          <w:lang w:val="en-US" w:eastAsia="en-US" w:bidi="ar-SA"/>
        </w:rPr>
        <w:t>Salgado (Guardian ad litem of) v. Maynard</w:t>
      </w:r>
      <w:r>
        <w:rPr>
          <w:rFonts w:ascii="arial" w:eastAsia="arial" w:hAnsi="arial" w:cs="arial"/>
          <w:color w:val="000000"/>
          <w:sz w:val="20"/>
          <w:lang w:val="en-US" w:eastAsia="en-US" w:bidi="ar-SA"/>
        </w:rPr>
        <w:t xml:space="preserve">, </w:t>
      </w:r>
      <w:hyperlink r:id="rId1151" w:history="1">
        <w:r>
          <w:rPr>
            <w:rFonts w:ascii="arial" w:eastAsia="arial" w:hAnsi="arial" w:cs="arial"/>
            <w:i/>
            <w:color w:val="0077CC"/>
            <w:sz w:val="20"/>
            <w:u w:val="single"/>
            <w:shd w:val="clear" w:color="auto" w:fill="FFFFFF"/>
            <w:lang w:val="en-US" w:eastAsia="en-US" w:bidi="ar-SA"/>
          </w:rPr>
          <w:t>2007 BCSC 1628</w:t>
        </w:r>
      </w:hyperlink>
      <w:r>
        <w:rPr>
          <w:rFonts w:ascii="arial" w:eastAsia="arial" w:hAnsi="arial" w:cs="arial"/>
          <w:color w:val="000000"/>
          <w:sz w:val="20"/>
          <w:lang w:val="en-US" w:eastAsia="en-US" w:bidi="ar-SA"/>
        </w:rPr>
        <w:t xml:space="preserve">. In that case, the 13-year-old plaintiff was riding her bicycle eastbound along the sidewalk on the south side of East 57th Avenue. As she approached a marked crosswalk giving access to the north side of East 57th Avenue, she rode into the crosswalk and was struck by the defendant who was also driving eastbound on East 57th. Goepel J. dismissed the plaintiff's claim. In doing so, he cited the passage reproduced above from </w:t>
      </w:r>
      <w:r>
        <w:rPr>
          <w:rFonts w:ascii="arial" w:eastAsia="arial" w:hAnsi="arial" w:cs="arial"/>
          <w:b/>
          <w:i/>
          <w:color w:val="000000"/>
          <w:sz w:val="20"/>
          <w:lang w:val="en-US" w:eastAsia="en-US" w:bidi="ar-SA"/>
        </w:rPr>
        <w:t>Walker</w:t>
      </w:r>
      <w:r>
        <w:rPr>
          <w:rFonts w:ascii="arial" w:eastAsia="arial" w:hAnsi="arial" w:cs="arial"/>
          <w:color w:val="000000"/>
          <w:sz w:val="20"/>
          <w:lang w:val="en-US" w:eastAsia="en-US" w:bidi="ar-SA"/>
        </w:rPr>
        <w:t>. He accepted the evidence of the independent witnesses to the accident who deposed that there were cars parked along the south side of the street that the plaintiff was crossing, and when she emerged from behind one of them, the defendant had no time to stop. The situation in the matter at hand is somewhat different. The plaintiff's presence, as he approached Tronson Road, was not obscured otherwise than by the concrete no-posts.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final case to which the defendant driver refers is </w:t>
      </w:r>
      <w:r>
        <w:rPr>
          <w:rFonts w:ascii="arial" w:eastAsia="arial" w:hAnsi="arial" w:cs="arial"/>
          <w:b/>
          <w:i/>
          <w:color w:val="000000"/>
          <w:sz w:val="20"/>
          <w:lang w:val="en-US" w:eastAsia="en-US" w:bidi="ar-SA"/>
        </w:rPr>
        <w:t>Kerr (Litigation Guardian of) v. Creighton</w:t>
      </w:r>
      <w:r>
        <w:rPr>
          <w:rFonts w:ascii="arial" w:eastAsia="arial" w:hAnsi="arial" w:cs="arial"/>
          <w:color w:val="000000"/>
          <w:sz w:val="20"/>
          <w:lang w:val="en-US" w:eastAsia="en-US" w:bidi="ar-SA"/>
        </w:rPr>
        <w:t xml:space="preserve"> </w:t>
      </w:r>
      <w:hyperlink r:id="rId1152" w:history="1">
        <w:r>
          <w:rPr>
            <w:rFonts w:ascii="arial" w:eastAsia="arial" w:hAnsi="arial" w:cs="arial"/>
            <w:i/>
            <w:color w:val="0077CC"/>
            <w:sz w:val="20"/>
            <w:u w:val="single"/>
            <w:shd w:val="clear" w:color="auto" w:fill="FFFFFF"/>
            <w:lang w:val="en-US" w:eastAsia="en-US" w:bidi="ar-SA"/>
          </w:rPr>
          <w:t>(2008), 77 B.C.L.R. (4th) 322</w:t>
        </w:r>
      </w:hyperlink>
      <w:r>
        <w:rPr>
          <w:rFonts w:ascii="arial" w:eastAsia="arial" w:hAnsi="arial" w:cs="arial"/>
          <w:color w:val="000000"/>
          <w:sz w:val="20"/>
          <w:lang w:val="en-US" w:eastAsia="en-US" w:bidi="ar-SA"/>
        </w:rPr>
        <w:t xml:space="preserve">; </w:t>
      </w:r>
      <w:hyperlink r:id="rId1152" w:history="1">
        <w:r>
          <w:rPr>
            <w:rFonts w:ascii="arial" w:eastAsia="arial" w:hAnsi="arial" w:cs="arial"/>
            <w:i/>
            <w:color w:val="0077CC"/>
            <w:sz w:val="20"/>
            <w:u w:val="single"/>
            <w:shd w:val="clear" w:color="auto" w:fill="FFFFFF"/>
            <w:lang w:val="en-US" w:eastAsia="en-US" w:bidi="ar-SA"/>
          </w:rPr>
          <w:t>2008 BCCA 75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Kerr</w:t>
      </w:r>
      <w:r>
        <w:rPr>
          <w:rFonts w:ascii="arial" w:eastAsia="arial" w:hAnsi="arial" w:cs="arial"/>
          <w:color w:val="000000"/>
          <w:sz w:val="20"/>
          <w:lang w:val="en-US" w:eastAsia="en-US" w:bidi="ar-SA"/>
        </w:rPr>
        <w:t xml:space="preserve">]. In that case, the trial judge found the plaintiff to be 85 percent liable and the defendant to be 15 percent liable. The Court of Appeal allowed an appeal and dismissed the case as against the defendant. The accident involved a collision between the 21-year-old plaintiff cyclist and the defendant driver. Both the defendant driver and the cyclist were travelling north along Mount Seymour Road. The plaintiff turned to his left to cross the road, perhaps in the marked crosswalk, and was struck by the defendant. The issue turned on whether the defendant had sufficient time to take effective action to avoid the collision. The Court of Appeal concluded that it had not been proven that he did. In coming to this conclusion, they made reference to </w:t>
      </w:r>
      <w:r>
        <w:rPr>
          <w:rFonts w:ascii="arial" w:eastAsia="arial" w:hAnsi="arial" w:cs="arial"/>
          <w:b/>
          <w:i/>
          <w:color w:val="000000"/>
          <w:sz w:val="20"/>
          <w:lang w:val="en-US" w:eastAsia="en-US" w:bidi="ar-SA"/>
        </w:rPr>
        <w:t>Haase v. Pedro</w:t>
      </w:r>
      <w:r>
        <w:rPr>
          <w:rFonts w:ascii="arial" w:eastAsia="arial" w:hAnsi="arial" w:cs="arial"/>
          <w:color w:val="000000"/>
          <w:sz w:val="20"/>
          <w:lang w:val="en-US" w:eastAsia="en-US" w:bidi="ar-SA"/>
        </w:rPr>
        <w:t xml:space="preserve"> </w:t>
      </w:r>
      <w:hyperlink r:id="rId1153" w:history="1">
        <w:r>
          <w:rPr>
            <w:rFonts w:ascii="arial" w:eastAsia="arial" w:hAnsi="arial" w:cs="arial"/>
            <w:i/>
            <w:color w:val="0077CC"/>
            <w:sz w:val="20"/>
            <w:u w:val="single"/>
            <w:shd w:val="clear" w:color="auto" w:fill="FFFFFF"/>
            <w:lang w:val="en-US" w:eastAsia="en-US" w:bidi="ar-SA"/>
          </w:rPr>
          <w:t>(1970), 21 B.C.L.R. (2d) 273</w:t>
        </w:r>
      </w:hyperlink>
      <w:r>
        <w:rPr>
          <w:rFonts w:ascii="arial" w:eastAsia="arial" w:hAnsi="arial" w:cs="arial"/>
          <w:color w:val="000000"/>
          <w:sz w:val="20"/>
          <w:lang w:val="en-US" w:eastAsia="en-US" w:bidi="ar-SA"/>
        </w:rPr>
        <w:t xml:space="preserve"> (C.A.). That case has no factual similarity to the matter at bar, involving as it did an action by a plaintiff who had lost control of his vehicle, which skidded into the oncoming lane and was struck by the defendant. However, the principle expressed in it, and adopted in </w:t>
      </w:r>
      <w:r>
        <w:rPr>
          <w:rFonts w:ascii="arial" w:eastAsia="arial" w:hAnsi="arial" w:cs="arial"/>
          <w:b/>
          <w:i/>
          <w:color w:val="000000"/>
          <w:sz w:val="20"/>
          <w:lang w:val="en-US" w:eastAsia="en-US" w:bidi="ar-SA"/>
        </w:rPr>
        <w:t>Kerr</w:t>
      </w:r>
      <w:r>
        <w:rPr>
          <w:rFonts w:ascii="arial" w:eastAsia="arial" w:hAnsi="arial" w:cs="arial"/>
          <w:color w:val="000000"/>
          <w:sz w:val="20"/>
          <w:lang w:val="en-US" w:eastAsia="en-US" w:bidi="ar-SA"/>
        </w:rPr>
        <w:t>, is apt. At para. 56, Tysoe J.A.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for [the plaintiff] to establish by definitive evidence and on the balance of probabilities that the appellant had time, distance and opportunity to take effective measures to counteract the effect of his, the respondent's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both </w:t>
      </w:r>
      <w:r>
        <w:rPr>
          <w:rFonts w:ascii="arial" w:eastAsia="arial" w:hAnsi="arial" w:cs="arial"/>
          <w:b/>
          <w:i/>
          <w:color w:val="000000"/>
          <w:sz w:val="20"/>
          <w:lang w:val="en-US" w:eastAsia="en-US" w:bidi="ar-SA"/>
        </w:rPr>
        <w:t>Kerr</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Haase</w:t>
      </w:r>
      <w:r>
        <w:rPr>
          <w:rFonts w:ascii="arial" w:eastAsia="arial" w:hAnsi="arial" w:cs="arial"/>
          <w:color w:val="000000"/>
          <w:sz w:val="20"/>
          <w:lang w:val="en-US" w:eastAsia="en-US" w:bidi="ar-SA"/>
        </w:rPr>
        <w:t>, there was expert evidence on the issue of the time between possible perception and the point of the collision. There is no such evidence in the matter at bar; rather, the plaintiff relies on the geography of the scene and the unobstructed view that the defendant had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Before leaving the authorities, I will deal with the one case to which I have been referred by the plaintiff. In </w:t>
      </w:r>
      <w:r>
        <w:rPr>
          <w:rFonts w:ascii="arial" w:eastAsia="arial" w:hAnsi="arial" w:cs="arial"/>
          <w:b/>
          <w:i/>
          <w:color w:val="000000"/>
          <w:sz w:val="20"/>
          <w:lang w:val="en-US" w:eastAsia="en-US" w:bidi="ar-SA"/>
        </w:rPr>
        <w:t>Nakayama (Guardian ad litem of) v. Taylor</w:t>
      </w:r>
      <w:r>
        <w:rPr>
          <w:rFonts w:ascii="arial" w:eastAsia="arial" w:hAnsi="arial" w:cs="arial"/>
          <w:color w:val="000000"/>
          <w:sz w:val="20"/>
          <w:lang w:val="en-US" w:eastAsia="en-US" w:bidi="ar-SA"/>
        </w:rPr>
        <w:t xml:space="preserve">, </w:t>
      </w:r>
      <w:hyperlink r:id="rId1154" w:history="1">
        <w:r>
          <w:rPr>
            <w:rFonts w:ascii="arial" w:eastAsia="arial" w:hAnsi="arial" w:cs="arial"/>
            <w:i/>
            <w:color w:val="0077CC"/>
            <w:sz w:val="20"/>
            <w:u w:val="single"/>
            <w:shd w:val="clear" w:color="auto" w:fill="FFFFFF"/>
            <w:lang w:val="en-US" w:eastAsia="en-US" w:bidi="ar-SA"/>
          </w:rPr>
          <w:t>[1997] B.C.J. No. 788</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Nakayama</w:t>
      </w:r>
      <w:r>
        <w:rPr>
          <w:rFonts w:ascii="arial" w:eastAsia="arial" w:hAnsi="arial" w:cs="arial"/>
          <w:color w:val="000000"/>
          <w:sz w:val="20"/>
          <w:lang w:val="en-US" w:eastAsia="en-US" w:bidi="ar-SA"/>
        </w:rPr>
        <w:t xml:space="preserve">], the 12-year-old plaintiff was riding a bicycle along a residential street. He was weaving from side to side. The defendant, riding a motorcycle, approached the plaintiff from behind. He sounded his horn and because the plaintiff was, according to the defendant, in the oncoming lane, he decided to pass him. The plaintiff then veered back across the defendant's lane of travel and was struck. The case turned on whether the defendant had the opportunity to avoid the plaintiff. Boyd J. concluded that he did. The plaintiff was driving his bicycle erratically and that was apparent to the defendant. The plaintiff was young and the defendant knew that. The accident occurred in the area of a playground. There was a "heavy onus" on the defendant to take particular care in those circumstances (para. 15). He did not meet that onus and was fixed with 60 percent fault. This case is not of much assistance in resolving the issue at hand. The issue here is whether the defendant did, or should have, seen the plaintiff, and if so, whether he had an opportunity to take effective action to avoid the collision. Those issues were not in play in </w:t>
      </w:r>
      <w:r>
        <w:rPr>
          <w:rFonts w:ascii="arial" w:eastAsia="arial" w:hAnsi="arial" w:cs="arial"/>
          <w:b/>
          <w:i/>
          <w:color w:val="000000"/>
          <w:sz w:val="20"/>
          <w:lang w:val="en-US" w:eastAsia="en-US" w:bidi="ar-SA"/>
        </w:rPr>
        <w:t>Nakayama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While the authorities are helpful to the extent that they establish principles of law, this case, like all cases, falls to be decided on the basis of the application of those principles to the facts. The passage from </w:t>
      </w:r>
      <w:r>
        <w:rPr>
          <w:rFonts w:ascii="arial" w:eastAsia="arial" w:hAnsi="arial" w:cs="arial"/>
          <w:b/>
          <w:i/>
          <w:color w:val="000000"/>
          <w:sz w:val="20"/>
          <w:lang w:val="en-US" w:eastAsia="en-US" w:bidi="ar-SA"/>
        </w:rPr>
        <w:t>Walker</w:t>
      </w:r>
      <w:r>
        <w:rPr>
          <w:rFonts w:ascii="arial" w:eastAsia="arial" w:hAnsi="arial" w:cs="arial"/>
          <w:color w:val="000000"/>
          <w:sz w:val="20"/>
          <w:lang w:val="en-US" w:eastAsia="en-US" w:bidi="ar-SA"/>
        </w:rPr>
        <w:t xml:space="preserve"> raises two issues. The first is whether a breach of a duty has been established. The second is whether that breach was the cause of the accident. The duty is to take reasonable care. It is assessed in light of the fact that the danger which the reasonable care is to avoid is one created by the plaintiff. If that duty is breached, it is only actionable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once the danger is or should have been perceived, the defendant had the time necessary to take effective action to avoid the consequences. The plaintiff argues that the latter aspect of the equation is not particularly in issue because, given the situation that the defendant faced, he had ample time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There is one distinction between </w:t>
      </w:r>
      <w:r>
        <w:rPr>
          <w:rFonts w:ascii="arial" w:eastAsia="arial" w:hAnsi="arial" w:cs="arial"/>
          <w:b/>
          <w:i/>
          <w:color w:val="000000"/>
          <w:sz w:val="20"/>
          <w:lang w:val="en-US" w:eastAsia="en-US" w:bidi="ar-SA"/>
        </w:rPr>
        <w:t>Kerr</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Salgado</w:t>
      </w:r>
      <w:r>
        <w:rPr>
          <w:rFonts w:ascii="arial" w:eastAsia="arial" w:hAnsi="arial" w:cs="arial"/>
          <w:color w:val="000000"/>
          <w:sz w:val="20"/>
          <w:lang w:val="en-US" w:eastAsia="en-US" w:bidi="ar-SA"/>
        </w:rPr>
        <w:t xml:space="preserve"> on the one hand, and this case on the other. In both of those cases, the defendant driver was approaching a marked crosswalk. That circumstance would give rise in the mind of a reasonable driver to the possibility of cyclists or pedestrians crossing the road. In the matter at hand, there was no crosswalk and no intersection; there was nothing to alert the defendant driver of the possibility of a cyclist or pedestrian attempting to cross the road. In effect,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in the matter at hand was greater than that of the plaintiffs in the cases referred to, and that is something to weigh in the balance in assessing the defendant driver's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argues that the defendant driver knew there was a dirt path between the concrete no-post barriers and Tronson Road and, thus, should have been aware of the possibility that the plaintiff would use it to cross Tronson Road. This proposition is said to arise from the defendant driver's examination for discovery evidence where he was asked what the distance was between the frontage road and the point of impact. He answered, "three, maybe four feet, maybe, cause there's a little dirt path which is about a foot wide, and then you're onto the road". I do not take from this passage that the defendant driver knew of the existence of the path prior to the accident. He may have but that is not clear from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defendant's primary obligation is to pay attention to the road ahead of him and the traffic on or approaching it. His failure to see the plaintiff as he proceeded along Okanagan Landing Road is not a breach of the duty to take care. The plaintiff was not on the road the defendant was on and presented no hazard to him nor did he present a hazard to the plaintiff. If there is a breach, it is that the defendant, once he had turned onto Tronson Road, failed to appreciate the fact that the plaintiff might, in disregard for his own safety, ride across the road without stopping, into the his path of travel. That is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 driver's evidence is that he had just turned onto Tronson Road and was "about to straighten out his steering wheel" when he saw a "flash" and the collision happened. He was traveling about 20 or 25 kilometers per hour. The defendant was obliged when turning, as when driving along Okanagan Landing Road, to pay attention to the road and the traffic on it. It was only after he was close to completing his turn that his ordinary field of vision would have been such that the plaintiff was within it. On the evidence, that point would have been very close to the actual collision. I recognize that there is no evidence as to when the plaintiff would have been within the defendant driver's field of vision, or how much time would pass between that point and the point of impact given the defendant driver's speed and the plaintiff's speed. Evidence of that kind may assist the plaintiff's case, but to the extent that is so, it is for the plaintiff to lead it. I note in passing that the plaintiff's expert on the design of the area in question notes at p. 8 of his report that the "skewed intersection makes crossing more dangerous for pedestrians/cyclists since they are outside the usual driving field of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Finally, I recognize that the uncontradicted evidence of the plaintiff is that he was almost at the center line on Tronson Road when he was hit. This is a circumstance that, while relevant to the issue, is not particularly helpful. First, the plaintiff was travelling quickly, at something approaching the speed of a runner. Second, it is not clear what "almost at the center line" means with any precision. What is clear is that he would have travelled the distance between the gap between the no-post barriers to the point of impact in a short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these circumstances I am not satisfied that, in the language of Tysoe J.A., the plaintiff has proven "by definitive evidence and on the balance of probabilities that the [defendant] had time, distance and opportunity to take effective measures to counteract the effect" of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claim against the defendant driver must therefore be dismissed.</w:t>
      </w:r>
      <w:r>
        <w:rPr>
          <w:rFonts w:ascii="arial" w:eastAsia="arial" w:hAnsi="arial" w:cs="arial"/>
          <w:sz w:val="20"/>
          <w:lang w:val="en-US" w:eastAsia="en-US" w:bidi="ar-SA"/>
        </w:rPr>
        <w:cr/>
      </w:r>
    </w:p>
    <w:p>
      <w:pPr>
        <w:numPr>
          <w:numId w:val="1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Defendant City</w:t>
      </w:r>
    </w:p>
    <w:p>
      <w:pPr>
        <w:numPr>
          <w:numId w:val="1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Suitability for Resolution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argues that it would be unjust to deal with the issue of the City's liability because of the possible contribution issues that may arise as between it and the defendant driver. Given the conclusion I have reached regarding that defendant driver, this is not a reason to decline to deal with the City's liability in this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There are no conflicts on the evidence in relation to the City's liability, and there is nothing in the circumstances that would render it unjust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(ii) The Liability of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gravamen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against the City is that the configuration of the roads in the vicinity of the accident, combined with the gap in the concrete no-post at the end of the path giving access to Tronson Road, created a risk that the City knew or ought to have known about and remedied. Their failure to reconfigure the area, or erect signs warning drivers and users of the path of the danger, or even to simply close the gap in the no-post barrier,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City acquired the area in question from the Province in 1993. It is in the same condition now as it was then with the exception that the City erected a stop sign for traffic travelling along Tronson Road and seeking to turn left onto Okanagan Landing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commissioned an expert report from Mr. Navin, a civil engineer with expertise in the design and safety of roads. His opinion is that traffic turning off Okanagan Landing Road onto Tronson Road can "easily" make that turn maintaining a speed of 60 kilometers per hour. There is a convenience store across Tronson Road from the point where the path intersects it, and this is an "attraction" for pedestrians and cyclists. He is of the view that pedestrians and cyclists are "encouraged" to cross Tronson Road at the point where the plaintiff did due to the gap in the no-post barrier. Based on these conclusions, he applied the Canadian Road Safety Audit Procedures to estimate the risk rating for this "crossing". The first part of that process involves an assessment of the likely consequences of a collision. In the case of a collision between a pedestrian or cyclist and a motorist travelling at the speed which motorists are able to travel when approaching the "crossing", the consequences are likely to be "extreme". The second part of the analysis, as I understand it, seeks to combine the likely consequences with the risk of a collision happening with the result being the "crash risk assessment". Mr. Navin notes three "confounding" factors in the design of this area. The first is the speed with which drivers can negotiate the corner onto Tronson Road. The second is the "skewed" layout of the intersection which makes crossing Tronson Road by pedestrians or cyclists more dangerous. The third is the fact that the "crossing" is about 30 meters from the intersection of Tronson Road and Okanagan Landing Road and, thus, is not in a location where drivers would ordinarily anticipate it. All of these factors increase the risk of an accident and lead Mr. Navin to conclude that the City should have erected a sign to warn drivers of the "crossing" and closed the gap in the no-post barrier.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Before leaving Mr. Navin's evidence, it bears noting that although he refers to the area as a "crossing", it is not a crosswalk. It is neither marked as such, nor does it fall within the definition of an unmarked crosswalk under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It is simply a rough path not built as such by the City, or the Province before the City, but rather created through use by pedestrians and cyclists. There is no evidence as to how frequently it is used. The only evidence is that until this unfortunate accident, no similar accident had occurred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evidence on behalf of the City is found in the affidavits of Laurie MacKay, the City's traffic technician, and Mr. Fargher, the public works foreman.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Laurie MacKay's evidence is that when the City acquired the roads in question, the Province did not indicate that there were any safety concerns known to it about the intersection and the path. She deposed that she relies on collision data from the R.C.M.P. and the Insurance Corporation of British Columbia to determine if there is a need to upgrade or change a particular road configuration. She exhibited to her affidavit a spreadsheet in which the data for the area between 1998 (when records first began to be kept) to 2005, and those records do not disclose any accident similar to that in question. Further, she deposed that she receives complainants from the public about traffic safety matters, and the only complaints she has received about the area of Tronson Road and Okanagan Landing Road is from drivers who wish to turn from Tronson Road onto Okanagan Landing Road and who have complained about the length of time they are required to wait to do that. Mr. Fargher has deposed that he too sometimes receives complaints from the public, and the only ones he has received in relation to this area are similar to those Laurie MacKay received. I note in passing that, after this accident, the City installed another no-post barrier, thus closing the gap that the plaintiff used. That, however, is not telling, one way or the other, on the issue of the City's liability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also relies on the examination for discovery evidence of Mr. Holowachuk, the City's manager of planning development and engineering services. His evidence is that there is no specific policy at the City as to how funds are allocated towards competing road improvement needs. In terms of assessing the safety of particular roads or intersections, he echoed the evidence of the other City employees, that is, they rely on accident data from the Insurance Corporation of British Columbia to evaluate safety. As to the particular intersection in question, he testified that it met the Province's standards when it was built, but it does not meet the standards the City now applies. Precisely how it does not meet those standards, or what those standards are, is not clear from his discovery evidence or any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City does not argue that it did not owe a duty of care to the plaintiff. Rather, as I understand its argument, it is that, having inherited the land in question from the Province, it was under no duty to upgrade it. This issue arises from the evidence on discovery of Mr. Holowachuk. Authority for this proposition is said to be found in </w:t>
      </w:r>
      <w:r>
        <w:rPr>
          <w:rFonts w:ascii="arial" w:eastAsia="arial" w:hAnsi="arial" w:cs="arial"/>
          <w:b/>
          <w:i/>
          <w:color w:val="000000"/>
          <w:sz w:val="20"/>
          <w:lang w:val="en-US" w:eastAsia="en-US" w:bidi="ar-SA"/>
        </w:rPr>
        <w:t>Jakobsons v. Wall Financial Corp.</w:t>
      </w:r>
      <w:r>
        <w:rPr>
          <w:rFonts w:ascii="arial" w:eastAsia="arial" w:hAnsi="arial" w:cs="arial"/>
          <w:color w:val="000000"/>
          <w:sz w:val="20"/>
          <w:lang w:val="en-US" w:eastAsia="en-US" w:bidi="ar-SA"/>
        </w:rPr>
        <w:t xml:space="preserve">, </w:t>
      </w:r>
      <w:hyperlink r:id="rId1155" w:history="1">
        <w:r>
          <w:rPr>
            <w:rFonts w:ascii="arial" w:eastAsia="arial" w:hAnsi="arial" w:cs="arial"/>
            <w:i/>
            <w:color w:val="0077CC"/>
            <w:sz w:val="20"/>
            <w:u w:val="single"/>
            <w:shd w:val="clear" w:color="auto" w:fill="FFFFFF"/>
            <w:lang w:val="en-US" w:eastAsia="en-US" w:bidi="ar-SA"/>
          </w:rPr>
          <w:t>[1998] B.C.J. No. 1641</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Jakobsons</w:t>
      </w:r>
      <w:r>
        <w:rPr>
          <w:rFonts w:ascii="arial" w:eastAsia="arial" w:hAnsi="arial" w:cs="arial"/>
          <w:color w:val="000000"/>
          <w:sz w:val="20"/>
          <w:lang w:val="en-US" w:eastAsia="en-US" w:bidi="ar-SA"/>
        </w:rPr>
        <w:t xml:space="preserve">]. Further, it argues that its system of monitoring was a reasonable one, and one that has been found to be such in other cases, including </w:t>
      </w:r>
      <w:r>
        <w:rPr>
          <w:rFonts w:ascii="arial" w:eastAsia="arial" w:hAnsi="arial" w:cs="arial"/>
          <w:b/>
          <w:i/>
          <w:color w:val="000000"/>
          <w:sz w:val="20"/>
          <w:lang w:val="en-US" w:eastAsia="en-US" w:bidi="ar-SA"/>
        </w:rPr>
        <w:t>Ibaraki v. Ramford</w:t>
      </w:r>
      <w:r>
        <w:rPr>
          <w:rFonts w:ascii="arial" w:eastAsia="arial" w:hAnsi="arial" w:cs="arial"/>
          <w:color w:val="000000"/>
          <w:sz w:val="20"/>
          <w:lang w:val="en-US" w:eastAsia="en-US" w:bidi="ar-SA"/>
        </w:rPr>
        <w:t xml:space="preserve">, </w:t>
      </w:r>
      <w:hyperlink r:id="rId1156" w:history="1">
        <w:r>
          <w:rPr>
            <w:rFonts w:ascii="arial" w:eastAsia="arial" w:hAnsi="arial" w:cs="arial"/>
            <w:i/>
            <w:color w:val="0077CC"/>
            <w:sz w:val="20"/>
            <w:u w:val="single"/>
            <w:shd w:val="clear" w:color="auto" w:fill="FFFFFF"/>
            <w:lang w:val="en-US" w:eastAsia="en-US" w:bidi="ar-SA"/>
          </w:rPr>
          <w:t>[1996] B.C.J. No. 724</w:t>
        </w:r>
      </w:hyperlink>
      <w:r>
        <w:rPr>
          <w:rFonts w:ascii="arial" w:eastAsia="arial" w:hAnsi="arial" w:cs="arial"/>
          <w:color w:val="000000"/>
          <w:sz w:val="20"/>
          <w:lang w:val="en-US" w:eastAsia="en-US" w:bidi="ar-SA"/>
        </w:rPr>
        <w:t xml:space="preserve"> (S.C.). Next, and flowing from the foregoing, the City argues that there was no basis from which it can be argued that it was aware or, with the exercise of reasonable care, ought to have been aware that the signage or lack of signage or the configuration of the roads and the path were such that they posed a risk to pedestrians or cyclists, which triggered the need to take corrective measures. Finally, the City argues that if it was in breach of its duty to the plaintiff, the plaintiff still cannot succeed because he has not proven that the breach caused the injuries he sustained. Support for the latter two propositions is said to be found in </w:t>
      </w:r>
      <w:r>
        <w:rPr>
          <w:rFonts w:ascii="arial" w:eastAsia="arial" w:hAnsi="arial" w:cs="arial"/>
          <w:b/>
          <w:i/>
          <w:color w:val="000000"/>
          <w:sz w:val="20"/>
          <w:lang w:val="en-US" w:eastAsia="en-US" w:bidi="ar-SA"/>
        </w:rPr>
        <w:t>Harrington (Guardian ad litem) v. Latta</w:t>
      </w:r>
      <w:r>
        <w:rPr>
          <w:rFonts w:ascii="arial" w:eastAsia="arial" w:hAnsi="arial" w:cs="arial"/>
          <w:color w:val="000000"/>
          <w:sz w:val="20"/>
          <w:lang w:val="en-US" w:eastAsia="en-US" w:bidi="ar-SA"/>
        </w:rPr>
        <w:t xml:space="preserve">, </w:t>
      </w:r>
      <w:hyperlink r:id="rId1157" w:history="1">
        <w:r>
          <w:rPr>
            <w:rFonts w:ascii="arial" w:eastAsia="arial" w:hAnsi="arial" w:cs="arial"/>
            <w:i/>
            <w:color w:val="0077CC"/>
            <w:sz w:val="20"/>
            <w:u w:val="single"/>
            <w:shd w:val="clear" w:color="auto" w:fill="FFFFFF"/>
            <w:lang w:val="en-US" w:eastAsia="en-US" w:bidi="ar-SA"/>
          </w:rPr>
          <w:t>[1984] B.C.J. No. 367</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Because of the conclusion I have reached on the general issue of the City's liability, it is not necessary to address the issues relating to the duty to upgrade or the adequacy of the monitoring system the City uses in deciding whether to make improvements to its roads.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Turning to the more general issue, because the City does not deny that it owed a duty to the plaintiff, the distinction between operational and policy decisions which sometimes bedevils the law does not arise (see </w:t>
      </w:r>
      <w:r>
        <w:rPr>
          <w:rFonts w:ascii="arial" w:eastAsia="arial" w:hAnsi="arial" w:cs="arial"/>
          <w:b/>
          <w:i/>
          <w:color w:val="000000"/>
          <w:sz w:val="20"/>
          <w:lang w:val="en-US" w:eastAsia="en-US" w:bidi="ar-SA"/>
        </w:rPr>
        <w:t>Just v. British Columbia</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xml:space="preserve"> at para. 28). Given the existence of a duty of care, the issue of liability falls to be decided upon the application of traditional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principles. The analysis was expressed by Cory J. in </w:t>
      </w:r>
      <w:r>
        <w:rPr>
          <w:rFonts w:ascii="arial" w:eastAsia="arial" w:hAnsi="arial" w:cs="arial"/>
          <w:b/>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at para. 28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Conduct is negligent if it creates an objectively unreasonable risk of harm. To avoid liability, a person must exercise the standard of care that would be expected of an ordinary, reasonable and prudent person in the same circumstances. The measure of what is reasonable depends on the facts of each case, including the likelihood of a known or foreseeable harm, the gravity of that harm, and the burden or cost which would be incurred to prevent the injury. In addition, one may look to external indicators of reasonable conduct, such as custom, industry practice, and statutory or regulatory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A municipality has a duty to maintain roads in a reasonably safe condition. The duty extends to taking reasonable steps to prevent injury to users of the roads caused by hazardous conditions (see </w:t>
      </w:r>
      <w:r>
        <w:rPr>
          <w:rFonts w:ascii="arial" w:eastAsia="arial" w:hAnsi="arial" w:cs="arial"/>
          <w:b/>
          <w:i/>
          <w:color w:val="000000"/>
          <w:sz w:val="20"/>
          <w:lang w:val="en-US" w:eastAsia="en-US" w:bidi="ar-SA"/>
        </w:rPr>
        <w:t>Rimmer (Guardian ad litem of) v. Langley (Township)</w:t>
      </w:r>
      <w:r>
        <w:rPr>
          <w:rFonts w:ascii="arial" w:eastAsia="arial" w:hAnsi="arial" w:cs="arial"/>
          <w:color w:val="000000"/>
          <w:sz w:val="20"/>
          <w:lang w:val="en-US" w:eastAsia="en-US" w:bidi="ar-SA"/>
        </w:rPr>
        <w:t xml:space="preserve"> </w:t>
      </w:r>
      <w:hyperlink r:id="rId1158" w:history="1">
        <w:r>
          <w:rPr>
            <w:rFonts w:ascii="arial" w:eastAsia="arial" w:hAnsi="arial" w:cs="arial"/>
            <w:i/>
            <w:color w:val="0077CC"/>
            <w:sz w:val="20"/>
            <w:u w:val="single"/>
            <w:shd w:val="clear" w:color="auto" w:fill="FFFFFF"/>
            <w:lang w:val="en-US" w:eastAsia="en-US" w:bidi="ar-SA"/>
          </w:rPr>
          <w:t>(2006), 21 M.P.L.R. (4th) 288</w:t>
        </w:r>
      </w:hyperlink>
      <w:r>
        <w:rPr>
          <w:rFonts w:ascii="arial" w:eastAsia="arial" w:hAnsi="arial" w:cs="arial"/>
          <w:color w:val="000000"/>
          <w:sz w:val="20"/>
          <w:lang w:val="en-US" w:eastAsia="en-US" w:bidi="ar-SA"/>
        </w:rPr>
        <w:t xml:space="preserve">; </w:t>
      </w:r>
      <w:hyperlink r:id="rId1158" w:history="1">
        <w:r>
          <w:rPr>
            <w:rFonts w:ascii="arial" w:eastAsia="arial" w:hAnsi="arial" w:cs="arial"/>
            <w:i/>
            <w:color w:val="0077CC"/>
            <w:sz w:val="20"/>
            <w:u w:val="single"/>
            <w:shd w:val="clear" w:color="auto" w:fill="FFFFFF"/>
            <w:lang w:val="en-US" w:eastAsia="en-US" w:bidi="ar-SA"/>
          </w:rPr>
          <w:t>2006 BCSC 703</w:t>
        </w:r>
      </w:hyperlink>
      <w:r>
        <w:rPr>
          <w:rFonts w:ascii="arial" w:eastAsia="arial" w:hAnsi="arial" w:cs="arial"/>
          <w:color w:val="000000"/>
          <w:sz w:val="20"/>
          <w:lang w:val="en-US" w:eastAsia="en-US" w:bidi="ar-SA"/>
        </w:rPr>
        <w:t>, at para. 92 and the authorities cited therein). Hazardous conditions may be transitory, such as the presence of ice or debris on the road, or more permanent, such as those arising from the design or configuration of the roads.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duty on a municipality does not render it an insurer of those that use its roads. The duty was expressed by in </w:t>
      </w:r>
      <w:r>
        <w:rPr>
          <w:rFonts w:ascii="arial" w:eastAsia="arial" w:hAnsi="arial" w:cs="arial"/>
          <w:b/>
          <w:i/>
          <w:color w:val="000000"/>
          <w:sz w:val="20"/>
          <w:lang w:val="en-US" w:eastAsia="en-US" w:bidi="ar-SA"/>
        </w:rPr>
        <w:t>Fafard v. Quebec (City)</w:t>
      </w:r>
      <w:r>
        <w:rPr>
          <w:rFonts w:ascii="arial" w:eastAsia="arial" w:hAnsi="arial" w:cs="arial"/>
          <w:color w:val="000000"/>
          <w:sz w:val="20"/>
          <w:lang w:val="en-US" w:eastAsia="en-US" w:bidi="ar-SA"/>
        </w:rPr>
        <w:t xml:space="preserve"> (1918), 39 D.L.R. 717 at p. 718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municipal corporation is not an insurer of travellers using its streets; its duty is to use reasonable care to keep its streets in a reasonably safe condition for ordinary travel </w:t>
      </w:r>
      <w:r>
        <w:rPr>
          <w:rFonts w:ascii="arial" w:eastAsia="arial" w:hAnsi="arial" w:cs="arial"/>
          <w:color w:val="000000"/>
          <w:sz w:val="20"/>
          <w:u w:val="single"/>
          <w:lang w:val="en-US" w:eastAsia="en-US" w:bidi="ar-SA"/>
        </w:rPr>
        <w:t>by persons exercising ordinary care for their own safety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color w:val="000000"/>
          <w:sz w:val="20"/>
          <w:u w:val="single"/>
          <w:lang w:val="en-US" w:eastAsia="en-US" w:bidi="ar-SA"/>
        </w:rPr>
        <w:t>emphasis added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This proposition was recently adopted by Bastarache J. (albeit in dissent but not in relation to this issue) in </w:t>
      </w:r>
      <w:r>
        <w:rPr>
          <w:rFonts w:ascii="arial" w:eastAsia="arial" w:hAnsi="arial" w:cs="arial"/>
          <w:b/>
          <w:i/>
          <w:color w:val="000000"/>
          <w:sz w:val="20"/>
          <w:lang w:val="en-US" w:eastAsia="en-US" w:bidi="ar-SA"/>
        </w:rPr>
        <w:t>Housen v. Nikolaisen</w:t>
      </w:r>
      <w:r>
        <w:rPr>
          <w:rFonts w:ascii="arial" w:eastAsia="arial" w:hAnsi="arial" w:cs="arial"/>
          <w:color w:val="000000"/>
          <w:sz w:val="20"/>
          <w:lang w:val="en-US" w:eastAsia="en-US" w:bidi="ar-SA"/>
        </w:rPr>
        <w:t xml:space="preserve">, </w:t>
      </w:r>
      <w:hyperlink r:id="rId1159" w:history="1">
        <w:r>
          <w:rPr>
            <w:rFonts w:ascii="arial" w:eastAsia="arial" w:hAnsi="arial" w:cs="arial"/>
            <w:i/>
            <w:color w:val="0077CC"/>
            <w:sz w:val="20"/>
            <w:u w:val="single"/>
            <w:shd w:val="clear" w:color="auto" w:fill="FFFFFF"/>
            <w:lang w:val="en-US" w:eastAsia="en-US" w:bidi="ar-SA"/>
          </w:rPr>
          <w:t>[2002] 2 S.C.R. 235</w:t>
        </w:r>
      </w:hyperlink>
      <w:r>
        <w:rPr>
          <w:rFonts w:ascii="arial" w:eastAsia="arial" w:hAnsi="arial" w:cs="arial"/>
          <w:color w:val="000000"/>
          <w:sz w:val="20"/>
          <w:lang w:val="en-US" w:eastAsia="en-US" w:bidi="ar-SA"/>
        </w:rPr>
        <w:t xml:space="preserve"> at para. 115 (see also </w:t>
      </w:r>
      <w:r>
        <w:rPr>
          <w:rFonts w:ascii="arial" w:eastAsia="arial" w:hAnsi="arial" w:cs="arial"/>
          <w:b/>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1160" w:history="1">
        <w:r>
          <w:rPr>
            <w:rFonts w:ascii="arial" w:eastAsia="arial" w:hAnsi="arial" w:cs="arial"/>
            <w:i/>
            <w:color w:val="0077CC"/>
            <w:sz w:val="20"/>
            <w:u w:val="single"/>
            <w:shd w:val="clear" w:color="auto" w:fill="FFFFFF"/>
            <w:lang w:val="en-US" w:eastAsia="en-US" w:bidi="ar-SA"/>
          </w:rPr>
          <w:t>(1994), 21 M.P.L.R. (2d) 148</w:t>
        </w:r>
      </w:hyperlink>
      <w:r>
        <w:rPr>
          <w:rFonts w:ascii="arial" w:eastAsia="arial" w:hAnsi="arial" w:cs="arial"/>
          <w:color w:val="000000"/>
          <w:sz w:val="20"/>
          <w:lang w:val="en-US" w:eastAsia="en-US" w:bidi="ar-SA"/>
        </w:rPr>
        <w:t xml:space="preserve"> (B.C.S.C.) at paras. 153 and 154). The majority in </w:t>
      </w:r>
      <w:r>
        <w:rPr>
          <w:rFonts w:ascii="arial" w:eastAsia="arial" w:hAnsi="arial" w:cs="arial"/>
          <w:b/>
          <w:i/>
          <w:color w:val="000000"/>
          <w:sz w:val="20"/>
          <w:lang w:val="en-US" w:eastAsia="en-US" w:bidi="ar-SA"/>
        </w:rPr>
        <w:t>Housen</w:t>
      </w:r>
      <w:r>
        <w:rPr>
          <w:rFonts w:ascii="arial" w:eastAsia="arial" w:hAnsi="arial" w:cs="arial"/>
          <w:color w:val="000000"/>
          <w:sz w:val="20"/>
          <w:lang w:val="en-US" w:eastAsia="en-US" w:bidi="ar-SA"/>
        </w:rPr>
        <w:t xml:space="preserve"> adopted a similar test where at para. 38 they quoted with approval the following statement of the law from </w:t>
      </w:r>
      <w:r>
        <w:rPr>
          <w:rFonts w:ascii="arial" w:eastAsia="arial" w:hAnsi="arial" w:cs="arial"/>
          <w:b/>
          <w:i/>
          <w:color w:val="000000"/>
          <w:sz w:val="20"/>
          <w:lang w:val="en-US" w:eastAsia="en-US" w:bidi="ar-SA"/>
        </w:rPr>
        <w:t>Partridge v. Rural Municipality of Langenburg</w:t>
      </w:r>
      <w:r>
        <w:rPr>
          <w:rFonts w:ascii="arial" w:eastAsia="arial" w:hAnsi="arial" w:cs="arial"/>
          <w:color w:val="000000"/>
          <w:sz w:val="20"/>
          <w:lang w:val="en-US" w:eastAsia="en-US" w:bidi="ar-SA"/>
        </w:rPr>
        <w:t xml:space="preserve">, </w:t>
      </w:r>
      <w:hyperlink r:id="rId1161" w:history="1">
        <w:r>
          <w:rPr>
            <w:rFonts w:ascii="arial" w:eastAsia="arial" w:hAnsi="arial" w:cs="arial"/>
            <w:i/>
            <w:color w:val="0077CC"/>
            <w:sz w:val="20"/>
            <w:u w:val="single"/>
            <w:shd w:val="clear" w:color="auto" w:fill="FFFFFF"/>
            <w:lang w:val="en-US" w:eastAsia="en-US" w:bidi="ar-SA"/>
          </w:rPr>
          <w:t>[1929] 3 W.W.R. 555</w:t>
        </w:r>
      </w:hyperlink>
      <w:r>
        <w:rPr>
          <w:rFonts w:ascii="arial" w:eastAsia="arial" w:hAnsi="arial" w:cs="arial"/>
          <w:color w:val="000000"/>
          <w:sz w:val="20"/>
          <w:lang w:val="en-US" w:eastAsia="en-US" w:bidi="ar-SA"/>
        </w:rPr>
        <w:t xml:space="preserve"> (Sask. C.A.) where at pp. 558-559, Martin J.A.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extent of the statutory obligation placed upon municipal corporations to keep in repair the highways under their jurisdiction, has been variously stated in numerous reported cases. There is, however, a general rule which may be gathered from the decisions, and that is, that the road must be kept in such a reasonable state of repair that those requiring to use it may, </w:t>
      </w:r>
      <w:r>
        <w:rPr>
          <w:rFonts w:ascii="arial" w:eastAsia="arial" w:hAnsi="arial" w:cs="arial"/>
          <w:color w:val="000000"/>
          <w:sz w:val="20"/>
          <w:u w:val="single"/>
          <w:lang w:val="en-US" w:eastAsia="en-US" w:bidi="ar-SA"/>
        </w:rPr>
        <w:t>exercising ordinary care</w:t>
      </w:r>
      <w:r>
        <w:rPr>
          <w:rFonts w:ascii="arial" w:eastAsia="arial" w:hAnsi="arial" w:cs="arial"/>
          <w:color w:val="000000"/>
          <w:sz w:val="20"/>
          <w:lang w:val="en-US" w:eastAsia="en-US" w:bidi="ar-SA"/>
        </w:rPr>
        <w:t>, travel upon it with safety.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color w:val="000000"/>
          <w:sz w:val="20"/>
          <w:u w:val="single"/>
          <w:lang w:val="en-US" w:eastAsia="en-US" w:bidi="ar-SA"/>
        </w:rPr>
        <w:t>emphasis added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Although expressed in terms of the statutory framework that governed the municipality in that case, the proposition applies generally as a matter of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point to be drawn from the foregoing is that a municipality's duty extends to maintaining and configuring its roads, such that they are safe for use by someone using ordinary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facts in both </w:t>
      </w:r>
      <w:r>
        <w:rPr>
          <w:rFonts w:ascii="arial" w:eastAsia="arial" w:hAnsi="arial" w:cs="arial"/>
          <w:b/>
          <w:i/>
          <w:color w:val="000000"/>
          <w:sz w:val="20"/>
          <w:lang w:val="en-US" w:eastAsia="en-US" w:bidi="ar-SA"/>
        </w:rPr>
        <w:t>Housen</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Aberdeen v. Langley (Township)</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[2007] B.C.J. No. 1515</w:t>
        </w:r>
      </w:hyperlink>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2007 BCSC 993</w:t>
        </w:r>
      </w:hyperlink>
      <w:r>
        <w:rPr>
          <w:rFonts w:ascii="arial" w:eastAsia="arial" w:hAnsi="arial" w:cs="arial"/>
          <w:color w:val="000000"/>
          <w:sz w:val="20"/>
          <w:lang w:val="en-US" w:eastAsia="en-US" w:bidi="ar-SA"/>
        </w:rPr>
        <w:t xml:space="preserve"> (now under appeal), serve to illustrate this point and can be contrasted to the situation at hand. In </w:t>
      </w:r>
      <w:r>
        <w:rPr>
          <w:rFonts w:ascii="arial" w:eastAsia="arial" w:hAnsi="arial" w:cs="arial"/>
          <w:b/>
          <w:i/>
          <w:color w:val="000000"/>
          <w:sz w:val="20"/>
          <w:lang w:val="en-US" w:eastAsia="en-US" w:bidi="ar-SA"/>
        </w:rPr>
        <w:t>Housen</w:t>
      </w:r>
      <w:r>
        <w:rPr>
          <w:rFonts w:ascii="arial" w:eastAsia="arial" w:hAnsi="arial" w:cs="arial"/>
          <w:color w:val="000000"/>
          <w:sz w:val="20"/>
          <w:lang w:val="en-US" w:eastAsia="en-US" w:bidi="ar-SA"/>
        </w:rPr>
        <w:t xml:space="preserve">, the plaintiff was injured when the driver of the car he was travelling in lost control while descending a hill and attempting to negotiate a sharp corner. The trial judge found the driver and the municipality liable. The municipality's liability was based on the trial judge's conclusion that the road in question contained a hidden hazard (the sharp curve), which a motorist exercising reasonable care would be unable to react to in time to avoid an accident. The majority of the Supreme Court agreed with that conclusion. Even though the defendant driver in </w:t>
      </w:r>
      <w:r>
        <w:rPr>
          <w:rFonts w:ascii="arial" w:eastAsia="arial" w:hAnsi="arial" w:cs="arial"/>
          <w:b/>
          <w:i/>
          <w:color w:val="000000"/>
          <w:sz w:val="20"/>
          <w:lang w:val="en-US" w:eastAsia="en-US" w:bidi="ar-SA"/>
        </w:rPr>
        <w:t>Housen</w:t>
      </w:r>
      <w:r>
        <w:rPr>
          <w:rFonts w:ascii="arial" w:eastAsia="arial" w:hAnsi="arial" w:cs="arial"/>
          <w:color w:val="000000"/>
          <w:sz w:val="20"/>
          <w:lang w:val="en-US" w:eastAsia="en-US" w:bidi="ar-SA"/>
        </w:rPr>
        <w:t xml:space="preserve"> was negligent (he was both impaired and speeding), the municipality was liable because, even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driver's part, the hazard existed and contributed to the plaintiff's injuries. In </w:t>
      </w:r>
      <w:r>
        <w:rPr>
          <w:rFonts w:ascii="arial" w:eastAsia="arial" w:hAnsi="arial" w:cs="arial"/>
          <w:b/>
          <w:i/>
          <w:color w:val="000000"/>
          <w:sz w:val="20"/>
          <w:lang w:val="en-US" w:eastAsia="en-US" w:bidi="ar-SA"/>
        </w:rPr>
        <w:t>Aberdeen</w:t>
      </w:r>
      <w:r>
        <w:rPr>
          <w:rFonts w:ascii="arial" w:eastAsia="arial" w:hAnsi="arial" w:cs="arial"/>
          <w:color w:val="000000"/>
          <w:sz w:val="20"/>
          <w:lang w:val="en-US" w:eastAsia="en-US" w:bidi="ar-SA"/>
        </w:rPr>
        <w:t>, the plaintiff cyclist was travelling down a hill on a road intended to accommodate cyclists in the defendant municipality. There was a guardrail to the plaintiff's right for part of the hill and concrete no-post barriers for the remainder. There was a gap between where the guardrail ended and the no-post barriers began. The plaintiff, who was not negligent in the manner in which he was operating his bicycle, was forced onto the right shoulder by an oncoming vehicle. He came into contact with the guardrail just before the gap, and his momentum propelled him through the gap and down a steep embankment. The municipality was found liable both because it created the gap and failed to remedy what it should, with the exercise of reasonable care, have appreciated was a hazard. Thus, in both of these cases, a user of the road was presented with a hazard that was a hazard for anyone exercising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situation in the matter at hand is different. The path that gives access to Tronson Road is not in itself hazardous. Users of the path have an unobstructed view of traffic travelling in both directions along Tronson Road. Drivers on Tronson Road can see and react to pedestrians and cyclists who choose to cross the road at that location, provided they do so using reasonable care. The path and the configuration of the surrounding roads did not, in my view, create an objectively unreasonable risk of harm to the users of them. It follows that the plaintiff's claim as against the City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It follows from the foregoing that this action must be, and is, dismissed as against all defendants. Unless there is something touching on the issue of costs that the parties wish to address, the defendants are entitled to their costs at Scale B. In the event there is an issue relating to costs, the parties are at liberty to set it down through the trial coordinator and I will hear the matter by telephone.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G.M. BARROW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60" style="position:absolute;z-index:251896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62"/>
          <w:headerReference w:type="default" r:id="rId1163"/>
          <w:footerReference w:type="even" r:id="rId1164"/>
          <w:footerReference w:type="default" r:id="rId1165"/>
          <w:headerReference w:type="first" r:id="rId1166"/>
          <w:footerReference w:type="first" r:id="rId116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68" w:history="1">
        <w:r>
          <w:rPr>
            <w:rFonts w:ascii="arial" w:eastAsia="arial" w:hAnsi="arial" w:cs="arial"/>
            <w:b/>
            <w:bCs/>
            <w:i/>
            <w:color w:val="0077CC"/>
            <w:kern w:val="32"/>
            <w:sz w:val="28"/>
            <w:szCs w:val="32"/>
            <w:u w:val="single"/>
            <w:shd w:val="clear" w:color="auto" w:fill="FFFFFF"/>
            <w:lang w:val="en-US" w:eastAsia="en-US" w:bidi="ar-SA"/>
          </w:rPr>
          <w:t>Hans v. Volvo Trucks North America Inc., [2016] B.C.J. No. 1318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Davies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11-15, 18-22, 25-29, February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1-5, 9, 11, 12, 15-19,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23,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S099074, S151942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1318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1155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99 M.V.R. (6th) 185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268 A.C.W.S. (3d) 894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CarswellBC 1749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Amandeep Hans and Pavandeep Hans, Plaintiffs, and Volvo Trucks North America Inc., National Truck Centre Inc. dba Pacific Coast Heavy Truck Group, VFS Canada Inc. dba Volvo Financial Services and N. Yanke Transfer Ltd., Defendants And between Her Majesty The Queen In Right Of the Province Of British Columbia, Plaintiffs, and Volvo Trucks North America Inc., National Truck Centre Inc. dba Pacific Coast Heavy Truck Group, VFS Canada Inc. dba Volvo Financial Services and N. Yanke Transfer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(847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61"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9" w:name="Keywords_46"/>
      <w:bookmarkEnd w:id="329"/>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Causation — Causal connection — Action by Amandeep and Pavandeep Hans ("plaintiffs") for damages for personal injuries sustained in motor vehicle accident allowed — Plaintiffs were driving tractor trailer truck manufactured by Volvo when truck lost all electrical power — Plaintiff lost control of vehicle, and truck ended up in ditch — Nut on cab positive terminal of truck was negligently installed by Volvo — Volvo breached its duty to warn plaintiffs of potential of catastrophic electrical failure arising from supply and Volvo's installation of hardware that was not specified by Volvo in respect of critical joint — Collision was caused by loose nut.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For personal injuries — Considerations — Extent of incapacity — Cost of future care — Loss of earning capacity — Non-pecuniary loss — Pain and suffering — Action by Amandeep and Pavandeep Hans ("plaintiffs") for damages for personal injuries sustained in motor vehicle accident allowed — Mr. Hans developed post-traumatic stress disorder following collision he and Mrs. Hans were in while driving transport truck — Mrs. Hans was awarded non-pecuniary damages in amount of $15,000, in-trust award in amount of $165,000, and damages for past loss of income earning capacity of $172,826 — Mr. Hans was awarded non-pecuniary damages of $265,000, $1,781,000 for cost of his future care and supervision, and $292,500 for past loss of income earning capacity — Total collective loss of income earning capacity suffered by Mr. and Mrs. Hans as consequence of collision and their inability to implement and operate new trucking venture was $2,885,000.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30" w:name="Case Summary_45"/>
            <w:bookmarkEnd w:id="33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Amandeep and Pavandeep Hans (the "plaintiffs") for damages for personal injuries sustained in a motor vehicle accident. The plaintiffs were long haul truck drivers. They were driving a tractor trailer truck manufactured by Volvo Trucks North America Inc. acquired by them from the defendant National Truck Centre Inc. dba Pacific Coast Heavy Truck Group ("NTC") (referred to collectively as "Volvo"). Without any warning, the truck lost all electrical power. The plaintiff lost control of the vehicle, and the truck ended up in the ditch. Neither plaintiff experienced serious physical injuries. Mr. Hans' employment was terminated. Mr. Hans ceased driving altogether in 2011. Mrs. Hans continued to drive commercially, but to a limited extent. He attempted suicide. Mr. Hans submitted that he experienced debilitating symptoms associated with post-traumatic stress disorder ("PTSD") caused by the collision. The plaintiffs alleged that Volvo was negligent in designing, manufacturing and installing a critical cab positive terminal electrical connection in the truck, the failure of which caused the shutdown of the electrical system and caused the collision. Volvo denied that it was negligent as suggested by the plaintiffs and that the plaintiffs had greatly exaggerated their claimed losses.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31" w:name="Holdings of Court_44"/>
            <w:bookmarkEnd w:id="331"/>
            <w:r>
              <w:rPr>
                <w:rFonts w:ascii="arial" w:eastAsia="arial" w:hAnsi="arial" w:cs="arial"/>
                <w:color w:val="000000"/>
                <w:sz w:val="20"/>
                <w:lang w:val="en-US" w:eastAsia="en-US" w:bidi="ar-SA"/>
              </w:rPr>
              <w:t>HELD: Mrs.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Hans was awarded non-pecuniary damages in the amount of $15,000, an in-trust award in the amount of $165,000, and damages for past loss of income earning capacity of $172,826. Mr. Hans was awarded non-pecuniary damages of $265,000, $1,781,000 for the cost of his future care and supervision, $292,500 for past loss of income earning capacity, $1,455,000. The total collective loss of income earning capacity suffered by Mr. and Mrs. Hans as a consequence of the collision and their inability to implement and operate a new trucking venture was $2,885,000. Volvo admitted that the collision was caused by a loose nut on the cab positive terminal. Although Volvo's failure to use the specified nut in joining the electrical wires to the cab positive terminal was negligent, the plaintiffs failed to prove that Volvo's failure to do so caused the loosening of the nut during operation. The plaintiffs established that Volvo was negligent in the installation of the hardware that was supplied by Norgren on the cab positive terminal of the truck, and that the total loss of electrical power resulted from that negligent installation. It was more likely than not that the loose nut on the cab positive terminal that caused the loss of electrical power was not tightened to the requisite torque value when the truck left the factory. Volvo was negligent in failing to assign criticality 1 rating to the hardware and torque specifications for the installation of the electrical wiring to the cab positive terminal. Volvo breached its duty to warn them of the potential of a catastrophic electrical failure arising from Norgren's supply and Volvo's installation of hardware that was not specified by Volvo in respect of a critical joint. Causation was established by the plaintiffs on a balance of probabilities. Volvo's argument that Mr. Hans' psychological injuries were too remote to require compensation by Volvo was not accepted. His psychological injuries were reasonably foreseeable and are not too remote in law to preclude compensation for them by Volvo. The medical evidence confirmed that Mr. Hans did suffer PTSD as a consequence of the collision and that the damages which he had suffered and which he would continue to suffer arose as a consequence of PTSD. Mr. Hans' psychiatric suffering had profoundly debilitating effects on all aspects of his life for the last seven years and severely impacted the assessment of the damages and losses for which he was entitled to compensation for both past and future. The evidence indicated that Mrs. Hans took on all of the household and childcare responsibilities following Mr. Hans suicide attempt. Mr. and Mrs. Hans were on a career path as long haul truck drivers that was intended to culminate in their owning and operating a small flat-bed trucking business. They had taken the necessary steps to implement that plan in the near future through their work experience, planning and shared ambition. Volvo's submission that the plaintiffs failed to reasonably mitigate their past losses of earning capacity was not accepted.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32" w:name="Legislation Cited_34"/>
      <w:bookmarkEnd w:id="33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62"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Health Care Costs Recovery Act, </w:t>
      </w:r>
      <w:r>
        <w:rPr>
          <w:rFonts w:ascii="arial" w:eastAsia="arial" w:hAnsi="arial" w:cs="arial"/>
          <w:i/>
          <w:color w:val="000000"/>
          <w:sz w:val="20"/>
          <w:lang w:val="en-US" w:eastAsia="en-US" w:bidi="ar-SA"/>
        </w:rPr>
        <w:t>S.B.C. 2008, c. 27</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33" w:name="Counsel_47"/>
      <w:bookmarkEnd w:id="33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3" style="position:absolute;z-index:251809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L.J. Mackoff, I. Teicher, A. Bell.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Volvo Trucks North America Inc. and National Truck Centre Inc. dba Pacific Coast Heavy Truck Group: M.P. Katzalay, G. Fraser.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34" w:name="Judgment_47"/>
      <w:bookmarkEnd w:id="334"/>
      <w:r>
        <w:pict>
          <v:line id="_x0000_s1264" style="position:absolute;z-index:25185996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July 20, 2016;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Table of Contents</w:t>
      </w:r>
      <w:r>
        <w:rPr>
          <w:rFonts w:ascii="arial" w:eastAsia="arial" w:hAnsi="arial" w:cs="arial"/>
          <w:sz w:val="20"/>
          <w:lang w:val="en-US" w:eastAsia="en-US" w:bidi="ar-SA"/>
        </w:rPr>
        <w:cr/>
      </w:r>
    </w:p>
    <w:p>
      <w:pPr>
        <w:numPr>
          <w:numId w:val="2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PARTICULARS OF THE COLLISION</w:t>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w:t>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Personal Circumstances before Marriage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Lives and Work between April 2000 and July 2007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Incorporation of Sai Transport Inc. and Acquisition of the Volvo 780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Electrical Problems before the Collison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The Investigation of the Collison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 Termination of Employment (February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 Early Medical Assessments Post Collison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 Failure to Provide Report of Investigation; Repair of</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Truck; Demand for Payments Under Lease; and, Sale of</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Truck after Seizure (February 2009 to November 2009)</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Attempts to Drive Commercially (Fall of 2009 to September 2011)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 Cessation of Driving and Suicide Attempts (September of 2011 to September 2012)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 Life since Last Suicide Attempt</w:t>
      </w:r>
    </w:p>
    <w:p>
      <w:pPr>
        <w:numPr>
          <w:numId w:val="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CREDIBILITY</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Mr. Hans' Condition at the Time of the Meetings with Yanke in Saskatoon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The Plaintiffs' Sale of their Home after the Collision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The Sincerity of Mr. Hans' Suicide Attempts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The Extent to which Mr. Hans has been Supervised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Supervision of Mr. Hans in Canada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 Mr. Hans' trips to India in 2013 and 2014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Video Surveillance of Mr. Hans' Activities in May and June of 2015</w:t>
      </w:r>
    </w:p>
    <w:p>
      <w:pPr>
        <w:numPr>
          <w:numId w:val="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Shutdown Caused by a Loose Nut on the Cab Positive Terminal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Proof of the Duty of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Proof of the Standard of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Principles to be Applied in Determining Liability for Alleged Negligent Manufacture or Design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Evidence Concerning the Design and Installation of the Hardware on the Cab Positive Terminal of the Truck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 Errors made by Mr. Hewitt concerning the Configuration of the Hardware on the Cab Positive Terminal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 Conclusions on Liability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Manufacture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Design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Duty to Warn</w:t>
      </w:r>
    </w:p>
    <w:p>
      <w:pPr>
        <w:numPr>
          <w:numId w:val="1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Causation and the 'But for Test'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Impact of Yanke's Actions on Volvo's Liability</w:t>
      </w:r>
    </w:p>
    <w:p>
      <w:pPr>
        <w:numPr>
          <w:numId w:val="1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REMOTENESS</w:t>
      </w:r>
    </w:p>
    <w:p>
      <w:pPr>
        <w:numPr>
          <w:numId w:val="1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Non-Pecuniary Damages for Pain and Suffering and Loss of Enjoyment of Life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Hans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The "In-Trust"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Cost of Care (Past)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Cost of Care (Future)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Medications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Rehabilitation Therapies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Constant (24 hour) Supervision</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Home Care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Loss of Income Earning Capacity</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Principles Applicable to Assessment of Damages for Loss of Earnings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 of the "Team" Approach to Assessment of Damages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Yearly Income Earned by the Plaintiffs before the Collision</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Sai Trucking Venture</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real and substantial possibility that the Sai Trucking Venture would have been implemented but for the collision?</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likelihood of success of the Sai Trucking Venture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 Past Loss of Earning Capacity</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Assessment of Loss of Past Income Earning Capacity related to the "Trucking Division" of the Sai Trucking Venture</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Assessment of Loss of Past Income Earning Capacity related to the "Dispatch Division" of the Sai Trucking Venture</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Assessment of Total Past Earning Capacity Loss from January 31, 2009 to Date of Trial</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Deductions from Assessment of Total Past Earning Capacity Loss because of Income Earned</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of Deductions</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Plaintiffs Fail to Mitigate their Past Earning Capacity Losses?</w:t>
      </w:r>
    </w:p>
    <w:p>
      <w:pPr>
        <w:numPr>
          <w:numId w:val="3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"Abandonment" of the Truck or failure to trade it in</w:t>
      </w:r>
    </w:p>
    <w:p>
      <w:pPr>
        <w:numPr>
          <w:numId w:val="3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hire a driver to replace Mr. Hans' income</w:t>
      </w:r>
    </w:p>
    <w:p>
      <w:pPr>
        <w:numPr>
          <w:numId w:val="3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of Mrs. Hans to work as a dispatcher from her home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 Future Loss of Earning Capacity</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Income Earning Capacity from the "Trucking Division" of the Sai Trucking Venture</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Income Earning Capacity from the "Dispatch Division" of the Sai Trucking Venture</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Total Loss of Future Income Earning Capacity</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Allocation of Loss of Future Income Earning Capacity</w:t>
      </w:r>
    </w:p>
    <w:p>
      <w:pPr>
        <w:numPr>
          <w:numId w:val="40"/>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OF DAMAGES AWARDS</w:t>
      </w:r>
    </w:p>
    <w:p>
      <w:pPr>
        <w:numPr>
          <w:numId w:val="41"/>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 REMAINING TO BE DETERMINED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35" w:name="B.M. DAVIES J."/>
            <w:bookmarkEnd w:id="335"/>
            <w:r>
              <w:rPr>
                <w:rFonts w:ascii="arial" w:eastAsia="arial" w:hAnsi="arial" w:cs="arial"/>
                <w:b/>
                <w:color w:val="000000"/>
                <w:sz w:val="30"/>
                <w:lang w:val="en-US" w:eastAsia="en-US" w:bidi="ar-SA"/>
              </w:rPr>
              <w:t>B.M. DAVIES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a dark, cold, snowy winter night a long haul trucker was driving his fully loaded tractor-trailer on the Trans-Canada Highway in Manitoba. Without warning all electrical power was lost. All lights were extinguished. Darkness enveloped the truck. The driver lost all control of the steering and the trailer. Sparks began to fly amid the sound of screaming tires as the landing gear of the trailer scraped along the highway. The trailer jack-knifed and came towards the driver's side of the truck's cab. The driver and his wife, who had been resting in a bunk to the rear of the cab, both feared they would die.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PARTICULARS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January 31, 2009 the plaintiffs, a husband and wife, long haul driving team, Amandeep and Pavandeep Hans, then working for N. Yanke Transfer Ltd. ("Yanke"), were returning to their home in Surrey, British Columbia after a long trip that had taken them into the United States and Eastern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They were driving a tractor trailer truck (the "Truck") manufactured by the defendant Volvo Trucks North America Inc. acquired by them from the defendant National Truck Centre Inc. dba Pacific Coast Heavy Truck Group ("NTC"). I will refer to those two defendants collectively as "Volvo".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return route was by way of the Trans-Canada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Shortly after leaving Ontario, Amandeep Hans was driving while his wife, Pavandeep Hans, was resting in the sleeper berth.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was a dark, cloudy night with light snow. The road conditions on the two lane highway were somewhat icy and slippery but not unusually or dangerously so for a driver of Mr. Hans' experience and capabilities. He was proceeding at about 65 to 70 km/h with a fully loaded trailer being towed by the Truck and traffic was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Without any warning, at about 10:00 p.m. near Falcon Lake, Manitoba about 100 km east of Winnipeg, all electrical power in the Truck was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were no headlights or fog lights to illuminate the road in front of the Truck. The interior lights were also out. Power steering was lost as was the ability to control the sway of the loaded trailer behind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Hans screamed "what happened... what happened?" and then "we are going to die... we are going to die".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He saw the trailer beginning to jack-knife toward the driver's side of the Truck. He heard the sound of tires squealing but could not control the sway. In the side mirror he saw sparks flying from the landing gear of the trailer hitting the pavement.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cab of the Truck sits above the fuel tanks on the driver's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total darkness the trailer came fully around to strike the cab of the Truck just behind the driver's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impact forced the Truck off the road and into the ditch on the passenger side. When it came to rest the driver's side of the cab was elevated above the roadway. Mr. Hans remained motionless, as if paralyzed, and did not try to extricate himself from the cab.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Hans did nothing until Mrs. Hans, who had hit her head on the buckle of a seat belt when the Truck was swaying from loss of control, reached him and released his seatbelt. She then compelled Mr. Hans by words and action to get out of the cab of the Truck because of her own fear that fire would engulf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Eventually, due largely to Mrs. Hans' efforts, both were able to remove themselves from the cab and onto the roadway into the freezing night. Mrs. Hans was shaking with fear. She had believed she was going to die.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Although Mr. Hans had stopped screaming to Mrs. Hans he still seemed "out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Fortunately, a Manitoba Hydro vehicle came by very shortly after the collision and afforded the plaintiffs a warm place to sit out of the elements. Mrs. Hans called 9-1-1.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She also called Yanke's dispatch office seeking assistance on a 24 hour line. She eventually connected with Ms. Shelly Grigorovich, Yanke's Director of Human Resources and Risk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Mrs. Hans testified that Mr. Hans was unresponsive to questioning by the Manitoba Hydro personnel who were assisting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Neither Mr. nor Mrs. Hans suffered serious physical injuries but their lives have changed dramatically in the almost 7 years since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totality of the evidence establishes that Mr. Hans is now a shadow of his former self physically, emotionally and socially who is now incapable of enjoying life as he formerly did. He is also now incapable of maintaining gainful employment either as a long haul truck driver or by alternative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medical experts attribute Mr. Hans' ongoing debilitating symptomology to Post-Traumatic Stress Disorder (PTSD) caused by the collision and his reaction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allege that Volvo was negligent in designing, manufacturing and installing a critical cab positive terminal electrical connection in the Truck the failure of which caused the shutdown of the electrical system and caused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plaintiffs seek substantial damages for the losses they claim they have suffered as a consequence of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response Volvo admits that the collision was caused by a loose nut on the cab positive terminal but denies that the plaintiffs have established that Volvo was negligent in the design, manufacture or installation of the cab positive connection, or is in any other way liable to the plaintiffs for their alleged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Volvo further alleges that Mr. and Mrs. Hans have greatly exaggerated their claimed losses, including the extent of the psychological injuries suffered by Mr. Hans.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Specifically, concerning Mr. Hans' psychological injuries, Volvo also submits those injuries are too remote to entitle him to any compensation from Volvo. Volvo also pleads that the plaintiffs have failed to mitigate or have inadequately mitigated any losses they may have suffered as a consequence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Shortly before this trial commenced the plaintiffs discontinued claims they had formerly advanced against Yanke. That discontinuance is subject to a "</w:t>
      </w:r>
      <w:r>
        <w:rPr>
          <w:rFonts w:ascii="arial" w:eastAsia="arial" w:hAnsi="arial" w:cs="arial"/>
          <w:i/>
          <w:color w:val="000000"/>
          <w:sz w:val="20"/>
          <w:lang w:val="en-US" w:eastAsia="en-US" w:bidi="ar-SA"/>
        </w:rPr>
        <w:t>B.C. Ferries</w:t>
      </w:r>
      <w:r>
        <w:rPr>
          <w:rFonts w:ascii="arial" w:eastAsia="arial" w:hAnsi="arial" w:cs="arial"/>
          <w:color w:val="000000"/>
          <w:sz w:val="20"/>
          <w:lang w:val="en-US" w:eastAsia="en-US" w:bidi="ar-SA"/>
        </w:rPr>
        <w:t>" settlement agreement, the effect of which on the attribution of the respective responsibility, if any, as between Yanke and Volvo, for damages allegedly suffered by the plaintiffs must be considered and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addition, shortly before the trial of this action commenced, the Province of British Columbia commenced a separate action against Volvo pursuant to the provisions of the </w:t>
      </w:r>
      <w:r>
        <w:rPr>
          <w:rFonts w:ascii="arial" w:eastAsia="arial" w:hAnsi="arial" w:cs="arial"/>
          <w:i/>
          <w:color w:val="000000"/>
          <w:sz w:val="20"/>
          <w:lang w:val="en-US" w:eastAsia="en-US" w:bidi="ar-SA"/>
        </w:rPr>
        <w:t>Health Care Costs Recovery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2008, c. 27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seeking compensation for medical services and prescription medicines provided by the Province to Mr. Hans since the collision and in respect of his claimed future medical expenses. The two actions were tried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During this trial the quantum of past medical claims made by the Province under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xml:space="preserve"> was resolved by agreement between the Province and Volvo in the amount of $198,868.75 with the attribution of any responsibility of Volvo for payment of that amount being left to the determination of the other liability issues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following issues require determination:</w:t>
      </w:r>
      <w:r>
        <w:rPr>
          <w:rFonts w:ascii="arial" w:eastAsia="arial" w:hAnsi="arial" w:cs="arial"/>
          <w:sz w:val="20"/>
          <w:lang w:val="en-US" w:eastAsia="en-US" w:bidi="ar-SA"/>
        </w:rPr>
        <w:cr/>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Volvo liable for any damages suffered by the plaintiffs?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in what amount must Volvo compensate the plaintiffs for:</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and Mrs. Hans' respective non-pecuniary losses;</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"in-trust" claim to compensate Mrs. Hans for her care and supervision of Mr. Hans between January 31, 2009 and this trial;</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Mr. Hans' future care; and</w:t>
      </w:r>
    </w:p>
    <w:p>
      <w:pPr>
        <w:numPr>
          <w:numId w:val="4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and Mrs. Hans' past and future losses of earning capacity?</w:t>
      </w:r>
    </w:p>
    <w:p>
      <w:pPr>
        <w:numPr>
          <w:numId w:val="4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Volvo established that the plaintiffs failed to mitigate their damages?</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what extent, if at all, is Volvo liable to compensate the Province of British Columbia with respect to the agreed amount of $198,868.75 pursuant to the </w:t>
      </w:r>
      <w:r>
        <w:rPr>
          <w:rFonts w:ascii="arial" w:eastAsia="arial" w:hAnsi="arial" w:cs="arial"/>
          <w:i/>
          <w:color w:val="000000"/>
          <w:sz w:val="20"/>
          <w:lang w:val="en-US" w:eastAsia="en-US" w:bidi="ar-SA"/>
        </w:rPr>
        <w:t>HCCRA?</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Volvo is liable for some or all of the damages claimed by the plaintiffs, what is the impact, if any, of the plaintiffs' </w:t>
      </w:r>
      <w:r>
        <w:rPr>
          <w:rFonts w:ascii="arial" w:eastAsia="arial" w:hAnsi="arial" w:cs="arial"/>
          <w:i/>
          <w:color w:val="000000"/>
          <w:sz w:val="20"/>
          <w:lang w:val="en-US" w:eastAsia="en-US" w:bidi="ar-SA"/>
        </w:rPr>
        <w:t>B.C. Ferries</w:t>
      </w:r>
      <w:r>
        <w:rPr>
          <w:rFonts w:ascii="arial" w:eastAsia="arial" w:hAnsi="arial" w:cs="arial"/>
          <w:color w:val="000000"/>
          <w:sz w:val="20"/>
          <w:lang w:val="en-US" w:eastAsia="en-US" w:bidi="ar-SA"/>
        </w:rPr>
        <w:t xml:space="preserve"> settlement with Yanke?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 Personal Circumstances before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and Mrs. Hans were born in India in 1975 and 1976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Mrs. Hans suffered from polio at 6 months of age and had four surgeries on her right leg and foot before she was four. She still walks with a slight limp but has otherwise fully recovered.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When Mrs. Hans was eleven years old she moved to Canada to live with an aunt. She learned to speak English quickly and is now fluent in both Punjabi and English. She graduated from high school in North Delta.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Members of Mrs. Hans' immediate family also eventually immigrated to Canada and established themselves both in the Lower Mainland of British Columbia and in Oliver in the Okanagan Valley where her parents became farmers.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After finishing high school Mrs. Hans moved to Surrey to live with her brother. She took courses in accounting at Kwantlen College for two years. She did not, however, complete all of the courses necessary to become an accountant because after two years she moved with her brother to Oliver where he became a fruit farmer.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Mrs. Hans lived in the Okanagan and worked there from 1996 to 1999 for Sage Greenhouses as a bookkeeper with quality control responsibilities.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December 26, 1999, Mrs. Hans left Oliver to go back to Surrey in preparation for her arranged marriage to Mr. Hans in India.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Hans was an exceptional athlete in India before marrying Mrs. Hans in late 1999. His athletic endeavours included award winning performances in track and field as well as in field hockey at high levels of competition in college where he excelled. He eventually became a professional cyclist with the Punjabi Police Team.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 Lives and Work between April 2000 and July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After the marriage Mrs. Hans returned to Canada in April of 2000 while Mr. Hans remained in India awaiting completion of the necessary processes to allow his immigration to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early November of 2000 Mr. Hans joined Mrs. Hans in Canada and within 2 weeks their daughter, Ashleen was born.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new family settled into married life in Surrey. Mr. Hans' mother also eventually moved to Canada and resided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February of 2002, the plaintiffs' son, Deepkaran was born.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 early years of their life together in Canada Mr. Hans began almost immediately working for A1 Building Supplies in its warehouse. He also made deliveries to construction sites. It was hard, physical labour which paid well and he enjoyed it immensely. He made good friends and enjoyed life and work in his new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After the birth of their second child Mr. Hans' mother was able to provide child care assistance. Mrs. Hans was then able to return to the workforce as a bookkeeper for a trucking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November of 2002 Mr. and Mrs. Hans and their two children took an extended seven month vacation to India where they visited religious and cultural sites and spent time with family and friends in Hans Village in the Punjab where Mr. Hans had been born and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Mrs. Hans returned to Canada a few weeks earlier than did Mr. Hans so that he could continue playing in field hockey tournaments in India.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After Mr. Hans returned to Canada he went to work for Coast Building Supplies doing the same work as he had done at A1 with many of the same friends who had also by then left A1 to work for Coast.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addition to his manual and forklift work in the Coast warehouse and in delivering supplies Mr. Hans undertook the training necessary to obtain a Class 1 Drivers' License with air brake certification. He began driving local delivery trucks for Coast but still enjoyed the hard physical labour associated with the warehouse and delivery work and continued to lead his delivery crews not only by driving but also by fully participating in the loading and unloading of heavy building supplies.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Although Mr. Hans' income had increased with his qualifications, Mrs. Hans also re-entered the workforce after returning from India. Initially she went to work at McDonald's for minimum wage in the evening for 25 to 30 hours per week but eventually decided to obtain a driving instructor's license, to earn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She did so and then opened Hans' Driving school in 2004. She taught mostly in the evenings so that she could care for her children during the day but also took her daughter with her in a car seat for one to two hours during some teaching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Mrs. Hans enjoyed driving and was able to develop somewhat of a niche in teaching driving to learner's with driving disabilities because of her own inability (due to her childhood polio) to use her right foot while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After Mr. Hans obtained his Class 1 Driver's License with air brake certification Mrs. Hans also began to explore the possibility of obtaining such a license with intent that she and Mr. Hans could begin to work as a team in the long haul trucking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Mrs. Hans saw that as a way by which they could travel and explore North America together while earning incomes superior to those they were then both earning.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Although she had no difficulty with any aspect of the work leading to obtaining a Class 1 License, her physical disability, that prevents her from using her right foot while driving, was a serious impediment.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Driving a tractor truck required that she drive a specially equipped truck modified to allow driving with a left foot gas pedal. It also required a truck with an automatic transmission.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After convincing the provincial licensing authorities to allow her to be licensed if she could pass the required testing she sought training instruction. However, no driver's school offered the vehicle that she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Undeterred, she and Mr. Hans decided to purchase a tractor-truck with a fully automatic transmission and have it equipped with a left foot gas pedal extension to accommodate her disability. Through NTC they acquired a Volvo 670 tractor-truck with an automatic transmission for about $140,000 and had the necessary gas pedal extension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Mrs. Hans then took lessons using that truck and passed the Class 1 driving test as well as air brake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June of 2005 Mr. and Mrs. Hans began driving as a long-haul team for Right Choice Transport Ltd. out of Surrey driving flat-bed trailers primarily into the lower 48 states of the United States of America. Their first major contact in the long-haul trucking business was Mr. Ron Collick one of the principals of Right Choice who became somewhat of a mentor to the team and more particularly to Mrs. Hans with whose drive and business acumen he was greatly impressed.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Over the next few years, until April of 2008, Mr. and Mrs. Hans worked for a number of small sized long haul flat-bed trucking companies, often with Mr. Collick, as he himself pursued various opportunities that became available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driving partners the plaintiffs shared the work with Mr. Hans doing all of the heavy work including pre-load inspection, cargo tie down and cargo covering involving the use of heavy tarps and chains to make loads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Mrs. Hans did all of the necessary paperwork and licencing to allow travel and transport into and out of the United States and did route tracking during their delivery trips to maximize income by balancing payload potential against cost of transportation. The intent was to keep the flat-bed as loaded as possible at all times both to and from Surrey for the most profit possible because payment for owner-operators was based on a per mile/per load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Mrs. Hans also undertook customer relations activities on their journeys, gathering information from and fostering contacts with suppliers with the intent to provide better service and also with the hope of obtaining repeat business directly with suppliers rather than brokers where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and Mrs. Hans shared the driving with each being limited by regulation as to the number of hours they could drive. As a team they could double the potential income for the use of their vehicle. At the same time they were able to enjoy their travel to new places which they had never seen and enjoy time together pursuing what they loved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From time to time they were also able to take one or both of their children with them on their travels.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 Incorporation of Sai Transport Inc. and Acquisition of the Volvo 780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On July 4, 2007 Mr. and Mrs. Hans incorporated Sai Transport Inc. Mrs. Hans testified that the name was derived from "Sai Baba", a Sikh divinity symbolizing their joint belief in hard work and the obligation to share with the less fortunate.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Mrs. Hans testified that the purpose of incorporating Sai Transport Inc. was to eventually run a long-haul transport business using the experience she and Mr. Hans were gaining in the trucking business. Their goal was to centre the business on one truck owned and driven by Mr. Hans and adding owner-operators while Mrs. Hans undertook business development and operational logistics by acquiring work from her contacts and the use of a computerized load sharing program with which she was familiar as well as undertaking all other business aspects of the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plan was to grow the business slowly possibly by purchasing a second truck with a hired driver and also by adding one owner-operator truck per year to a total of five to assist Mr. Hans in completing long-haul trucking opportunities they believed would be available to them through their hard work and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 December 18, 2007 Mr. and Mrs. Hans traded in their 2005 Volvo 670 with 633,000 km on it for a new 2009 Volvo 780 (the "Truck"). They acquired their second Volvo because of the fully automatic transmission required by Mrs. Hans and because the sleeping/living compartment of the Truck was larger and more accommodating than that of the old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cost of the Truck was $144,750 with about $97,500 remaining payable after application of a trade-in allowance of approximately $52,000 for their old vehicle. The balance of the acquisition price was financed by way of an open-end lease from the former defendant Volvo Financial Services for 48 months requiring payments of $2,624.51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and Mrs. Hans continued to work in the flat-bed long haul business in early 2008 with a company called Misty Blue Transport. However, they did not particularly enjoy the work because of the business practises of the management of the operations which did not include Mr. Collick.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April of 2008 Mr. and Mrs. Hans joined Yanke as owner-operators with the Truck becoming part of Yanke's fleet.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Mrs. Hans testified that they made the move to Yanke to work with a larger trucking company than they had worked for previously and that had a good reputation.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Mrs. Hans also testified that it gave her and Mr. Hans an opportunity to gain experience in "dry-haul" container trucking as opposed to only flat-bed trucking as well as the chance to work more Canadian routes as opposed to American ones, with intent to gain more knowledge and experience for their future plans with Sai Transport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Dry-haul trucking for Yanke also paid well and involved less physical work than that engaged in the loading, securing, covering and unloading of flat-bed trailers.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 Electrical Problems before the Collison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Truck began developing electrical problems relatively shortly after Mr. and Mrs. Hans acquired it in late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documentary evidence establishes that: on March 7, 2008, circuit breakers were replaced during a safety recall warranty claim; on May 17, 2008, batteries were slightly corroded; and on June 17, 2008, electrical difficulties were experienced with a harness connector and with corroded batteries that required terminal replacement under floor mats.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Also, on July 4, 2008, while Mr. and Mrs. Hans were travelling through Regina at a low speed in daylight hours, all electrical power in the Truck was lost so that the vehicle shut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Hans was able to re-start the engine by "wiggling" the battery cables located near the batteries. He then drove the Truck to Sterling Truck and Trailer Sales, a Volvo service centre in Regina where it was inspected and where the service technicians diagnosed a "blown main fuse".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 July 5, 2008, after returning from Regina Mr. Hans took the Truck to NTC's service centre in Surrey. NTC's warranty repair invoice for its work done on July 8, 2008 records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Customer was driving along, lost all power, truck shut down. elec all dead...service call from Regina and they found ECM fuse blew, they replaced it but did not check for possible cause of fuse blowing. Check over- customer concerned that it may recur if there is a wire rubbed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Six months later, on January 20, 2009, NTC tested the batteries in the Truck. One failed and it was replaced.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 The Investigation of the Collison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Concerning those electrical issues and specifically the events of July 4, 2008 in Regina, Mr. Chris Hewitt, an Electrical Engineer who was commissioned by Yanke to inspect the Truck after the collision, and who testified as an expert witness, stated in a report of his investigation: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works described on the invoices listed above all relate to electrical issues, and seem to relate to one another. It is also interesting that on July 4, 2008, the main fuse was reported to have blown, but the truck was not towed to Sterling Trucks. Without the main fuse, presumably the truck would not have functioned. On July 8, the owner asked Pacific Coast Heavy Truck Group to try and diagnose the problems reported to Sterling on July 4. Pacific Coast were unable to diagnose any issues. It would therefore seem that this vehicle has suffered from sporadic electrical issues which appear similar and therefore potentially related to the failure on January 31,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Not commented upon by Mr. Hewitt in that report, and likely unknown to him at the time of his inspection and investigations, is the fact that the day before the collision the Truck was taken off the road for one day on the return trip from Montreal to Surrey because of electrical problems incurred in or near North Bay, Ontario. Those problems required that all three batteries be replaced before Mr. and Mrs. Hans were able to recommence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After the total failure of the Truck's electrical systems on January 31, 2009, and the collision caused by that failure the Truck was towed to Yanke's yard in Winnipeg. It was inspected there between February 7 and 10, 2009 by Mr. Hewitt before being eventually repaired at Beaver Trucks, the Volvo repair and service centre in Winnipeg.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Inspection of the Truck by Mr. Hewitt was also attended by two other engineers, neither of whom testified at trial. Also present were Mr. Todd Davies, Volvo's District Sales Manager and a Beaver Trucks' Mechanic and Service Manager, none of whom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the report of his investigation filed at trial but provided much earlier (on March 9, 2009) to Yanke, Mr. Hewitt wrote, among other things,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my opinion that the following occurred:</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cab positive terminal nut somehow became loose, resulting in a poor connection and subsequent resistance heating, which further compounded the poor connection, resulting in failure of several key vehicle systems. The resistance heating is confirmed by the melted insulation and the positive bushing. The size of cable indicates that a substantial current may have been flowing through these tables, certainly sufficient to cause the melting observed.</w:t>
      </w:r>
    </w:p>
    <w:p>
      <w:pPr>
        <w:numPr>
          <w:numId w:val="5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Due to failure of cab power, the following critical safety systems failed</w:t>
      </w:r>
    </w:p>
    <w:p>
      <w:pPr>
        <w:numPr>
          <w:numId w:val="5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Headlights (including fog lights),</w:t>
      </w:r>
    </w:p>
    <w:p>
      <w:pPr>
        <w:numPr>
          <w:numId w:val="5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Engine</w:t>
      </w:r>
    </w:p>
    <w:p>
      <w:pPr>
        <w:numPr>
          <w:numId w:val="5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Dash lights</w:t>
      </w:r>
    </w:p>
    <w:p>
      <w:pPr>
        <w:numPr>
          <w:numId w:val="5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Anti-lock brakes</w:t>
      </w:r>
    </w:p>
    <w:p>
      <w:pPr>
        <w:numPr>
          <w:numId w:val="5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Electronic stability control</w:t>
      </w:r>
    </w:p>
    <w:p>
      <w:pPr>
        <w:numPr>
          <w:numId w:val="5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Windshield wipers</w:t>
      </w:r>
    </w:p>
    <w:p>
      <w:pPr>
        <w:numPr>
          <w:numId w:val="5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Automatic transmission</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Due to the engine failure, the power steering would also have failed.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issue is how the cab positive terminal nut became loose. There are a number of potential causes:</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nut was not sufficiently tightened by Volvo during initial assembly.</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nut was not sufficiently tightened during maintenance.</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nut became loose during operation.</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Mega Truck Repair loosened the nut while trying to install the fog-lights.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cab terminal nut in question is not an item routinely maintained. Discussions with the mechanic at Beaver Trucks concluded that if electrical faults had been reported to an operator, the cab terminal nut would not be the obvious place to trouble-shoot. It is therefore less likely that the nut was loosened as part of maintenance and not re-tightened.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 concern is the issues the operator reported in May, June and July 2008. The fact that the vehicle had suffered from engine failures at this time indicates that the nut could have been loose from assembly given that the truck is relatively new. It is also possible that the nut loosened due to vibration during use. It is noted that the nut is not a locking variety and no thread leaking compound was visible. It is therefore possible that the nut naturally loosened during 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Invoice 14739 proves that the after market fog lights were installed in October 2008 (after the onset of electrical problems in May, June and July 2008). It can therefore be confirmed that while the wiring of the fog lights is questionable, it did not contribute to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possible to determine how the nut became loose. However, it is concerning that essential vehicle operation can be catastrophically affected by a simple terminal failure such as that exhibited here. As a minimum, I would expect that two nuts are applied to each terminal in a lock nut arrangement. Alternatively, a nylon lock nut should be used. Additionally, it is strongly recommended that the terminal nuts on all Volvo semi tractors are checked as part of routine maintenance by Yanke and all other operators, to ensure that they are adequately tight. This issue should be raised with Transport Canada who may elect to issue a recall or a notice bulletin.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 will discuss Mr. Hewitt's report in more detail together with Mr. Hewitt's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when considering the liability issues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 Termination of Employment (February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Neither Mr. nor Mrs. Hans sought medical assistance after the Truck was taken to Yanke's yard in Winnipeg for investigation but did spend two days in Winnipeg before taking a plane to Saskatoon to meet with Yanke's officials to provide a report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evidence as to what transpired in Saskatoon that day is in conflict, as I will discuss in more detail later when considering Volvo's submissions relating to Mr. and Mrs. Hans' credibility, which he failed.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For the purposes of this narrative it is, however, sufficient to record that on February 4, 2009, Mr. and Mrs. Hans provided a written statement concerning the collision. Also, Mr. Hans was required to take a Dangerous Goods Examination to allow his continued employment with Yanke.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Either then or within a few days of failing that test Mr. Hans was advised his employment would be terminated by Yanke. That termination was confirmed in writing on February 17,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After returning to Surrey from Saskatoon Mrs. Hans continued to suffer from shoulder and neck pain as well as the effects of a minor concussion for 3 or 4 months. She testified that those problems were fully resolved within about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Yanke had not also terminated Mrs. Hans' employment and, notwithstanding her physical complaints arising from the collision, Mrs. Hans attempted to find work with Yanke in early March of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However, when Mrs. Hans advised Yanke that she could not work as a single long haul driver without Mr. Hans, Yanke determined to de-register the Truck from its fleet. Yanke also advised Mrs. Hans that it had no work for her for local pick-up and delivery as a single driver.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G. Early Medical Assessments Post Collison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effect of the collision upon Mr. Hans' health and life were dramatically more serious than those experienced by Mrs. Hans. Although, as I have noted above, he did not suffer physical injuries, his treating physicians, psychologists and psychiatrists as well as other psychiatrists and psychologists whom he has consulted and whose expert evidence was adduced all agree that Mr. Hans has suffered highly debilitating emotional, mental and social effects of PTSD caused by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After the collision Mr. Hans' first visit to his family physician, Dr. Baldev Dhillon, was on February 17,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Dhillon's report and his clinical notes are consistent with Mr. and Mrs. Hans' evidence concerning Mr. Hans' medical and emotional condition from the time of the collision until early April of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his expert report dated August 20, 2015, Dr. Dhillon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Hans was seen on February 17, 2009. At which time an initial consultation into the motor vehicle accident was conducted. He stated that since the accident he felt numbness to his head with decreased memory. He also felt "numb". He felt scared from time to time and he felt as if he had to check to see if he was alive. He did not have any suicidal ideation or attempt. He did not have any homicidal ideation or attempt. He was given a preliminary diagnosis of posttraumatic stress disorder. He was also started on Paxil 10 mg at bedtime and he was advised to followup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in a couple of weeks to see how the medication was working out for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Hans was seen on March 4, 2009. He had complaints of feeling tension and tightness in his chest. He had felt that for few minutes the previous night as well. His examination was essentially normal. Paxil was increased to 20 mg at bedtime. He was also sent for electrocardiogram.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Hans was seen on March 6, 2009. He still has chest pain on an intermittent basis. He stated that he felt anxious. He was provided reassurance and advised to continue with Paxil 20 mg at bedtime. [H]e was also given a prescription for Ativan sublingual as needed for anxiety-type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Hans was seen on April 4, 2009. He had complaints of numbness to his scalp and having trouble with his memory. He states that all of this had started after the motor vehicle accident. He states that he has </w:t>
      </w:r>
      <w:r>
        <w:rPr>
          <w:rFonts w:ascii="arial" w:eastAsia="arial" w:hAnsi="arial" w:cs="arial"/>
          <w:i/>
          <w:color w:val="000000"/>
          <w:sz w:val="20"/>
          <w:lang w:val="en-US" w:eastAsia="en-US" w:bidi="ar-SA"/>
        </w:rPr>
        <w:t>recurrent</w:t>
      </w:r>
      <w:r>
        <w:rPr>
          <w:rFonts w:ascii="arial" w:eastAsia="arial" w:hAnsi="arial" w:cs="arial"/>
          <w:color w:val="000000"/>
          <w:sz w:val="20"/>
          <w:lang w:val="en-US" w:eastAsia="en-US" w:bidi="ar-SA"/>
        </w:rPr>
        <w:t xml:space="preserve"> flashbacks from the motor vehicle accident. He has a hard time falling asleep as well. He did not have any suicidal ideation or any attempts. He did not have homicidal ideation or any attempts. Paxil was increased to 30 mg at bedtime. Counseling was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Dhillon's reference to his "preliminary diagnosis of post-traumatic stress disorder" made on February 17, 2009 must be read with the understanding, arising from clarification of his report in his testimony at trial, that for a confirmed diagnosis of PTSD the symptomology associated with the disorder must have been present for at least 30 days following the traumatic triggering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Since Dr. Dhillon's diagnosis was made less than two weeks after the collision that pre-condition to a confirmed diagnosis was not yet present. However, sufficient other symptoms to meet the criteria for a confirmed PTSD diagnosis under the then operative Diagnostic and Statistical Manual of Mental Disorders, 4th Edition (DSM IV) were met.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H. Failure to Provide Report of Investigation; Repair of the Truck; Demand for Payments Under Lease; and, Sale of the Truck after Seizure (February 2009 to November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As I have noted above, at about the same time that Mr. and Mrs. Hans returned to Surrey after their meetings in Saskatoon with Yanke on February 4, 2009, Yanke engaged Mr. Hewitt to investigate the cause of the electrical failure that led to the collision on January 31,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Inexplicably, neither Yanke nor Volvo invited Mr. or Mrs. Hans to participate notwithstanding the loss suffered was to the Truck which they had acquired from NTC and which was financed by Volvo Financial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Also inexplicably, neither Yanke nor Volvo released Mr. Hewitt's report to the plaintiffs notwithstanding Mrs. Hans' repeated requests for information about the cause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Those requests were made by Mrs. Hans to Ms. Grigorovich of Yanke as well as to Volvo Financial Services which referred her to a 1-800 number for Volvo Trucks which did not return her calls.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Notwithstanding these unanswered requests for information from February to April 2009, Volvo Financial Services wrote to Mr. Hans on April 3, 2009, demanding payment of the past due lease payments for the Truck in the amount of $4,219.44. The demand required payment of that amount within 7 days failing which Volvo Financial Services demanded claim of $102,785.21 as payment in full under the lease purchase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and Mrs. Hans did not make the overdue payments. They were not working but were also not prepared to pay further any amounts under the lease until they were satisfied that the Truck was safe to operate.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Finally, on April 20, 2009, after many requests for information by Mrs. Hans, Ms. Grigorovich wrote a letter to Mrs. Hans in which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letter follows our previous telephone discussion of April 17,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your accident of January 31, 2009, the Yanke Group of Companies retained the services of an engineering firm to assist us in determining the cause of the catastrophic electrical failure, which ultimately led to the above noted accident. This analysis was crucial, given the previous history of electrical problems with your truck, dating back to May, June and July, 2008. The analysis was undertaken in Winnipeg, MB in the presence of Volvo's District Services Manager and our Director of Fleet Assets/Maintenance.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the engineer's undertaking and analysis, it would appear that the cab positive terminal nut somehow became loose, resulting in a poor connection and subsequent resistance heating, which, further compounded the poor connection. The resistance heating was confirmed by the melted, insulation and the positive bushing, which is believed to have ultimately led to the failure of several key vehicle systems, including the following:</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Headlights (including fog lights)</w:t>
      </w:r>
    </w:p>
    <w:p>
      <w:pPr>
        <w:numPr>
          <w:numId w:val="6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Engine, with the potential for subsequent loss of power steering</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Dash lights</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Anti-lock brakes</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Electronic stability control</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Windshield wipers</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Automatic transmission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critical question is how the cab positive terminal nut became loose and this particular aspect can not be conclusively determined. Given that the essential vehicle operation can be catastrophically affected by a simple terminal failure, we are currently in discussions and working with Volvo Corporate to attempt a resolution. We will continue to keep you informed of developments and trust the foregoing will be found to your satisfaction.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Unsatisfied with that response Mr. and Mrs. Hans retained counsel, Mr. Robbie Fleming, who also unsuccessfully sought delivery of Mr. Hewitt's full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Fleming also sought information concerning Yanke's discussion with Volvo concerning a possible resolution of the issues related to the collision. In doing so he sought information as to how any resolution could occur without Mr. and Mrs. Hans' involvement.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However, as noted, and notwithstanding these many inquiries, Mr. Hewitt's report was not delivered to them until Mr. and Mrs. Hans had commenced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addition, Yanke and Volvo continued to deal directly with one another without any participation by Mr. and Mrs. Hans or their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Eventually, without any input from the plaintiffs, repairs to the Truck which included work done at Beaver Trucks, were undertaken and completed by May 7,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that repair process all evidence related to the cause of the electrical failure, other than Mr. Hewitt's report and photographs taken during his investigation, was destroyed.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When Yanke advised Mr. and Mrs. Hans that the Truck was ready to be picked up at Yanke's maintenance facility in Winnipeg on May 7, 2009, answers to their continuing inquiries concerning the cause of the electrical failure or the negotiations with Volvo had still not been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Due to those unanswered questions and their ongoing concerns with the Truck's roadworthiness and safety, the plaintiffs decided not to re-take possession of it. They believed that the information that had been provided to them, that the cause of the failure was a "loose nut", was incomplete and did not inform them of the risks associated with re-taking possession of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Without success, Mr. Fleming continued to make inquiries on their behalf after May 7,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Notwithstanding Mr. Fleming's unanswered requests for information coupled with his assertions that Yanke did not have authority to affect the plaintiffs' interests in the Truck, Yanke wrote a letter to Volvo on July 3, 2009,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you are already aware, we had an incident with a 2008 Volvo VNL-780 serial # 4V4NC9EJ28N498773.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incident, which resulted in a single vehicle accident due to a total loss of electrical power caused us to make repairs to both the tractor and trailer. The costs associated with the repairs are on the attached form and total $44,054.27.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per your commitment to cover these expenses, please accept this letter as our formal request for payment for the $44,054.27.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amount claimed by Yanke included the cost of Mr. Hewitt's investigation and report. Volvo eventually paid the amount claimed by Yanke in return for a release from Yanke.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When Mr. and Mrs. Hans continued to refuse to pick up the Truck, Volvo Financial Services sold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and Mrs. Hans were notified of that sale on November 11, 2009 by a letter of that date. It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failed to cure the default. As a result, a sale of the property securing the debt was held. The property sold for $77,000.00, thereby leaving a deficiency balance of $7,443.08, as at the date of sale (being February 3, 2006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The total amount owing, which is detailed in the attached schedule "A", as of the date of this letter is $7,443.08 plus interest at the rate of 18% per annum 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Hans' anger at Yanke and Volvo, because of their treatment of him in "ruining my life" because of what he came to call the "death truck", deepened over time and as his emotional and mental state continued to deteriorate, his ability to earn income became more and more compromised.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Hans continued to be unable to put the thoughts of the collision behind him. Re-occurring thoughts of the collision and its negative effects upon him and his life and inability to provide for his family became pervasive and dominated all of his familial and social relationships.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 Attempts to Drive Commercially (Fall of 2009 to September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Mrs. Hans testified that during the summer of 2009 Mr. Hans' emotional and mental state remained severely compromised by the effect of the collision. She testified that if he had been able to work they would have returned to work and that there would have been "lots of work" available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Concerning his behaviour Mrs. Hans testified that Mr. Hans was totally different than before the collision. He was no longer an active participant in his children's lives; looked lost and scared; was sad and withdrawn from her and his friends and was not sleeping. He was also constantly re-living the collision in his dreams and in his communication with her, his family and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By the fall of 2009 Mrs. Hans became frustrated and began remonstrating with Mr. Hans to "pull out of his funk". She said things like "I was there too and I am feeling better"... "We are alive"... "Shake it off" -- all without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Hans continued to be withdrawn socially and uninvolved in family life. He stopped sharing child care, yard work, cleaning, cooking, shopping and driving the children to school. Mrs. Hans had to do it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Because the family had not had any income since the collision and needed money to "put food on the table" as well as in an attempt to get Mr. Hans back on track, Mrs. Hans decided they must return to driving without their own Truck. It had not yet been sold by Volvo Financial Services, but they still considered it unsafe.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Mrs. Hans arranged with Mr. Hans' brother for them to do some part time relatively short haul driving with a truck he owned. She testified that, although in the beginning she was fearful of driving even with that different truck, after a few weeks she lost that fear. She hoped that the same would occur with Mr. Hans, but it never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and Mrs. Hans drove commercially primarily on routes to Washington and California for about two years between the fall of 2009 and the fall of 2011. They were, however, able to do so only because Mrs. Hans forced the issue in her attempts to have Mr. Hans "get out of his funk", and because she took on a greater portion of the workload.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Mrs. Hans testified that while driving through mountains or even on flat stretches Mr. Hans would often brake suddenly for no reason. When she asked why he had done that, he said things like "I thought the engine stopped" or "What if it shut down?" The sudden stops, especially in the mountains, were so dangerous that Mrs. Hans began doing that driving. She also began to do all of the night driving rather than the daylight driving that she had done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order to continue to be able to work and keep earning money as a team, Mrs. Hans also began to do more than 50 percent of the driving. She did so by not complying with regulations concerning how many hours she could drive in any day and by not getting the mandatory amount of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To avoid detection she altered the log books and went from driving 50 to 60 and then to 70 percent of the time over that period of about two years with hopes that Mr. Hans would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Instead, Mr. Hans became increasingly withdrawn, angry and obsessed with Volvo, Yanke and the "death truck" that had ruined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January of 2011, Mr. Hans' father died and Mr. and Mrs. Hans returned to India for his funeral.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Mrs. Hans testified that even in India with his old friends and in his home village, when his focus ought to have been on his father's life and death, Mr. Hans' constant topic of discussion was the collision and the impact of it upon their lives.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and Mrs. Hans' very good friend, Mr. Parmjit Hans (who is not a relative) who had once been Mr. Hans' roommate in college, testified that during that visit to India in January of 2011, Mr. Hans was wholly unlike his former self. He appeared unkempt and lost and did not react to his father's death in the way he would have expected. He said Mr. Hans talked constantly about the accident, how he had hardly survived it and that "something had happened to 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May of 2011, Parmjit Hans also immigrated to Canada. He testified that after he arrived Mr. Hans did not visit him often, and when he did, he did not talk much.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J. Cessation of Driving and Suicide Attempts (September of 2011 to September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In September of 2011 Mr. Hans stopped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Dhillon's expert report of August 20, 2015 is instructive as to Mr. Hans' condition at that time and is consistent with Mrs. Hans'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Concerning Mr. Hans' attendances upon him on September 21, 2011 and October 4, 2011, Dr. Dhillon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Hans was seen on September 21, 2011. He stated that he had a lot of anxiety type symptoms and had trouble with sleep. He was only sleeping about three hours, even when taking the Amitriptyline. He had no auditory or visual hallucinations. He had repetitive thoughts about his accident with his truck. He kept thinking about how it happened and that there had not been any closure as of yet in regards to it. He had some delusional thoughts as well at this time and was incoherent in his speech as per his wife. On examination, he had no suicidal ideation or attempt and no homicidal ideation or attempt. He was advised to start Seroquel, discontinue the use of Amitriptyline and to return to the clinic in one week. He was also advised not to drive until his follow up with myself.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Hans was seen on October 4, 2011. He stated that he had been sleeping for about four hours per night since starting the Seroquel. He had still been rambling on about various different aspects of the accident. He had a lot of financial issues since the accident occurred. He stated that he felt like sitting in a quiet place all of the time. On examination, he had no suicidal ideation or attempt and no homicidal ideation or attempt. He was advised to start Cipralex and to continue the use of Seroquel.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Unfortunately, Dr. Dhillon's assessments that Mr. Hans was not suffering suicidal ideation on October 4, 2011 proved to be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On October 5, 2011, Mr. Hans rose from his sleep, went to a downstairs bedroom, tied one end of a scarf around his neck and the other to a ceiling fan. Fortunately, Mrs. Hans awoke, followed him and interrupted him. He jumped off the bed on which he was standing but the scarf proved to be too long for a successful suicide.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Hans was then immediately admitted to Surrey Memorial Hospital where he remained for 6 weeks before being discharged on November 21,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During that time Mrs. Hans continued to drive commercially but to a limited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Mrs. Hans testified that when Mr. Hans was discharged from hospital he was very quiet and sad and stayed in bed a lot but did not appear suicidal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Concerning an attendance by Mr. Hans on November 24, 2011, Dr. Dhillon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Hans was seen on November 24, 2011. He had just been discharged from the Surrey Memorial Hospital Psychiatry Unit for major depression with suicidal ideation. He had been given Celexa, Divalproex, Seroquel, Effexor and Zopiclone. He had no suicidal ideation or attempts since his discharge. He was still thinking about the accident daily and had issues with his memory. On examination, he had no suicidal ideation or attempt and no homicidal ideation or attempt. He was advised to continue with current management, was provided with the number for and was referred to Surrey Mental Health. In December Mrs. Hans again tried to have Mr. Hans drive with her. He then told her he did not want to drive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On December 12, 2011, Mr. Hans again saw Dr. Dhillon. Of that visit Dr. Dhillon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Hans was seen on December 12, 2011. His wife had taken him to a trip on their long haul truck. He had increased dreams about the accident and this would wake him from his sleep. He had increased suicidal thought and had even mentioned to his wife that maybe he, his wife and kids should have got into a car a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driven themselves into the river. He had not acted on any of these thoughts. He felt anxious at times as well and was not sleeping well at all. His medication regime at that time was not working out for him. On examination, he had suicidal and homicidal ideation but no attempts. He was advised to increase the dose of Effexor, and to go to the emergency department if he had increased suicidal thoughts and if there were safety issues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Dr. Dhillon's notes are again consistent with Mrs. Hans'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After his attendance on Dr. Dhillon on December 12, 2011, Mr. Hans was again admitted to Surrey Memorial Hospital's Psychiatric Assessment Unit. His existing medications were stopped and a new regime was put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According to the records of the Surrey Memorial Hospital of December 15, 2011, Mr. Hans: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snuck out of PAU and went to the open ward and tried to hang himself in the same fashion as his previous admission. He tried to hang himself from the curtain rod of the divider between patient beds. That rod and that curtain are absolutely unable to sustain the weight of an individual like Amandeep. He was seen by staff and brought back to PAU.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Mr. Hans remained in hospital on that second admission until January 9,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After being discharged on that date Mr. Hans was seen often by Dr. Dhillon until September of 2012, with little or no improvement in his psychological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Also, from March of 2012 until August of 2012, Mr. Hans was seen regularly by Dr. J.S. Sandhu, a psychiatrist, to whom he was referred by Dr. Dhillon. Medical records in evidence establish that in that six-month period Mr. Hans attended upon Dr. Sandhu's office for psychiatric services on 20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Dr. Dhillon's report and his clinical records for the period from January 9, 2012 to August of 2012 indicate that after being discharged from Surrey Memorial Hospital's Psychiatric Unit for the second time, although suicidal ideation was at times present Mr. Hans had not acted upon it. They also, however, indicate that Mr. Hans continued to suffer from the same medical difficulties he had experienced since the collision notwithstanding significant psychiatric consultation and pharmaceutical intervention by Dr. Sandhu.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More specifically, Dr. Dhillon reported that during that period at various times and often frequently, Mr. Hans suffered from feelings of isolation; did not want to speak to anyone; felt low and had very low energy levels; was withdrawn with low mood; had recurrent nightmares about the collision which made him wake-up with difficulty in getting back to sleep; at one time in late April suffered from some paranoid type delusions; felt anxious and depressed throughout the day and spent most of his time in a dark room; and, was depressed about his inability to earn income for the family and the burden he had become upon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the summer of 2012, Parmjit Hans, Mr. Hans' friend and college roommate separated from his wife. After that separation, he became Mr. Hans' almost constant companion when he was not himself at work as a truck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For a time Parmjit Hans moved in with the Hans family and was paid $1,000 per month by Mrs. Hans and provided with room and board to help to supervise Mr. Hans while she was working or otherwise unable to be at home, usually because of the children's needs. She made those arrangements with Parmjit Hans because of her continuing fear that Mr. Hans would again try to harm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After Parmjit Hans undertook those supervising tasks in the summer of 2012, he provided companionship and supervision of Mr. Hans for between 20 and 25 hours a week when he had time or when he was called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Although Parmjt Hans was initially paid for that supervision assistance as well as for driving the children when necessary, he continued to provide similar dedicated assistance without any compensation after he moved out of the Hans' home and into his own accommodation. The new accommodation was sufficiently nearby that he could still assist.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Notwithstanding the intensive medical intervention by Dr. Sandhu and Dr. Dhillon in 2012 and the help provided by Parmjit Hans in conjunction with Mrs. Hans' own efforts, Mr. Hans was again hospitalized in late August of 2012 after expressing suicidal intent and exhibiting bizarre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On the day that resulted in that return to the hospital, Parmjit Hans was with Mr. Hans who seemed very uneasy. Parmjit Hans decided to take Mr. Hans to the Nanaksar Gurdwara Sikh Temple in Richmond hoping to provide his "mind with some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Parmjit Hans testified that on the way back from the Temple when driving over the Alex Fraser Bridge Mr. Hans asked him to stop and drop him off on the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When Parmjit Hans did not stop but asked Mr. Hans what he wanted to do he testified that Mr. Hans said "I consider myself a burden on my family...I am not able to do anything for my children and won't be able to...I want to kill myself."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Parmjit Hans then drove Mr. Hans home where they sat and Parmjit Hans told him not to worry before excusing himself to go to the washroom. When he did so, Mr. Hans left the home. When Parmjit Hans learned from Mrs. Hans that Mr. Hans had left, he quickly went out to follow him, all the while keeping in telephone contact with Mrs. Hans.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Mr. Hans walked away from Parmjit Hans and then abruptly turned onto some railway tracks walking at a pace that Parmjit Hans could not match. When he told Mrs. Hans what was happening he learned from her that she had called 9-1-1 and was herself coming by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Before Mrs. Hans arrived the police apprehended Mr. Hans and took him to the Surrey Memorial Hospital. Mrs. Hans also went to the hospital while Parmjit Hans returned to the Hans' home to look after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Mr. Hans remained in the hospital that time for three weeks. After being discharged he saw Dr. Dhillon on September 20, 2012. Concerning that visit Dr. Dhillon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had been admitted to the psychiatric ward for the past three weeks. This was for active suicidal ideation with attempt. He was very isolative and very quiet. He felt like his energy levels were very low. On examination, he had suicidal ideation with no attempt; he had no homicidal ideation or attempt. He had a flat affect and was very non-verbal. He was advised to follow up with Dr. Sandhu and to continue the use of his current medications.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K. Life since Last Suicide Attempt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After that visit Dr. Dhillon together with Dr. Sandhu referred Mr. Hans to another psychiatrist, Dr. Jogi Harrad, who saw Mr. Hans for the first time on October 4, 2012. Dr. Harrad has been Mr. Hans' treating psychiatrist since that visit. He has seen and counselled Mr. Hans almost weekly since then and continues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Dr. Harrad wrote a medical legal report dated April 24, 2013. He also testified at trial about that report and, as his treating psychiatrist, provided updated information about Mr. Hans' condition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In his report Dr. Harrad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Recently he was hospitalized in August 2012 for three to four weeks because of suicidal thoughts with plan of jumping from Pattullo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Bridge. Mr. Hans was discharged on Clonazepam 2mg and 0.5mg hs [anti-anxiety and sedation medication], Remeron 45mg hs [anti-depression; anti-anxiety and sedation medication], Risperdal 1mg am and 2 mg hs [anti-psychotic medication for extreme anxiety and agitation, and hearing of voices], Effexor XR 150mg bid [for anxiety and depression], Imovane 15mg hs [for sleep]. Mr. Hans does not have any problems with drinking or drugs. he does not have any symptoms of high mood symptoms or mania. Not having any delusional thinking but he always hear noises of tires of his truck. Almost every day he thinks about his accident. He spends a lot of time thinking about his life. Mr. Hans is socially isolated and is not going to anybody's house. He is not inviting anybody to his home. He is getting angry and frustrated. He is very sensitive to noise. Mr. Hans categorized himself as being a religious person and goes to Sikh temple on a daily basis. He is also doing prayers.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Dr. Harrad testified that in his opinion a gradual worsening of psychiatric symptoms is common with those who suffer from PTSD. He explained that he believes Mr. Hans was initially in some denial concerning the symptoms he suffered after the collision and that his limited success and capacity in trying to work, together with the ongoing PTSD symptoms he was experiencing, increased the level of his distress and led to acute relapse, suicidal ideation and eventually to his active attempts to commit suicide.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Dr. Harrad further testified that the prescribed combinations of medication was necessary for the control of Mr. Hans' severe psychiatric symptoms and to attempt to prevent him from actively acting upon his pervasive suicidal thoughts.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Dr. Harrad also testified that the combination of medications has changed over the years before trial and that Mr. Hans now takes the following regimen of medications:</w:t>
      </w:r>
      <w:r>
        <w:rPr>
          <w:rFonts w:ascii="arial" w:eastAsia="arial" w:hAnsi="arial" w:cs="arial"/>
          <w:sz w:val="20"/>
          <w:lang w:val="en-US" w:eastAsia="en-US" w:bidi="ar-SA"/>
        </w:rPr>
        <w:cr/>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Trazadone 150 mg taken at bedtime for sleep control;</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Serequel 200 mg (anti-psychotic intended to address hearing noises and for some sleep assistance) taken at bedtime;</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Clonazepam .5 mg taken at bedtime for anxiety and sleep;</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Effexor R 75mg taken twice per day for anxiety, depression and PTSD;</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Epival 250 mg taken twice per day for control of anger;</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Ativan 1mg taken sublingually as needed for immediate control of agitation and panic.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Dr. Harrad testified that while some treatment success could be measured by the fact that Mr. Hans had not again attempted suicide since the summer of 2012, his underlying psychiatric symptoms continue to persist. He testified that significant intervention with medication must be continued because Mr. Hans still suffers from moderate to severe symptoms of depression and PTSD which remain very difficult to treat.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As a Punjabi speaking psychiatrist of South Asian descent, Dr. Harrad also offered insight into how cultural concerns can negatively impact attitudes towards mental illness to the detriment of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Dr. Harrad testified that it is not uncommon in Mr. Hans' cultural community for a person who is exhibiting symptoms of mental illness, such as not being able to converse normally, to be treated poorly by others and for that person to try to hide his or her symptoms and also not seek help because of the stigma attached to mental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In that regard, Mrs. Hans also testified that she did not appreciate the depth of Mr. Hans' suffering when she prodded him into going back to driving in the hope that doing so would help him "get out of his funk". With the experience she has gained, she now regrets her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Under the heading "Prognosis" it was Dr. Harrad's opinion in April of 2013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Due to the nature and severity of Mr. Hans' psychiatric illness, he is not stable to be employed at any job. He is not a suitable candidate at this time to be considered participating in vocational rehabilitation program. His progress is very, very slow. He needs 24 hour supervision by family members to protect him from suicide attempts. It will take a few years to stabilize and bring Mr. Hans' psychiatric disorder in remission. Even if Mr. Hans is stabilized, it will be risky and impossible for him to be employed as a truck driver. His prognosis is poor. Mr. Hans will remain at high risk of attempting suicide mainly due to his psychiatric illness and ongoing litigation against Volvo and Yanke Group of Companies. Mr. Hans will have to live with this lifelong psychiatric illness and to be maintained on medication for the rest of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Since that opinion was given in April of 2013, Dr. Harrad has continued as Mr. Hans' treating psychiatrist and, except for intervals in the summer of 2013 (June to early September) and spring of 2014 (April to June) during which Mr. Hans travelled to India, he has seen Mr. Hans weekly and will continue to see him weekly for the foreseeable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Dr. Harrad testified that Mr. Hans' prognosis remains poor. He testified also that his hopes that remission would occur within a few years have not been realized and that Mr. Hans continues to need 24 hour supervision by a family member or others because of his past suicide attempts and continuing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Dr. Harrad further testified that the present medication regime he has prescribed will continue into the future with such modification as may be necessary to address Mr. Hans' psychiatric symptoms. He is also considering referring Mr. Hans to a pharmacology expert for assistance in his future medicinal treatment of Mr. Hans.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Since Mr. Hans' last suicide attempt in August 2012 he has not only been under Dr. Harrad's weekly care but has also been closely supervised, primarily by Mrs. Hans and Parmjit Hans.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Mr. and Mrs. Hans' downstairs neighbour, Ms. Sarjit Kaur Bilan, also looks in on Mr. Hans as necessary when Mrs. Hans or Parmjit Hans are not available because of work or other commitments. Mrs. Hans is also in constant telephone communication with Mr. Hans and has tried to find work which allows her flexible hours so that her time away from him is as limited as possible. She continues to perform virtually all household and childcare responsibilities, including the driving of the children to school and outside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Deepkaran Hans is now playing hockey at a relatively high level for his age with some success. Ashleen Hans is involved in competitive Bhangra team dancing. Those activities and especially Deepkaran's hockey practises and games require a significant amount of driving. When she cannot do that driving Mrs. Hans engages the assistance of other parents or that of Parmjit Hans so that the children do not miss out on their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Mr. Hans has had very little interest in his children's activities since the collision. He has not seen Ashleen dance and only lately, with the coaxing of Parmjit Hans, has begun attending some of his son's hockey games.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Since Mr. Hans' first suicide attempt in October of 2011 he has not worked. Mrs. Hans, however, undertaken various work to "to put food on the table". She has attempted to obtain flexible working hours and conditions to allow her to be able to attend upon Mr. Hans because of his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More specifically, Mrs. Hans has been employed:</w:t>
      </w:r>
      <w:r>
        <w:rPr>
          <w:rFonts w:ascii="arial" w:eastAsia="arial" w:hAnsi="arial" w:cs="arial"/>
          <w:sz w:val="20"/>
          <w:lang w:val="en-US" w:eastAsia="en-US" w:bidi="ar-SA"/>
        </w:rPr>
        <w:cr/>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commercial truck driver from when Mr. Hans was hospitalized, when he was supervised in hospital, until early January of 2012.</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summer of 2012, as a part time driver of labourers for a blueberry farm working approximately one and one-half hours each morning and evening near her home.</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September of 2012, as a school bus driver for the Khalsa School for about one month also for about one and one-half hours twice per day. That employment ended when she injured her left knee. After that injury she received benefits from the Workers' Compensation Board ("WCB benefits") both before and after surgery to her knee.</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January to April of 2014, while still disabled with her knee injury, by the Canada Revenue Agency (CRA) at a call centre at $20 per hour. During that time her WCB benefits were suspended and when the CRA job ended she received a partial disability settlement from WCB for her injuries.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ceasing work with the CRA by re-starting her driving school business which allowed flexible hours. She also took an interpreter course and worked as an interpreter at rehabilitation clinics and doctor's offices for the remainder of 2014; and</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January of 2015 until June of 2015, full time as a dispatcher for Habib Trucking, a transport company with 14 to 15 trucks, at $25 per hour. That work allowed flexibility to the extent of easy telephone contact with Mr. Hans and the ability to leave work and attend upon him if necessary. It ended in June of 2015 when she was pregnant with the Hans' third child and developed medical complications.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After their daughter was born in August of 2015, Mrs. Hans went on maternity leave and was still on maternity leave during the trial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Mr. Hans remains unable to work and does not drive even a passenger vehicle. He remains dependent upon Mrs. Hans or Parmjit Hans for transportation and remains socially isolated from his former good friends and is now also estranged from his mother and brother.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In addition to Drs. Dhillon and Harrad, since his last suicide attempt Mr. Hans has also seen a number of other health professionals, both for therapeutic assistance and for medical-legal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 will discuss the evidence of those medical professionals in detail when considering Mr. Hans' claims for damages for his non-pecuniary loss, cost of future care and lost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Volvo generally accepts that Mr. Hans is now disabled from work and is also now a much changed person from that which he was before the collision. Volvo also, however, submits that the plaintiffs have greatly exaggerated the nature of the injuries suffered by Mr. Hans and their effect upon his life in an attempt to obtain excessive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Volvo's submissions concerning the alleged deliberate exaggeration of the nature and extent of Mr. Hans' injuries and their effect upon the lives of both Mr. and Mrs. Hans are all based upon an attack levelled against the plaintiffs'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That attack focuses primarily upon Mr. and Mrs. Hans' evidence in respect of five specific areas in respect of which Volvo alleged either exaggeration or deliberate untruthfulness.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Those five areas relate to:</w:t>
      </w:r>
      <w:r>
        <w:rPr>
          <w:rFonts w:ascii="arial" w:eastAsia="arial" w:hAnsi="arial" w:cs="arial"/>
          <w:sz w:val="20"/>
          <w:lang w:val="en-US" w:eastAsia="en-US" w:bidi="ar-SA"/>
        </w:rPr>
        <w:cr/>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Conflicts in the evidence between Mr. and Mrs. Hans and that of Mr. William Kalbhenn, then Yanke's Director of Fleet Planning and Recruiting concerning Mr. Hans' condition at the time of their meetings in Saskatoon on February 4, 2009 after the collision.</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Mrs. Hans and, to a lesser extent, that of Mr. Hans that they had to sell their home because of the collision and the termination of Mr. Hans' employment.</w:t>
      </w:r>
    </w:p>
    <w:p>
      <w:pPr>
        <w:numPr>
          <w:numId w:val="8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sincerity of Mr. Hans' suicide attempts.</w:t>
      </w:r>
    </w:p>
    <w:p>
      <w:pPr>
        <w:numPr>
          <w:numId w:val="8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Mr. Hans has been supervised by Mrs. Hans and others since his first suicide attempt, including with regards to his trips to India in 2013 and 2014.</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Surveillance video of Mr. Hans' activities in the community recorded on four days in May and June of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 will next discuss each of those areas and how they impact my consideration of credibility of Mr. and Mrs. Hans both specifically and generally.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 Mr. Hans' Condition at the Time of the Meetings with Yanke in Saskatoon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On February 4, 2009, three days after the collision, Mr. Hans provided a statement concerning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Mrs. Hans testified that when Mr. Hans gave the statement in Saskatoon, he was assisted by her by interpreting as well as by participating. She also testified that they were told that Mr. Hans would be required to take and pass a Dangerous Goods Examination before he could continue to be employed by Yanke.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Mr. and Mrs. Hans both testified that Mr. Hans told the Yanke representatives that day that his head felt numb and that he did not think he could pass the exam but that Yanke insisted that he take it. They further testified that Mr. Hans then took the exam, was told he had failed and that his employment was terminated because of that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Volvo adduced the evidence of Mr. Kalbhenn, then Yanke's Director of Fleet Planning and Recruiting as well as the evidence of Ms. Grigorovich, Yanke's Director of Human Resources and Risk Management whom Mrs. Hans had contacted from the scene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Neither is still employed by Yanke or its successor.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Ms. Grigorovich did not offer any evidence concerning Mr. or Mrs. Hans' attendance in Saskatoon after the collision or with respect to Mr. Hans' condition or appearance.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Mr. Kalbhenn did. He testified that he met with Mr. and Mrs. Hans three times that day. He said the first meeting was in the morning when he explained that there would be a formal interview later that day concerning the collision; the second was during that interview; and the third concerned the need for Mr. Hans to take the Dangerous Goods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Mr. Kalbhenn testified that during the first encounter he asked Mr. and Mrs. Hans if they were okay and was told they were and that he believed neither had sought medical attention nor been hospitalized. He said that he talked directly to Mr. Hans who seemed tired but was smiling. He also testified that he had difficulty understanding Mr. Hans due to language difficulties and was concerned about whether his proficiency in English had improved to the extent necessary for him to continue being employed by Yanke.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Mr. Kalbhenn testified that he conducted the formal interview and typed the statement which Mr. Hans eventually signed. He said that the answers were given primarily by Mr. Hans with some clarification by Mrs. Hans due to language issues. Mr. Kalbhenn was also specifically directed by counsel for Volvo to the question of Mr. Hans: "Did you have injuries?" and the response "Nothing major, Pavandeep has a sore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Mr. Kalbhenn testified that after the interview and the signing of the statement his concerns about Mr. Hans' ability to meet Yanke's English language requirements led to discussions with Yanke's trainers and examiners about Mr. Hans' employment with Yanke.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He testified that he learned that Mr. Hans had passed a Dangerous Goods Examination in June of 2008 but that Mrs. Hans had been in the room and had helped him. He testified that he concluded that the examination was invalid and had to be re-taken.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Mr. Kalbhenn testified that he then told Mr. and Mrs. Hans what he had learned, that Mrs. Hans told him she had assisted Mr. Hans with the test and that he then said it would have to be re-taken. He also testified that Mr. Hans then refused to take the test and denied that Mr. Hans had told him his head felt numb.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None of the conversations that Mr. and Mrs. Hans were said to have had with Mr. Kalbhenn about her having helped Mr. Hans to pass the Dangerous Goods Examination were put to either Mr. or Mrs. Hans by counsel for Volvo in his cross-examination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In a letter dated February 18, 2009, by which he formally terminated Mr. Hans' employment with Yanke, Mr. Kalbhenn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letter serves as confirmation of our telephone conversation yesterday in regards to Amandeep's inability to meet the training requirements, pass his dangerous goods test and obtain a minimal language requirement to communicate effectively with the company representatives.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his initial orientation it was discovered that he could not pass the test and during the test he received unauthorized answers from you, Pavandeep. Furthermore, he had difficulties in all of his tests and communicating without assistance. This test must be completed without any support other than the training provided and the dangerous goods reference material. After the orientation it was agreed that you, Pavandeep, would assist him to bring up his language skills and attempt to rewrite the test. If successful, he could then remain on the fleet. He rewrote the initial test on April 8, 2008, and again on June 14, 2008 and again attempted on February 4, 2009. He was unsuccessful on all attempts to pass.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the recent investigation of the electrical malfunction on your unit 2877, Amandeep could not converse sufficiently to provide any form of statement of events. Pavandeep was requested to assist in meeting this requirement or the information would not have been received.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Due to the above reasons, Amandeep is no longer eligible to run on the Yanke Fleet as an Operator. We have no concerns with Pavandeep remaining as a PTO. If Amandeep's English language capabilities make a successful improvement and he can pass the required testing then he will be considered, eligible for reassignment.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contents of that correspondence are not only at odds with Mr. Hans having been provided with a Dangerous Goods Certificate by Yanke in 2008 that was valid until June of 2011 when he was required to re-write the test on February 4, 2009, but also directly contrary to Mr. Kalbhenn's sworn testimony that Mr. Hans had refused to take the test on February 4,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When confronted with that contradiction in cross-examination Mr. Kalbhenn insisted that his present memory of the events at trial was clearer than what he had written 14 days after the events and re-iterated and insisted that Mr. Hans had refused to take the examination on February 4,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Volvo's failure to confront Mr. or Mrs. Hans in cross-examination with Mr. Kalbhenn's version of events on an important issue of credibility, the inherent hearsay issues related to the issues engaged concerning other Yanke employees who did not testify, and the contradictory contemporaneous evidence in Mr. Kalbhenn's letter of February 18, 2009, lead me to conclude that I cannot safely rely upon Mr. Kalbhenn's testimony concerning Mr. Hans' emotional state or his denials of Mr. and Mrs. Hans' expressions of concern about Mr. Hans' ability to write the Dangerous Goods Exam on February 4,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 have concluded that in February of 2009 Mr. Kalbhenn was far more concerned with any physical injuries Mr. or Mrs. Hans may have suffered while in Yanke's employ and with Mr. Hans' English proficiency than with Mr. Hans' emotional or mental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Mr. Kalbhenn was primarily responsible for the dismissal of Mr. Hans as a Yanke owner-operator and I am satisfied that, whether deliberately or not, his testimony was tailored to exonerate both himself and his former employer for that dismissal which was the subject of claims against Yanke for almost seven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It follows that I am not prepared to make any adverse credibility findings against Mr. or Mrs. Hans arising from Mr. Kalbhenn's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 accept Mr. and Mrs. Hans' evidence that they each told the Yanke representatives, including Mr. Kalbhenn, that Mr. Hans' head felt numb and that he did not think he could pass the exam, that Yanke insisted that he take it, that he took it that day and was told that he had failed.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 The Plaintiffs' Sale of their Home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Three weeks after the collision the plaintiffs sold their family home in Surrey which Mrs. Hans owned jointly with her sister.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plaintiffs' original statement of claim filed on December 9, 2009 included assertions at paras. 45 and 46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Without access to their Truck or their income that it generated for their family, and as a result of the trauma they suffered, the Plaintiffs were unable to earn any income until about August 2009, when they obtained part-time work, and were not able to contribute to the mortgage on the home that they owned together with their extended family.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result, the Plaintiffs were obliged to sell their family home for less than its assessed value, and fell into arrears on the Financing Contract. Volvo Finance seized the Truck and sold it on dates which are unknown to the Plaintiff, without returning any equity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Those assertions remained part of the plaintiffs' claims until June of 2015, but were withdrawn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In relation to that claim, counsel for Volvo confronted Mrs. Hans with the following:</w:t>
      </w:r>
      <w:r>
        <w:rPr>
          <w:rFonts w:ascii="arial" w:eastAsia="arial" w:hAnsi="arial" w:cs="arial"/>
          <w:sz w:val="20"/>
          <w:lang w:val="en-US" w:eastAsia="en-US" w:bidi="ar-SA"/>
        </w:rPr>
        <w:cr/>
      </w:r>
    </w:p>
    <w:p>
      <w:pPr>
        <w:numPr>
          <w:numId w:val="8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affidavit sworn on September 26, 2011 in support of one of the many interlocutory proceedings in this case. In that affidavit Mrs. Hans deposed: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After the accident we sold our home in Surrey below the assessed value and are now dependent on our extended family to survive.</w:t>
      </w:r>
    </w:p>
    <w:p>
      <w:pPr>
        <w:numPr>
          <w:numId w:val="9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written submissions on a summary trial application on September 16, 2013 in which their then counsel wrote: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addition to losing their Truck, the plaintiffs were also forced to sell their home at a loss.</w:t>
      </w:r>
    </w:p>
    <w:p>
      <w:pPr>
        <w:numPr>
          <w:numId w:val="9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affidavit sworn on January 15, 2014, on another interlocutory application, in which Mrs. Hans deposed: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the eight months immediately following the accident, we had no income, and we had to sell the house (which I owned jointly with my sister) because we could not afford to keep it. That house is now worth about $200,000 more on the market than what we sold it for in 2009.</w:t>
      </w:r>
    </w:p>
    <w:p>
      <w:pPr>
        <w:numPr>
          <w:numId w:val="9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valuation report dated June 26, 2015, with respect to the comparative values of the Hans' family home as at the date of its sale in March of 2009 as compared to June 17, 2015, obtained for the purposes of trial before the plaintiffs' claim associated with loss of value was abandoned.</w:t>
      </w:r>
    </w:p>
    <w:p>
      <w:pPr>
        <w:numPr>
          <w:numId w:val="9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Mrs. Hans' testimony on examination for discovery on September 15, 2015 in which the following exchange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61"/>
        <w:gridCol w:w="516"/>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All right. I want to ask you some questions about the -- what we referred to earlier as the 81st Avenue property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32"/>
        <w:gridCol w:w="6692"/>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655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61"/>
        <w:gridCol w:w="516"/>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in Surrey, the one that you and your sister owned and sold.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32"/>
        <w:gridCol w:w="6692"/>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655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32"/>
        <w:gridCol w:w="6692"/>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655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12363 81st Avenue.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32"/>
        <w:gridCol w:w="6692"/>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655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61"/>
        <w:gridCol w:w="516"/>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 Now, I understand your position to be that you had to sell that house because you could no longer afford it after you lost the income stream from your - - as a result of the trucking accident. I got that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32"/>
        <w:gridCol w:w="6692"/>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655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9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Two MLS Listings indicating that the home was listed for sale on June 5, 2008 for $599,000; re-listed on November 1, 2008 for $539,000 and sold on February 21, 2009 for $523,500.</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medical legal report obtained at the instance of Yanke but not tendered at trial in which the physician recorded that Mr. Hans had told him that they had lost their home because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After confronting Mrs. Hans with that evidence and the objective evidence that the home had been sold only three weeks after the collision counsel for Volvo asked her to admit that her evidence in the referenced affidavits and on discovery was false and that the claim with respect to the sale of the home because of the collision and being unable to pay the mortgage was concocted to enhance their claims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Mrs. Hans admitted that it was unlikely that more than one mortgage payment was missed but denied that the plaintiffs had concocted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 am, of course, troubled by the evidence concerning the timing of the actual sale of the home within three weeks of the collision and its apparent inconsistency with the plaintiffs' attribution of the loss of its value to the collision when the home had been listed for sale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 am also, of course, concerned with the specific plea first advanced in the plaintiffs' original statement of claim filed December 9, 2009 that because of the collision they were unable to contribute to the mortgage on the home given Mrs. Hans' admission that it was unlikely that more than one mortgage payment had been missed especially given her evidence that before the collision the plaintiffs were doing well financially.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Mrs. Hans' explanation for those apparent inconsistencies and the facts regarding when the home was sold was that, given their risky financial situation immediately after the collision and the trauma associated with it and its aftermath, they accepted the first offer received for the home rather than attempt to obtain a better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Although the various statements made by Mrs. Hans in her affidavits and in her examination for discovery do not refer to the prior listing of the home or the significant reduction of the asking price for it between June 25, 2008 and November 1, 2008 and the subsequent acceptance of an offer almost $20,000 below that final list price, the fact that the much lower offer was accepted almost immediately after the collision tends to support the explanation given by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 also note that the allegation of being unable to contribute to the mortgage payments on the home arose from a pleading advanced many months after the sale of the home and was never the subject of sworn testimony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In that regard I note also that all of the affidavit evidence relied upon by Volvo was sworn many years after the sale when the plaintiffs were still living in very strained financial circumstances in rental accommodations. As such, attribution of the loss of the home by them to the collision and the conduct of Yanke and Volvo is not surprising.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After considering the totality of the evidence relied upon by Volvo on this issue I have concluded that while Mrs. Hans' evidence suffers to some extent from reconstruction, it does not support Volvo's suggestion that the claim was a deliberate concoction by Mr. and Mrs. Hans advanced to exaggerate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 must also observe that over all or parts of six days in which she testified in this trial I found Mrs. Hans to be a reliable historian and a straightforward witness who answered questions, both in examination in chief and in cross-examination, directly. She was not evasive, her evidence was internally consistent and was also generally consistent with the evidence of the other witnesses (with the exception of that of Mr. Kalbhenn whose evidence I consider unreliable for the reasons stated above) including the plaintiffs' medical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 accordingly find that while Mrs. Hans' evidence with respect to sale of the family home suffers from reconstruction, that frailty in her evidence on that single issue does not cause me to consider her to be a generally untruthful witness upon whose evidence I cannot safely 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Counsel for Volvo also confronted Mr. Hans with statements recorded by Dr. Harrad, Dr. Sandhu and others that he had told them that he and Mrs. Hans had to sell the home because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Mr. Hans did not deny those statements. He testified that after the collision and after the house was sold he told many doctors that it had been sold and that if the collision had not happened the house would not have been sold. He also said that if not for the collision they were in excellent financial condition and that now "I am the living dead".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Assessment of Mr. Hans' credibility on this issue as well as others I will discuss is made difficult by reason of his present psychological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 evidence of his many friends and co-workers who testified and which was not challenged by Volvo is that before the collision Mr. Hans was a jovial, gregarious, hard-working, highly competitive and physically imposing man who was also a social extrovert. In the words of many, Mr. Hans was the "life of the party" who was always at the centre of any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His daughter, Ashleen also testified that her father was a "fun guy" who played sports and games with his children and other children and would often leave adult companionship when children were around to join in their fun.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Those same collateral witnesses all testified that Mr. Hans is now socially reclusive, withdrawn in the few social activities he attends, uninterested in sports or competition, sullen, impatient with or uninterested in children including his own, fixated upon and obsessive about the collision and the "death truck", generally emotionally flat but also subject to angry outbursts about Volvo and Yanke and how they have "ruined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Many of those aspects of Mr. Hans' present psychological state were also evident when testifying at trial. Consistent with much of the medical evidence he also demonstrated and acknowledged a poor memory for past events and the timing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While Mr. Hans appeared to have a fairly good recall of his general circumstances before the collision, and even smiled at photographs of his many athletic achievements in India, he had difficulty remembering the circumstances of family events and, at one time, even had some difficulty recognizing his son in a photograph of an early birthday celebration.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Although, bearing in mind his memory difficulties, Mr. Hans was generally responsive to questioning by his own counsel, his evidence was not spontaneous and at times his responses were difficult to follow. He did, however, also at times demonstrate serious distress to the point of tears when recounting the circumstances of the collision, his overwhelming fear of death during the loss of electrical power, his inability to control the jack-knifing of the trailer, the sparks in the rear view mirror from the landing gear hitting the pavement and his fear of fire, as well as the noise that emanated from the landing gear and the squealing of tires.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Under cross-examination Mr. Hans often became agitated and at times explosive when answering questions and often referred to the ruination of his life by Yanke and Volvo. He also at times became impatient with persistent questioning.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After considering the totality of Mr. Hans' evidence and with the benefit of my own observations, the evidence of his friends and co-workers and the medical evidence that I accept I have concluded that Mr. Hans was an honest but fragile witness who did his best to communicate with counsel and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Having said that, I have also concluded that because of the psychological and memory issues from which he so obviously suffers as well as his palpable anger at Volvo and Yanke I must approach the reliability of his evidence with care and where possible look for corroboration.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At times, such corroboration may only be available from the evidence of Mrs. Hans. If so, for the reasons I have articulated above concerning my assessment of her honesty and the overall reliability of her evidence, I am satisfied that, notwithstanding the identity of their interests in this litigation, I can safely rely upon corroboration by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In summary, I find that when considered in the context of the overwhelming evidence of Mr. Hans' psychological difficulties and their manifestation upon his life and that of his family over the almost seven years since the collision, I do not accept Volvo's submission that Mr. and Mrs. Hans concocted their "story" about the sale of their home at a loss to exaggerate their claims for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 The Sincerity of Mr. Hans' Suicide Attempts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In cross-examining Mrs. Hans about Mr. Hans' first suicide attempt in October of 2011 when she found him in a downstairs bedroom at night with a scarf around his throat, counsel for Volvo elicited evidence that the scarf was too long to have allowed Mr. Hans to succeed in taking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In relation to the second attempt while Mr. Hans was hospitalized for the second time for worsening depression in December of 2011, counsel for Volvo focussed on the statement in the hospital discharge records recorded at para. 151 above concerning the inability of the curtain rod to sustain Mr. Hans'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In that regard, in cross-examination of psychiatric experts who testified, counsel for Volvo also relied on a statement in that same hospital record attributed to a staff psychologist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self-harming behaviours may have been motivated by secondary gain. namely supporting his request for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Specifically:</w:t>
      </w:r>
      <w:r>
        <w:rPr>
          <w:rFonts w:ascii="arial" w:eastAsia="arial" w:hAnsi="arial" w:cs="arial"/>
          <w:sz w:val="20"/>
          <w:lang w:val="en-US" w:eastAsia="en-US" w:bidi="ar-SA"/>
        </w:rPr>
        <w:cr/>
      </w:r>
    </w:p>
    <w:p>
      <w:pPr>
        <w:numPr>
          <w:numId w:val="9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statement was referred to Dr. Harrad, with the suggestion that Mr. Hans' failed suicide attempts by hanging and his third unsuccessful attempt on the railroad tracks were not genuine or serious; and</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statement, as well as an article entitled </w:t>
      </w:r>
      <w:r>
        <w:rPr>
          <w:rFonts w:ascii="arial" w:eastAsia="arial" w:hAnsi="arial" w:cs="arial"/>
          <w:i/>
          <w:color w:val="000000"/>
          <w:sz w:val="20"/>
          <w:lang w:val="en-US" w:eastAsia="en-US" w:bidi="ar-SA"/>
        </w:rPr>
        <w:t>The Assessment of Malingering in Traumatic Stress Claimants</w:t>
      </w:r>
      <w:r>
        <w:rPr>
          <w:rFonts w:ascii="arial" w:eastAsia="arial" w:hAnsi="arial" w:cs="arial"/>
          <w:color w:val="000000"/>
          <w:sz w:val="20"/>
          <w:lang w:val="en-US" w:eastAsia="en-US" w:bidi="ar-SA"/>
        </w:rPr>
        <w:t xml:space="preserve"> (which had been referred to counsel for Volvo by their psychiatric expert Dr. Kevin Solomons), was referred to the plaintiffs' psychiatric expert Dr. Greg Passey with the suggestion that Mr. Hans may be exaggerating his symptoms for secondary 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Concerning Mr. Hans' third hospitalization after the railroad tracks incident, counsel for Volvo also cross-examined both Mrs. Hans and Parmjit Hans on whether there had been a train on the tracks, with the obvious inference being that this was either another insincere attempt or an exaggeration by Mr. Hans of his psychological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Although all of those indirect or direct suggestions that Mr. Hans' suicide attempts were not serious or genuine were put to Mrs. Hans, Parmjit Hans, Dr. Harrad and Dr. Passey, no such proposition was ever put to Mr. Hans.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After considering the totality of the evidence on this trial, and most specifically that of the psychiatrists who testified, I find that the suggestions that Mr. Hans was, by means of his failed suicide attempts, exaggerating his psychological trauma for monetary gain are without substance.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I say that because:</w:t>
      </w:r>
      <w:r>
        <w:rPr>
          <w:rFonts w:ascii="arial" w:eastAsia="arial" w:hAnsi="arial" w:cs="arial"/>
          <w:sz w:val="20"/>
          <w:lang w:val="en-US" w:eastAsia="en-US" w:bidi="ar-SA"/>
        </w:rPr>
        <w:cr/>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Passey acknowledged in cross-examination that malingering is always of concern in psychological diagnoses but also testified that he saw no evidence of malingering in the case of Mr. Hans.</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Harrad testified that he believed all the recorded suicide attempts to be genuine and serious ones. He also said that he did not consider the attempts to be cries for help as suggested by counsel for Volvo because he has treated Mr. Hans for a number of years and "knows the patient".</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Sundeep Thinda, a psychologist who saw Mr. Hans in May of 2012, testified in direct examination that an individual acting upon suicidal ideation is not likely to look at the physics of the methodology employed.</w:t>
      </w:r>
    </w:p>
    <w:p>
      <w:pPr>
        <w:numPr>
          <w:numId w:val="10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sole entry in the Surrey Memorial Hospital records attributed to a staff psychologist who did not testify is the only reference to possible motivation for secondary gain notwithstanding Mr. Hans' admission to the hospital on three occasions for stays of many weeks each time before he was determined by hospital doctors to be sufficiently stable to be released.</w:t>
      </w:r>
    </w:p>
    <w:p>
      <w:pPr>
        <w:numPr>
          <w:numId w:val="10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Dr. Solomons referred the article on malingering to Volvo's counsel, in his first report dated July 28, 2014, in which he included the Surrey Memorial Hospital records and the possible motivation for secondary gain as part of the documentation reviewed by him, but made no specific reference to it, he wrote: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 encountered him at this assessment, it is my opinion that his severe agitated treatment-resistant major depression makes him a </w:t>
      </w:r>
      <w:r>
        <w:rPr>
          <w:rFonts w:ascii="arial" w:eastAsia="arial" w:hAnsi="arial" w:cs="arial"/>
          <w:color w:val="000000"/>
          <w:sz w:val="20"/>
          <w:u w:val="single"/>
          <w:lang w:val="en-US" w:eastAsia="en-US" w:bidi="ar-SA"/>
        </w:rPr>
        <w:t>significant risk to himself and to others</w:t>
      </w:r>
      <w:r>
        <w:rPr>
          <w:rFonts w:ascii="arial" w:eastAsia="arial" w:hAnsi="arial" w:cs="arial"/>
          <w:color w:val="000000"/>
          <w:sz w:val="20"/>
          <w:lang w:val="en-US" w:eastAsia="en-US" w:bidi="ar-SA"/>
        </w:rPr>
        <w:t xml:space="preserve">, and I think he ought to be detained in a psychiatric hospital under the </w:t>
      </w:r>
      <w:r>
        <w:rPr>
          <w:rFonts w:ascii="arial" w:eastAsia="arial" w:hAnsi="arial" w:cs="arial"/>
          <w:i/>
          <w:color w:val="000000"/>
          <w:sz w:val="20"/>
          <w:lang w:val="en-US" w:eastAsia="en-US" w:bidi="ar-SA"/>
        </w:rPr>
        <w:t>Mental Health Act</w:t>
      </w:r>
      <w:r>
        <w:rPr>
          <w:rFonts w:ascii="arial" w:eastAsia="arial" w:hAnsi="arial" w:cs="arial"/>
          <w:color w:val="000000"/>
          <w:sz w:val="20"/>
          <w:lang w:val="en-US" w:eastAsia="en-US" w:bidi="ar-SA"/>
        </w:rPr>
        <w:t xml:space="preserve"> for treatment as well as for his safety and the safety of others.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It is also important to note that while refuting the suggestion that Mr. Hans' failed suicide attempts were not genuine or motivated by secondary gain both Drs. Passey and Harrad as well as Dr. Dhillon offered the opinion that while it is a positive sign that Mr. Hans has made no further attempts at suicide since August of 2012, what remains of concern is the continued existence of passive suicidal ideation which has in the past become active culminating in the three known attempts.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 The Extent to which Mr. Hans has been Supervised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Volvo also challenged the veracity of Mrs. Hans' evidence concerning the extent to which Mr. Hans has both needed supervision and the extent to which he has actually been supervised since being released from hospital after his first suicide attempt in the fall of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As with the issues raised concerning the sale of the house and the failed suicide attempts, the focus of that challenge to Mr. and Mrs. Hans' credibility centered on the suggestion that the close supervision of Mr. Hans that Mrs. Hans says is necessary, and the extent to which that is accepted by the medical experts, is either untrue or exaggerated to inflate the plaintiffs' claims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One aspect of Volvo's attack on Mr. and Mrs. Hans' credibility on the issue of the need for and extent of supervision focussed upon the number of hours Mrs. Hans has been away from Mr. Hans because of her work commitments or because of the need to drive to and attend the children's out of school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A second aspect focussed upon Mr. Hans' travel to India for lengthy periods of time in 2013 and 2014 while Mrs. Hans remained in Canada.</w:t>
      </w:r>
      <w:r>
        <w:rPr>
          <w:rFonts w:ascii="arial" w:eastAsia="arial" w:hAnsi="arial" w:cs="arial"/>
          <w:sz w:val="20"/>
          <w:lang w:val="en-US" w:eastAsia="en-US" w:bidi="ar-SA"/>
        </w:rPr>
        <w:cr/>
      </w:r>
    </w:p>
    <w:p>
      <w:pPr>
        <w:numPr>
          <w:numId w:val="10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Supervision of Mr. Hans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In recording the background circumstances in these reasons I have set forth in chronological sequence the events following Mr. Hans' discharge from the Surrey Memorial Hospital in November of 2011 after his first suicide attempt on October 5, 2011. In doing so I have also included reference to the medical intervention and treatment he has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That medical intervention included: frequent attendances upon his family physician Dr. Dhillon; a second admission to Surrey Memorial Hospital in December of 2011; 20 attendances upon Dr. Sandhu's office for psychiatric services with accompanying pharmaceutical intervention; the third admission to the psychiatric behavioural unit at Surrey Memorial in August of 2012 until September 20, 2012; followed by weekly attendances (with exception of the two visits to India from June to early September 2013 and from April to June 2014) upon Dr. Harrad from October 4, 2012 until trial (accompanied by pharmaceutical intervention as detailed in paragraph 174 of these reasons) to attempt to control Mr. Hans' still present psychiatric symptoms and to attempt to prevent him from actively acting upon his pervasive suicidal thoughts.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Since his last suicide attempt Mr. Hans has also seen a number of other health professionals in addition to Drs. Dhillon and Harrad both for therapeutic assistance and for medical-legal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Those other professionals include Dr. Passey and Dr. Kasusar Suhail, a clinical psychologist who saw Mr. Hans for four sessions of psychological treatment in November and December of 2014, in which, without success, she attempted to treat him using cognitive behaviour and cognitive processing therapies. She eventually put all treatment by her on hold because of Mr. Hans' agitation and inability to engage in those "talking" therapies.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In addition, I have noted the ongoing supervision of Mr. Hans at home and in the community since his discharge in November of 2011 after his first suicide attempt (at those times when he was not again hospitalized or for those periods in which he was in India) which has fallen primarily upon Mrs. Hans with assistance from Parmjit Hans.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Volvo did not challenge Parmjit Hans' evidence that after he separated from his wife, he first started supervising Mr. Hans for 20 to 25 hours per week for $1,000 per month (and board and room), and continued as Mr. Hans' almost constant companion for no remuneration when he was not himself at work as a truck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Even those extensive supervisory efforts were, however, insufficient to prevent Mr. Hans' third suicide attempt in August of 2012, when Mr. Hans left his home while Parmjit Hans was in the washroom.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Also, since Mr. Hans' last suicide attempt in 2012 when Mrs. Hans or Parmjit Hans have been unavailable, Mr. Hans has been regularly looked in on when necessary by Sarjit Kaur Bilan who lives downstairs in the same house in which the Hans family resides.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In addition, Ms. Bilan at times prepares food for Mr. Hans and looks after the Hans' children when needed from time to time and also drives Ashleen to school near her own daughter's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Mrs. Hans also testified that she is in constant telephone communication with Mr. Hans when she is away from the home and has tried to find work which allows her flexible hours so that her time away from him is as limited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Those efforts at supervision have been undertaken by Mrs. Hans, Parmjit Hans, Ms. Bilan and also at times by Ashleen Hans, so that Mr. Hans is not left alone or is at least in telephone contact with Mrs. Hans because of Mrs. Hans' fear that he will again try to commit suicide.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Cross-examination of Mrs. Hans and of Parmjit Hans as well as that of Ms. Bilan was directed primarily at their work schedules or other commitments to establish that the totality of those commitments would at any given time, and especially in daylight hours, still leave Mr. Hans alone at times without direct supervision.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Mrs. Hans did not disagree with that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She testified that she does the best she can with the help available to her but acknowledged there are times, and even extended periods, when no one is with Mr. Hans. She says she has no option but to work when she can to "put food on the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She testified that she has to take some risks, but remains fearful and vigilant which is why she maintains such close telephone contact and tries to minimize the time when someone is not with Mr. Hans, and which is why she engages the help of others as much as possible to drive the children to their activities and also tries to persuade Mr. Hans to come with her or go with Parmjit Hans to those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Mrs. Hans also testified that she has been more successful recently in doing so since their son has become more involved in hockey tournaments. To that extent she has been able to have Mr. Hans travel by car as far as Nanaimo and Terrace for tournaments although the trips were difficult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I am satisfied by the totality of the evidence that Mrs. Hans did not exaggerate the extent to which she has devoted herself and others to the supervision of Mr. Hans since his suicide attempts.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I accept Mrs. Hans' evidence that the times when Mr. Hans is left unsupervised arise because of financial need and other familial responsibilities that require some reluctant risk taking by Mrs. Hans and that in all of the circumstances she is not able to avoid taking some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Mr. and Mrs. Hans are fortunate to have had the devoted, selfless and largely unpaid assistance of Parmjit Hans and Ms. Bilan in minimizing the risks inherent to leaving Mr. Hans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The medical evidence as well as the evidence of Parmjit Hans and Ms. Bilan corroborates not only the extent of Mrs. Hans' efforts but also the genuineness of her fear of leaving Mr. Hans alone.</w:t>
      </w:r>
      <w:r>
        <w:rPr>
          <w:rFonts w:ascii="arial" w:eastAsia="arial" w:hAnsi="arial" w:cs="arial"/>
          <w:sz w:val="20"/>
          <w:lang w:val="en-US" w:eastAsia="en-US" w:bidi="ar-SA"/>
        </w:rPr>
        <w:cr/>
      </w:r>
    </w:p>
    <w:p>
      <w:pPr>
        <w:numPr>
          <w:numId w:val="10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Mr. Hans' trips to India in 2013 and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The extent to which Mr. Hans' two trips to India may have been "unsupervised" is not easily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As I have previously noted Mr. Hans was an honest but fragile witness who did his best to communicate with counsel and the Court but because of the memory issues from which he so obviously suffers, as well as his palpable anger towards Volvo and Yanke, I must approach the reliability of his evidence with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Although Volvo pointed to some potential conflicts in Mr. Hans' evidence on discovery and at trial concerning his living arrangements in his ancestral home while he was in Hans Village during the two visits to India as well as the extent to which his paternal uncle either actually resided with him or was in a home nearby to be called upon as needed, I am not satisfied that any such conflicting evidence is sufficient for me to conclude that Mr. Hans was deliberately untruthful in his evidence at trial or that he was attempting to exaggerate his symptomology.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I have concluded that while Mr. Hans was at times confused as to what occurred during each of the separate visits, he likely conflates the two. I find that while it is likely that at times Mr. Hans lived alone in the village with his uncle being nearby rather than in full time residence with him, I am also satisfied that Mr. Hans was not as fully functional or independent in India as suggested by Volvo.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I say that because:</w:t>
      </w:r>
      <w:r>
        <w:rPr>
          <w:rFonts w:ascii="arial" w:eastAsia="arial" w:hAnsi="arial" w:cs="arial"/>
          <w:sz w:val="20"/>
          <w:lang w:val="en-US" w:eastAsia="en-US" w:bidi="ar-SA"/>
        </w:rPr>
        <w:cr/>
      </w:r>
    </w:p>
    <w:p>
      <w:pPr>
        <w:numPr>
          <w:numId w:val="10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he travelled by plane to India, the arrangements were made by Mrs. Hans and on at least one of the trips he was accompanied for all or part of that trip by Parmjit Hans.</w:t>
      </w:r>
    </w:p>
    <w:p>
      <w:pPr>
        <w:numPr>
          <w:numId w:val="10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Mrs. Hans was in continual telephone communication with Mr. Hans to ensure that he was compliant with the taking of his medication.</w:t>
      </w:r>
    </w:p>
    <w:p>
      <w:pPr>
        <w:numPr>
          <w:numId w:val="10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the full medicinal regime prescribed by Dr. Harrad was not fully complied with.</w:t>
      </w:r>
    </w:p>
    <w:p>
      <w:pPr>
        <w:numPr>
          <w:numId w:val="10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Harrad's evidence concerning the two trips to India is important because both trips were made only after consultation with him. He fully supported the trips because he was of the view that the religious aspects of the trips could be beneficial to Mr. Hans.</w:t>
      </w:r>
    </w:p>
    <w:p>
      <w:pPr>
        <w:numPr>
          <w:numId w:val="10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Harrad also testified that after the first trip although Mr. Hans appeared to have been happy to have gone to India, he saw no improvement in his underlying psychological problems.</w:t>
      </w:r>
    </w:p>
    <w:p>
      <w:pPr>
        <w:numPr>
          <w:numId w:val="1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Harrad remains of the opinion that Mr. Hans continues to need 24 hour supervision by family member or others because of his past suicide attempts and continuing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I am accordingly satisfied that the totality of the evidence concerning Mr. Hans' two extended trips to India in 2013 and 2014 does not support Volvo's contention that Mrs. Hans has been untruthful about the need to supervise Mr. Hans or that she or Mr. Hans have exaggerated his symptoms to increase their claims for compensation for his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 Video Surveillance of Mr. Hans' Activities in May and June of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In challenging the veracity of Mr. and Mrs. Hans' evidence, and to a lesser extent that of Parmjit Hans, about Mr. Hans' ongoing psychiatric symptomology and the submission that his condition has been deliberately exaggerated for financial gain, Volvo relied extensively upon video surveillance evidence of Mr. Hans that was recorded on:</w:t>
      </w:r>
      <w:r>
        <w:rPr>
          <w:rFonts w:ascii="arial" w:eastAsia="arial" w:hAnsi="arial" w:cs="arial"/>
          <w:sz w:val="20"/>
          <w:lang w:val="en-US" w:eastAsia="en-US" w:bidi="ar-SA"/>
        </w:rPr>
        <w:cr/>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May 29, 2015 for a total of approximately forty five minutes;</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May 30, 2015 for a total of approximately one hour and forty five minutes;</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June 7, 2015 for a total of less than twenty minutes; and</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June 9, 2015 for a total of approximately two hours and fifteen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During almost all of that surveillance evidence Mr. Hans was in the presence of Parmjit Hans.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In brief summary as to the contents of that surveillance:</w:t>
      </w:r>
      <w:r>
        <w:rPr>
          <w:rFonts w:ascii="arial" w:eastAsia="arial" w:hAnsi="arial" w:cs="arial"/>
          <w:sz w:val="20"/>
          <w:lang w:val="en-US" w:eastAsia="en-US" w:bidi="ar-SA"/>
        </w:rPr>
        <w:cr/>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events recorded on May 29 comprise: a 6 minute segment showing Mr. Hans and Parmjit Hans seated in the lounge area of an arena watching Mr. Hans' son play hockey; a 7 minute segment recording the stalling of the Hans' family vehicle driven by Parmjit Hans due to a dead battery and the restarting of it with jumper cables; a segment of 28 minutes recording a second breakdown of that vehicle and a second re-start with jumper cables during which Mr. Hans telephoned Mrs. Hans who comes to the scene to pick up their son and his hockey gear leaving Mr. Hans and Parmjit Hans with the car; and, a two minute scene in which the vehicle stalls for the third time, is pushed to the side of the road and is again re-started with jumper cables.</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events recorded on May 30 comprise: a forty-two minute segment again showing Mr. Hans and Parmjit Hans seated in the lounge area of an arena watching Mr. Hans' son play hockey; a very short segment showing Mr. Hans and Parmjit Hans returning to the arena almost four hours later followed by a 54 minute segment in which Mr. Hans and Parmjit Hans are seated in the same lounge area again observing Mr. Hans' son playing hockey; a two minute segment in which Mr. Hans and Parmjit Hans leave the arena and get into the Hans' family car; and, a 10 minute segment showing Mr. Hans and Parmjit Hans walking and talking in front of the Hans' family home.</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events recorded on June 7 comprise: a very brief segment showing Mr. Hans walking in his neighbourhood; another very short segment showing Mr. Hans walking out of a parking garage with Parmjit Hans; and, a five minute segment in which Mr. Hans is walking in a garden outside the garage while talking on a cellular phone before getting into the Hans family car when it pulls up.</w:t>
      </w:r>
    </w:p>
    <w:p>
      <w:pPr>
        <w:numPr>
          <w:numId w:val="1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events recorded on June 9 comprise: a very short segment in which the Hans' family car stops in front of an area and pulls away; a one hour and fifty-two minute segment in which Mr. Hans is walking with Parmjit Hans along an overpass as well as in Burnaby Lake Park; and, a twenty-four minute segment in which Mr. Hans and Parmjit Hans are parked in the Hans' family car outside of an arena before Mr. Hans' son comes out and puts hockey gear into the car after which Mr. Hans and Parmjit Hans drive to another building, get out of the car and go into that building for about 5 minutes before coming back to the car and leaving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Counsel for Volvo relied specifically upon the video surveillance concerning the three breakdowns of the Hans' family car on a busy street in Surrey as being demonstrative of Mr. Hans acting without apparent distress when confronted with the electrical failure of a vehicle in potentially dangerous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The suggestion made to Mr. Hans and also many of the medical practitioners who testified was that Mr. Hans' reaction in the video was not consistent with the fear he says he experienced when the electrical system of the Truck failed.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Counsel for Volvo also relied upon what he characterized as Mr. Hans' apparent enjoyment of his son's hockey games and protracted seated attendance in the lounge area of the arena on at least one occasion as being inconsistent with Mrs. Hans' evidence that Mr. Hans had no real interest in his children's activities, was usually in a state of agitation when he did watch and would not sit with other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In addition, Volvo adduced the evidence of Dr. Solomons who wrote in his report of September 24, 2015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opinion is rendered prior to my review of the surveillance video material. Mr. Hans' presentation in this surveillance material portrays an entirely different picture of him from that seen in the examination room and an entirely different picture from that described in his clinical records and reports.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unable to reconcile the disparity between his clinical presentation at this and at other assessments and his presentation in the video material. His presentation in the video material is inconsistent with the diagnosis of a severe agitated treatment-resistant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That observation also led to Dr. Solomons providing counsel for Volvo with the article on the assessment of malingering in cases of post-traumatic stress disorders to which I earlier referred.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Dr. Solomons did not, however, provide any specific opinion in his report of September 24, 2015, other than the one I have referenced concerning what aspects of the video evidence had led him to conclude that Mr. Hans' presentation was "inconsistent with the diagnosis of a severe agitated treatment resistant depression", which had been reached by Dr. Solomons after lengthy meetings with Mr. Hans on two occasions before viewing the videos.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I make the following observations and findings concerning the video surveillance evidence in the context of the allegations of exaggeration and malingering suggested by Volvo.</w:t>
      </w:r>
      <w:r>
        <w:rPr>
          <w:rFonts w:ascii="arial" w:eastAsia="arial" w:hAnsi="arial" w:cs="arial"/>
          <w:sz w:val="20"/>
          <w:lang w:val="en-US" w:eastAsia="en-US" w:bidi="ar-SA"/>
        </w:rPr>
        <w:cr/>
      </w:r>
    </w:p>
    <w:p>
      <w:pPr>
        <w:numPr>
          <w:numId w:val="1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circumstances of the electrical breakdowns of the Hans' family vehicle were entirely unlike those experienced during the total failure of the electrical system of the Truck that caused the collision on the Trans-Canada Highway on January 31, 2009. The video depicts a bright sunny day and a vehicle stopped or barely moving when easily corrected battery failures occurred. There was no danger remotely akin to an out of control truck with a fully loaded jack-knifing trailer, without lights in totally dark icy road conditions while traveling at 65 to 70 km per hour. Significantly also, at the times of the electrical failures recorded in the video and in all of the other video evidence involving driving, Parmjit Hans was the driver of the Hans' family vehicle. He was also in control of the re-starting of the vehicle. I also accept Parmjit Hans' evidence that Mr. Hans was confused about where to return the borrowed jumper cables that were used to start the car when the battery first failed.</w:t>
      </w:r>
    </w:p>
    <w:p>
      <w:pPr>
        <w:numPr>
          <w:numId w:val="1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relatively lengthy segments of the video on June 9, 2015, in which Mr. Hans is seen, usually with Parmjit Hans, walking in Burnaby, is consistent with the evidence that Parmjit Hans encourages Mr. Hans to walk to get him out of the home. The pace and apparent aimlessness of the walking is not what one would expect of someone who was as athletically gifted and competitive as Mr. Hans once was.</w:t>
      </w:r>
    </w:p>
    <w:p>
      <w:pPr>
        <w:numPr>
          <w:numId w:val="1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segments showing Mr. Hans with Parmjit Hans in the arena lounge are inconsistent with Mrs. Hans' evidence to the extent that they show Mr. Hans involved in watching his son play hockey rather than being disinterested. The segments are, however, consistent with her evidence that he does not sit with other parents and is restless, as demonstrated by some agitation while sitting. The timing of the video evidence is also consistent with the evidence of Parmjit Hans that he has had more success lately in getting Mr. Hans to be more engaged in his son's activities and also that of Mrs. Hans that she has recently been able to convince him to go with the family to tournaments out of Vancouver even though that has involved him sitting in a vehicle for extended periods of time and with the necessity for frequent stops. Significant also, in my view is Parmjit Hans' unchallenged evidence that during the hockey game depicted in the video Mr. Hans' son scored more than one goal. Mr. Hans did not react with any noticeable emotion to any such success which is, in my opinion, consistent with the totality of the evidence that Mr. Hans remains relatively uninvolved and disinterested in the activities of his children.</w:t>
      </w:r>
    </w:p>
    <w:p>
      <w:pPr>
        <w:numPr>
          <w:numId w:val="1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Concerning Dr. Solomons' commentary about the difference between Mr. Hans' presentation in the videos as compared to in his examinations, I observe that the videos depict everyday life events primarily out of doors in the presence of Mr. Hans' good friend Parmjit Hans. It is not surprising that during examination by Dr. Solomons, known by Mr. Hans to be chosen by Volvo as a psychiatric expert for the purposes of this litigation, his demeanour would be very different. The latter was an obviously more stressful situation directed to re-living the collision and its effect upon Mr. Hans' life. My own observations of Mr. Hans in the similarly stressful situation of being a witness in this case were that when questioned by his own counsel his demeanor was mostly calm except when testifying about the collision itself at which time he became very emotionally distraught. Under cross-examination, with counsel for Volvo seeking to minimize the nature of the collision as well as the effects of it upon him, and when his honesty was challenged, his demeanour changed dramatically. He became more and more agitated and at times explosive in his denunciation of the Truck that had "ruined his life" and the unfair actions of Volvo and of Yanke towards him and his family subsequent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While Mr. Hans' reactions in court were extreme and also unlike his appearance in the videos, I am not prepared to accept that in its totality the video surveillance evidence without any audio voice recording is capable of establishing that Mr. or Mrs. Hans have exaggerated Mr. Hans' ongoing psychiatric symptomology for financial 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In that regard, I find the evidence of Dr. Passey, a psychiatrist with extensive experience in the diagnosis and treatment of PTSD, to be illuminating.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In his report of October 15, 2015 delivered in response to Dr. Solomons' report concerning Dr. Solomons' review of the video surveillance evidence Dr. Passey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Reference 2 (surveillance videos and word document) provide less than two hours of very limited videotaped evidence of Mr. Hans' behaviour while in public in May and June 2015. It is quite clear in these videos that he does not go to public events such as his son's hockey game by himself. While attending the hockey arena he always arrives and departs as a passenger in a car and has a male friend escorting him. In fact, most of the video evidence shows him with a male friend.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Individuals with PTSD often feel less anxious at public events if they have someone they know and trust attend the event or activity with them. Utilizing a friend as an escort (this can significantly reduce their anxiety and other PTSD symptoms) is often part of the PTSD treatment regime in order to get a PTSD patient to go to public events when otherwise, if by themselves, they would avoid such activity because of their PTSD symptoms. This is quite commonly used with any anxiety disorder diagnosis that limits a person's ability to be at public events alone.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appears on the videos that the only time Mr. Hans is alone is when he is walking in his neighborhood or apparently on occasion at the hockey arena when he has to leave the arena despite his son's game still being played (Reference 2 word document). The vast majority of healthy fathers would not be typically going for a walk outside the arena for an extended period of time when their son's game is still being played. In a PTSD patient this type of behavior is common (because of PTSD symptoms of anxiety or anger that cause them to leave) and may even be taught in therapy as a "timeout" or a coping technique when PTSD symptoms (e.g. anxiety etc.) become too intense while attending an event. The timeout allows the intensity of the anxiety etc. to diminish when [the] patient gets away from too many people (even 4 or 5 people can constitute too many). This would then allow a PTSD patient to potentially return to the event for another period of time once their symptoms have diminished with the timeout.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video evidence clearly shows that Mr. Hans is only in a car as a passenger and not as a driver. This is despite the fact that he was a professional driver prior to the January 31, 2009 MVA. This evidence supports the history that he and his wife provided that he is uncomfortable as a driver now and attempts to avoid driving. This was noted in my report (reference 5) and is evidence of PTSD criteria C2 and probably criteria B4 &amp; B5 (the latter two being the reason to avoid driving because it causes an increase in his PTSD psychological and physiological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Having a diagnosis of PTSD and Major Depression does not mean that a person is not able to ever go into public or interact with people. Rather they are usually restricted in their abilities to function in public or outside of their house. They usually are also not able to enjoy things as much as prior to the PTSD onset. It is interesting to note in the videos that Mr. Hans only smiles once in all of the taping that was done.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PTSD symptoms can wax and wane depending on stress levels (e.g. insomnia, poor diet, finances, relationship issues, etc.) and exposure to triggers that remind a person of their trauma etc. What a person is able to do one day may not be possible the next day because of the effects of stressors or triggers. There is nothing in the video that does not support a diagnosis of PTSD.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Reference 1 Dr. Solomon wrote: "Mr. Hans' presentation in the surveillance material portrays an entirely different picture of him from that seen in the examination room and an entirely: different picture from that described in his clinical records and reports. I am unable to reconcile the disparity between his clinical presentation at this and at other assessments and his presentation in the video material. His presentation in the video material is inconsistent with the diagnosis of a severe agitated treatment-resistant depression."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only with Dr. Solomon's very last sentence. However, Mr. Hans' presentation is consistent with someone with severe PTSD and depression. Dr. Solomon has simply not arrived at the correct diagnosis and that is why he is not able to reconcile the behaviour in the videos with his diagnosis.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All levels of experienced trauma mental health clinicians are aware that a PTSD patient's presentation in an assessment interview may be worse than their day-to-day function. They may seem to be more emotionally shut down, more depressed, more anxious, less able to focus, more symptomatic, etc. because the interview process will trigger and worsen their PTSD symptoms during the interview, as they are required to relate their trauma history. ... This phenomena is simply further evidence of the effect that criteria B4 &amp; B5 can have on a person with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I have concluded that the opinion evidence of the medical experts adduced by the plaintiffs based upon their assessments of Mr. Hans after their own interviews of and interaction with him is not in any way undermined by the video surveillance evidence relied upon by Volvo.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The plaintiffs allege that Volvo was negligent in designing, manufacturing and installing the critical cab positive terminal connection in the Truck which caused the shutdown of the electrical system that caused the collision on January 31, 2009.</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 Shutdown Caused by a Loose Nut on the Cab Positive Terminal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Volvo admits that the collision was caused by a loose nut on the cab positive terminal but denies that the plaintiffs have established that Volvo was negligent in the design, manufacture or installation of the cab positive connection, or is in any other way liable to the plaintiffs for their alleged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As I have noted in recording the background circumstances, the plaintiffs had experienced a number of electrical issues with the Truck prior to the complete failure of the electrical system that caused the collision on January 31, 2009. The details of those electrical issues are recorded in Mr. Hewitt's expert report of May 1, 2012 and are summarized at paras. 83 and 87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As I have also noted, of particular importance are the events of July 4, 2008 in Regina in respect of which the evidence establishes that while Mr. and Mrs. Hans were travelling through Regina at a very low speed in daylight hours all electrical power in the Truck was lost and the vehicle shut down on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When that occurred Mr. Hans was able to re-start the engine by "wiggling" the battery cables located near the batteries and then drove the Truck to a Volvo service centre in Regina where it was inspected and where the service technicians diagnosed the cause of failure as a "blown main fuse".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Concerning that blown fuse Mr. Hewitt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Without the main fuse, presumably the truck would not have functioned</w:t>
      </w:r>
      <w:r>
        <w:rPr>
          <w:rFonts w:ascii="arial" w:eastAsia="arial" w:hAnsi="arial" w:cs="arial"/>
          <w:color w:val="000000"/>
          <w:sz w:val="20"/>
          <w:lang w:val="en-US" w:eastAsia="en-US" w:bidi="ar-SA"/>
        </w:rPr>
        <w:t>. ... It would therefore seem that this vehicle has suffered from sporadic electrical issues which appear similar and therefore potentially related to the failure on January 31,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As I have also recorded above, after the total failure of the Truck's electrical systems on January 31, 2009 it was towed to Yanke's yard in Winnipeg where it was inspected between February 7 and 10, 2009 by Mr. Hewitt and others before being eventually repaired at Beaver Trucks, the Volvo repair and service centre in Winnipeg.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In his report of May 1, 2012 (the original of which was provided to Yanke and Volvo in March of 2009), Mr. Hewitt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arrival at Yanke, one of their mechanics had already removed part of the plastic dash molding, to the left of the steering wheel, exposing wires, some of which passed through the fire wall. The main 12V power feeds from the battery, are terminated on positive (red) and negative (black) terminal posts which pass through the fire wall. A nut holds each cable in place on the terminal posts inside the cab and in the engine compartment. Many control wires were observed (coloured orange and yellow) running from transducers in the air line manifold adjacent to the positive and negative wires. Refer to Photo 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observation, it was immediately noted that the cab positive termination showed signs of heat damage. The cable insulation had melted. Additionally, the plastic bushing through which the cab positive terminal post passes had partially melted. Two orange/white wires had also melted to the cab positive terminal post. The insulation showed signs of carbon char. Carbon char can conduct electricity. This can also be seen in Photo 1. The wires were estimated to be #16 or #18 AWG. The charred wires ran from a transducer labeled APP-G on the fire wall air manifold. One of the charred wires had a tape with the acronym AP-TD printed on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Further observation of the cab positive terminal was carried out as it obviously showed signs of heat damage, potentially caused by resistance heating. On closer inspection, it was noted that the terminal nut appeared to be loose. This was particularly evident when the space between the rear of the nut and the washer appeared greater on the cab positive terminal than the negative terminal.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point, the ignition was turned to the on position (engine was not started). The interior cab lights, dash lights, radio and windshield wipers operated. The cab positive terminal was very lightly manipulated by hand, and it was noted that the interior lights (cab and dash) and wipers turned off. As soon as the manipulation ceased, operation resumed. The vehicle's engine was started, and the process of manipulation of the terminal repeated. No audible change to the engine sound was noted.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headlights were turned on, and again the cab positive terminal was manipulated. During manipulation, the headlights flickered off and on. As soon as the manipulation ceased, the headlights remained on and operational.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Our attention then focused on the potentially loose cab positive terminal. Using an inch-pound torque wrench, the cab positive terminal nut was backed off. It was determined it was tightened to 25inch-lb (2ft-lb). The cab negative terminal was substantially tighter than this.</w:t>
      </w:r>
      <w:r>
        <w:rPr>
          <w:rFonts w:ascii="arial" w:eastAsia="arial" w:hAnsi="arial" w:cs="arial"/>
          <w:color w:val="000000"/>
          <w:sz w:val="20"/>
          <w:lang w:val="en-US" w:eastAsia="en-US" w:bidi="ar-SA"/>
        </w:rPr>
        <w:t xml:space="preserve"> Unfortunately, it was not possible to measure its torque value as we loosened the negative nut with a foot-lb torque wrench (prior to loosening the positive nut), which was not sensitive enough to record the value. </w:t>
      </w:r>
      <w:r>
        <w:rPr>
          <w:rFonts w:ascii="arial" w:eastAsia="arial" w:hAnsi="arial" w:cs="arial"/>
          <w:color w:val="000000"/>
          <w:sz w:val="20"/>
          <w:u w:val="single"/>
          <w:lang w:val="en-US" w:eastAsia="en-US" w:bidi="ar-SA"/>
        </w:rPr>
        <w:t>All present agreed it was substantially tighter than 25inch-lb. The nuts on the engine compartment side of the terminal posts were tight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Closer inspection of the wiring and the fire wall air manifold revealed that the vehicle is fitted with after market fog lights, installed in the bull bars. The wiring passes through a hole in the air manifold, and is routed to the fuse box, where it terminates in a fuse carrier. The circuit is unfused. With the exception of a small cut in the insulation, which had been covered with black insulation tape, nothing remarkable was noted about the condition of the wiring, and aside from being unfused, it appeared to be correctly wired, and appeared not to have contributed directly to the vehicle accident. Yanke have provided an invoice indicating that these fog lights were installed on October 11, 2008, by Moga Truck Repair (see Invoice #14739).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Specifically germane to the liability issues now requiring resolution, Mr. Hewitt also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issue is how the cab positive terminal nut became loose. There are a number of potential causes:</w:t>
      </w:r>
    </w:p>
    <w:p>
      <w:pPr>
        <w:numPr>
          <w:numId w:val="1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nut was not sufficiently tightened by Volvo during initial assembly.</w:t>
      </w:r>
    </w:p>
    <w:p>
      <w:pPr>
        <w:numPr>
          <w:numId w:val="1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nut was not sufficiently tightened during maintenance.</w:t>
      </w:r>
    </w:p>
    <w:p>
      <w:pPr>
        <w:numPr>
          <w:numId w:val="1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nut became loose during operation.</w:t>
      </w:r>
    </w:p>
    <w:p>
      <w:pPr>
        <w:numPr>
          <w:numId w:val="1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Mega Truck Repair loosened the nut while trying to install the fog-lights.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cab terminal nut in question is not an item routinely maintained</w:t>
      </w:r>
      <w:r>
        <w:rPr>
          <w:rFonts w:ascii="arial" w:eastAsia="arial" w:hAnsi="arial" w:cs="arial"/>
          <w:color w:val="000000"/>
          <w:sz w:val="20"/>
          <w:lang w:val="en-US" w:eastAsia="en-US" w:bidi="ar-SA"/>
        </w:rPr>
        <w:t xml:space="preserve">. Discussions with the mechanic at Beaver Trucks concluded that if electrical faults had been reported to an operator, the cab terminal nut would not be the obvious place to trouble-shoot. </w:t>
      </w:r>
      <w:r>
        <w:rPr>
          <w:rFonts w:ascii="arial" w:eastAsia="arial" w:hAnsi="arial" w:cs="arial"/>
          <w:color w:val="000000"/>
          <w:sz w:val="20"/>
          <w:u w:val="single"/>
          <w:lang w:val="en-US" w:eastAsia="en-US" w:bidi="ar-SA"/>
        </w:rPr>
        <w:t>It is therefore less likely that the nut was loosened as part of maintenance and not re-tightened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Of concern is the issues the operator reported in May, June and July 2008. </w:t>
      </w:r>
      <w:r>
        <w:rPr>
          <w:rFonts w:ascii="arial" w:eastAsia="arial" w:hAnsi="arial" w:cs="arial"/>
          <w:color w:val="000000"/>
          <w:sz w:val="20"/>
          <w:u w:val="single"/>
          <w:lang w:val="en-US" w:eastAsia="en-US" w:bidi="ar-SA"/>
        </w:rPr>
        <w:t>The fact that the vehicle had suffered from engine failures at this time indicates that the nut could have been loose from assembly given that the truck is relatively new</w:t>
      </w:r>
      <w:r>
        <w:rPr>
          <w:rFonts w:ascii="arial" w:eastAsia="arial" w:hAnsi="arial" w:cs="arial"/>
          <w:color w:val="000000"/>
          <w:sz w:val="20"/>
          <w:lang w:val="en-US" w:eastAsia="en-US" w:bidi="ar-SA"/>
        </w:rPr>
        <w:t>. It is also possible that the nut loosened due to vibration during use. It is noted that the nut is not a locking variety and no thread leaking compound was visible. It is therefore possible that the nut naturally loosened during 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Invoice 14739 proves that the after market fog lights were installed in October 2008 (after the onset of electrical problems in May, June and July 2008). It can therefore be confirmed that while the wiring of the fog lights is questionable, it did not contribute to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possible to determine how the nut became loose. However, it is concerning that essential vehicle operation can be catastrophically affected by a simple terminal failure such as that exhibited here. As a minimum, I would expect that two nuts are applied to each terminal in a lock nut arrangement. Alternatively, a nylon lock nut should be used. Additionally, it is strongly recommended that the terminal nuts on all Volvo semi tractors are checked as part of routine maintenance by Yanke and all other operators, to ensure that they are adequately tight. This issue should be raised with Transport Canada who may elect to issue a recall or a notice bulletin.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The plaintiffs submit that the admission that the electrical failure that resulted in the collision was caused by a loose cab positive terminal nut and the exclusion of installation of the fog lights as a possible cause of the loosening of that nut must lead to the conclusion that the nut was either negligently installed or that the design of the cab positive terminal and nut arrangement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Volvo submits that Mr. Hewitt's evidence is both unreliable and is discredited because of errors he later made concerning his recall of the configuration of the nut and washer assembly on the cab positive terminal at the time of his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Volvo further submits that the evidence does not establish either that the design of the nut and washer configuration was negligent or that the nut was negligently installed during manufacture.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In response, the plaintiffs submit that the submissions of Volvo that the loosening of the nut on the cab positive terminal was the consequence of other than Volvo's negligent installation or design, is speculative.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I will discuss issues concerning the reliability of Mr. Hewitt's evidence as well as the evidence concerning negligent manufacture and design later in these reasons but must first discuss the contentious issues raised in argument concerning burden of proving the standard of care and an alleged breach of that standard that apply in cases alleging manufacturer's liability in the sale of defective products.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B. Proof of the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Proof of the duty of care owed by Volvo to the plaintiffs is established by the existence of proximity between Volvo as the manufacturer and seller of the Truck that suffered the massive electrical failure that caused the collision on January 31, 2009 when being utilized for its intended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Bergen v. Guliker</w:t>
      </w:r>
      <w:r>
        <w:rPr>
          <w:rFonts w:ascii="arial" w:eastAsia="arial" w:hAnsi="arial" w:cs="arial"/>
          <w:color w:val="000000"/>
          <w:sz w:val="20"/>
          <w:lang w:val="en-US" w:eastAsia="en-US" w:bidi="ar-SA"/>
        </w:rPr>
        <w:t xml:space="preserve">, </w:t>
      </w:r>
      <w:hyperlink r:id="rId1169" w:history="1">
        <w:r>
          <w:rPr>
            <w:rFonts w:ascii="arial" w:eastAsia="arial" w:hAnsi="arial" w:cs="arial"/>
            <w:i/>
            <w:color w:val="0077CC"/>
            <w:sz w:val="20"/>
            <w:u w:val="single"/>
            <w:shd w:val="clear" w:color="auto" w:fill="FFFFFF"/>
            <w:lang w:val="en-US" w:eastAsia="en-US" w:bidi="ar-SA"/>
          </w:rPr>
          <w:t>2015 BCCA 283</w:t>
        </w:r>
      </w:hyperlink>
      <w:r>
        <w:rPr>
          <w:rFonts w:ascii="arial" w:eastAsia="arial" w:hAnsi="arial" w:cs="arial"/>
          <w:color w:val="000000"/>
          <w:sz w:val="20"/>
          <w:lang w:val="en-US" w:eastAsia="en-US" w:bidi="ar-SA"/>
        </w:rPr>
        <w:t xml:space="preserve"> at paras. 59 to 61 the Court stated: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The existence of a duty of care is generally resolved by applying the two-stage inquiry developed in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(H.L.) as adopted and refined in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(collectively referred to as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test), and applied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w:t>
      </w:r>
      <w:hyperlink r:id="rId898" w:history="1">
        <w:r>
          <w:rPr>
            <w:rFonts w:ascii="arial" w:eastAsia="arial" w:hAnsi="arial" w:cs="arial"/>
            <w:i/>
            <w:color w:val="0077CC"/>
            <w:sz w:val="20"/>
            <w:u w:val="single"/>
            <w:shd w:val="clear" w:color="auto" w:fill="FFFFFF"/>
            <w:lang w:val="en-US" w:eastAsia="en-US" w:bidi="ar-SA"/>
          </w:rPr>
          <w:t>[2007] 3 S.C.R. 129</w:t>
        </w:r>
      </w:hyperlink>
      <w:r>
        <w:rPr>
          <w:rFonts w:ascii="arial" w:eastAsia="arial" w:hAnsi="arial" w:cs="arial"/>
          <w:color w:val="000000"/>
          <w:sz w:val="20"/>
          <w:lang w:val="en-US" w:eastAsia="en-US" w:bidi="ar-SA"/>
        </w:rPr>
        <w:t>. However, before undertaking the two-stage inquiry, one must ask whether the category of relationship in which the duty of care is alleged to exist has previously been recognized in the jurisprudence.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An example of this approach is found in </w:t>
      </w:r>
      <w:r>
        <w:rPr>
          <w:rFonts w:ascii="arial" w:eastAsia="arial" w:hAnsi="arial" w:cs="arial"/>
          <w:i/>
          <w:color w:val="000000"/>
          <w:sz w:val="20"/>
          <w:lang w:val="en-US" w:eastAsia="en-US" w:bidi="ar-SA"/>
        </w:rPr>
        <w:t>Childs v. Desormeaux</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2006 SCC 18</w:t>
        </w:r>
      </w:hyperlink>
      <w:r>
        <w:rPr>
          <w:rFonts w:ascii="arial" w:eastAsia="arial" w:hAnsi="arial" w:cs="arial"/>
          <w:color w:val="000000"/>
          <w:sz w:val="20"/>
          <w:lang w:val="en-US" w:eastAsia="en-US" w:bidi="ar-SA"/>
        </w:rPr>
        <w:t xml:space="preserve">. There, the Court observed that as the case law evolves, categories of relationships giving rise to a duty of care may be recognized, making it redundant to undergo another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analysis with respect to that already recognized category of relationship:</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A preliminary point arises from a nuance on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developed in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introduced the idea that as the case law develops, categories of relationships giving rise to a duty of care may be recognized, making it unnecessary to go through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analysis. </w:t>
      </w:r>
      <w:r>
        <w:rPr>
          <w:rFonts w:ascii="arial" w:eastAsia="arial" w:hAnsi="arial" w:cs="arial"/>
          <w:color w:val="000000"/>
          <w:sz w:val="20"/>
          <w:u w:val="single"/>
          <w:lang w:val="en-US" w:eastAsia="en-US" w:bidi="ar-SA"/>
        </w:rPr>
        <w:t xml:space="preserve">The reference to categories simply captures the basic notion of precedent: where a case is like another case where a duty has been recognized, one may usually infer that sufficient proximity is present and that if the risk of injury was foreseeable, a </w:t>
      </w:r>
      <w:r>
        <w:rPr>
          <w:rFonts w:ascii="arial" w:eastAsia="arial" w:hAnsi="arial" w:cs="arial"/>
          <w:i/>
          <w:color w:val="000000"/>
          <w:sz w:val="20"/>
          <w:u w:val="single"/>
          <w:lang w:val="en-US" w:eastAsia="en-US" w:bidi="ar-SA"/>
        </w:rPr>
        <w:t>prima facie</w:t>
      </w:r>
      <w:r>
        <w:rPr>
          <w:rFonts w:ascii="arial" w:eastAsia="arial" w:hAnsi="arial" w:cs="arial"/>
          <w:color w:val="000000"/>
          <w:sz w:val="20"/>
          <w:u w:val="single"/>
          <w:lang w:val="en-US" w:eastAsia="en-US" w:bidi="ar-SA"/>
        </w:rPr>
        <w:t xml:space="preserve"> duty of care will arise. On the other hand, if a case does not clearly fall within a relationship previously recognized as giving rise to a duty of care, it is necessary to carefully consider whether proximity is established.</w:t>
      </w:r>
      <w:r>
        <w:rPr>
          <w:rFonts w:ascii="arial" w:eastAsia="arial" w:hAnsi="arial" w:cs="arial"/>
          <w:color w:val="000000"/>
          <w:sz w:val="20"/>
          <w:lang w:val="en-US" w:eastAsia="en-US" w:bidi="ar-SA"/>
        </w:rPr>
        <w:t xml:space="preserve"> Following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the first issue raised in this case is whether claims against private hosts for alcohol-related injuries caused by a guest constitute a new category of claim. Like the courts below, I conclude that it does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Design Services Ltd. v. Canada,</w:t>
      </w:r>
      <w:r>
        <w:rPr>
          <w:rFonts w:ascii="arial" w:eastAsia="arial" w:hAnsi="arial" w:cs="arial"/>
          <w:color w:val="000000"/>
          <w:sz w:val="20"/>
          <w:lang w:val="en-US" w:eastAsia="en-US" w:bidi="ar-SA"/>
        </w:rPr>
        <w:t xml:space="preserve"> </w:t>
      </w:r>
      <w:hyperlink r:id="rId1170" w:history="1">
        <w:r>
          <w:rPr>
            <w:rFonts w:ascii="arial" w:eastAsia="arial" w:hAnsi="arial" w:cs="arial"/>
            <w:i/>
            <w:color w:val="0077CC"/>
            <w:sz w:val="20"/>
            <w:u w:val="single"/>
            <w:shd w:val="clear" w:color="auto" w:fill="FFFFFF"/>
            <w:lang w:val="en-US" w:eastAsia="en-US" w:bidi="ar-SA"/>
          </w:rPr>
          <w:t>2008 SCC 22</w:t>
        </w:r>
      </w:hyperlink>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at para. 5. For a discussion of the established categories, see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36.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[61] If the claim does not fall within a category in which a duty of care has previously been recognized, a fresh duty of care analysis must be undertaken to determine whether a "new" or "novel" duty of care should be recognized in the circumstances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It is well established that a duty of care is owed by an automobile manufacturer not only to purchasers but subsequent users of their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The issue in this case is not whether a duty of care was owed by Volvo with respect to the manufacture and design of the cab positive terminal nut and washer configuration on the plaintiffs' Truck. It is whether Volvo breached the standard of care it owed to the plaintiffs.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 Proof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Volvo submits that the plaintiffs' burden of proving a breach of the requisite standard of care in the design and manufacture of the cab positive terminal and its washer and nut configuration could only be established by expert evidence. It submits that because no such evidence was adduced by the plaintiffs their claim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xml:space="preserve">  In making that submission and its submissions generally concerning proof of the requisite standard of care and a breach of it, Volvo relied upon </w:t>
      </w:r>
      <w:r>
        <w:rPr>
          <w:rFonts w:ascii="arial" w:eastAsia="arial" w:hAnsi="arial" w:cs="arial"/>
          <w:i/>
          <w:color w:val="000000"/>
          <w:sz w:val="20"/>
          <w:lang w:val="en-US" w:eastAsia="en-US" w:bidi="ar-SA"/>
        </w:rPr>
        <w:t>Laidar Holdings Ltd. v. Lindt &amp; Sprungli (Canada) Inc.</w:t>
      </w:r>
      <w:r>
        <w:rPr>
          <w:rFonts w:ascii="arial" w:eastAsia="arial" w:hAnsi="arial" w:cs="arial"/>
          <w:color w:val="000000"/>
          <w:sz w:val="20"/>
          <w:lang w:val="en-US" w:eastAsia="en-US" w:bidi="ar-SA"/>
        </w:rPr>
        <w:t xml:space="preserve">, </w:t>
      </w:r>
      <w:hyperlink r:id="rId1171" w:history="1">
        <w:r>
          <w:rPr>
            <w:rFonts w:ascii="arial" w:eastAsia="arial" w:hAnsi="arial" w:cs="arial"/>
            <w:i/>
            <w:color w:val="0077CC"/>
            <w:sz w:val="20"/>
            <w:u w:val="single"/>
            <w:shd w:val="clear" w:color="auto" w:fill="FFFFFF"/>
            <w:lang w:val="en-US" w:eastAsia="en-US" w:bidi="ar-SA"/>
          </w:rPr>
          <w:t>2015 BCSC 845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Roy v. British Columbia (Attorney General),</w:t>
      </w:r>
      <w:r>
        <w:rPr>
          <w:rFonts w:ascii="arial" w:eastAsia="arial" w:hAnsi="arial" w:cs="arial"/>
          <w:color w:val="000000"/>
          <w:sz w:val="20"/>
          <w:lang w:val="en-US" w:eastAsia="en-US" w:bidi="ar-SA"/>
        </w:rPr>
        <w:t xml:space="preserve"> </w:t>
      </w:r>
      <w:hyperlink r:id="rId890" w:history="1">
        <w:r>
          <w:rPr>
            <w:rFonts w:ascii="arial" w:eastAsia="arial" w:hAnsi="arial" w:cs="arial"/>
            <w:i/>
            <w:color w:val="0077CC"/>
            <w:sz w:val="20"/>
            <w:u w:val="single"/>
            <w:shd w:val="clear" w:color="auto" w:fill="FFFFFF"/>
            <w:lang w:val="en-US" w:eastAsia="en-US" w:bidi="ar-SA"/>
          </w:rPr>
          <w:t>2005 BCCA 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Latkin v. Vancouver (City</w:t>
      </w:r>
      <w:r>
        <w:rPr>
          <w:rFonts w:ascii="arial" w:eastAsia="arial" w:hAnsi="arial" w:cs="arial"/>
          <w:color w:val="000000"/>
          <w:sz w:val="20"/>
          <w:lang w:val="en-US" w:eastAsia="en-US" w:bidi="ar-SA"/>
        </w:rPr>
        <w:t xml:space="preserve">), </w:t>
      </w:r>
      <w:hyperlink r:id="rId1172" w:history="1">
        <w:r>
          <w:rPr>
            <w:rFonts w:ascii="arial" w:eastAsia="arial" w:hAnsi="arial" w:cs="arial"/>
            <w:i/>
            <w:color w:val="0077CC"/>
            <w:sz w:val="20"/>
            <w:u w:val="single"/>
            <w:shd w:val="clear" w:color="auto" w:fill="FFFFFF"/>
            <w:lang w:val="en-US" w:eastAsia="en-US" w:bidi="ar-SA"/>
          </w:rPr>
          <w:t>2013 BCSC 2270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Pinarreta v. Abreu Refrigeration Ltd</w:t>
      </w:r>
      <w:r>
        <w:rPr>
          <w:rFonts w:ascii="arial" w:eastAsia="arial" w:hAnsi="arial" w:cs="arial"/>
          <w:color w:val="000000"/>
          <w:sz w:val="20"/>
          <w:lang w:val="en-US" w:eastAsia="en-US" w:bidi="ar-SA"/>
        </w:rPr>
        <w:t xml:space="preserve">., </w:t>
      </w:r>
      <w:hyperlink r:id="rId1173" w:history="1">
        <w:r>
          <w:rPr>
            <w:rFonts w:ascii="arial" w:eastAsia="arial" w:hAnsi="arial" w:cs="arial"/>
            <w:i/>
            <w:color w:val="0077CC"/>
            <w:sz w:val="20"/>
            <w:u w:val="single"/>
            <w:shd w:val="clear" w:color="auto" w:fill="FFFFFF"/>
            <w:lang w:val="en-US" w:eastAsia="en-US" w:bidi="ar-SA"/>
          </w:rPr>
          <w:t>[2009] O.J. No. 4728</w:t>
        </w:r>
      </w:hyperlink>
      <w:r>
        <w:rPr>
          <w:rFonts w:ascii="arial" w:eastAsia="arial" w:hAnsi="arial" w:cs="arial"/>
          <w:color w:val="000000"/>
          <w:sz w:val="20"/>
          <w:lang w:val="en-US" w:eastAsia="en-US" w:bidi="ar-SA"/>
        </w:rPr>
        <w:t xml:space="preserve"> (Ont. Sup. Ct. J.); and </w:t>
      </w:r>
      <w:r>
        <w:rPr>
          <w:rFonts w:ascii="arial" w:eastAsia="arial" w:hAnsi="arial" w:cs="arial"/>
          <w:i/>
          <w:color w:val="000000"/>
          <w:sz w:val="20"/>
          <w:lang w:val="en-US" w:eastAsia="en-US" w:bidi="ar-SA"/>
        </w:rPr>
        <w:t>Haag v. Marshall</w:t>
      </w:r>
      <w:r>
        <w:rPr>
          <w:rFonts w:ascii="arial" w:eastAsia="arial" w:hAnsi="arial" w:cs="arial"/>
          <w:color w:val="000000"/>
          <w:sz w:val="20"/>
          <w:lang w:val="en-US" w:eastAsia="en-US" w:bidi="ar-SA"/>
        </w:rPr>
        <w:t xml:space="preserve"> </w:t>
      </w:r>
      <w:hyperlink r:id="rId1174" w:history="1">
        <w:r>
          <w:rPr>
            <w:rFonts w:ascii="arial" w:eastAsia="arial" w:hAnsi="arial" w:cs="arial"/>
            <w:i/>
            <w:color w:val="0077CC"/>
            <w:sz w:val="20"/>
            <w:u w:val="single"/>
            <w:shd w:val="clear" w:color="auto" w:fill="FFFFFF"/>
            <w:lang w:val="en-US" w:eastAsia="en-US" w:bidi="ar-SA"/>
          </w:rPr>
          <w:t>(1989), 39 B.C.L.R. (2d) 205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Volvo's submissions related to proof of the standard or care and the need for expert evidence are, for the most part, based upon authorities related to the standards of care applicable to professionals including lawyers, real estate agents and police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Those authorities are of little, if any, assistance to the resolution of the issues in this case which concerns allegations of Volvo's negligent design and manufacture of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xml:space="preserve">  Issues concerning the proof of the standard of care as well as the purported need for expert evidence to establish that standard of care and an alleged breach of it in a manufacturer's liability case were comprehensively addressed by the Nova Scotia Court of Appeal in </w:t>
      </w:r>
      <w:r>
        <w:rPr>
          <w:rFonts w:ascii="arial" w:eastAsia="arial" w:hAnsi="arial" w:cs="arial"/>
          <w:i/>
          <w:color w:val="000000"/>
          <w:sz w:val="20"/>
          <w:lang w:val="en-US" w:eastAsia="en-US" w:bidi="ar-SA"/>
        </w:rPr>
        <w:t>Johansson v. General Motors of Canada Ltd.</w:t>
      </w:r>
      <w:r>
        <w:rPr>
          <w:rFonts w:ascii="arial" w:eastAsia="arial" w:hAnsi="arial" w:cs="arial"/>
          <w:color w:val="000000"/>
          <w:sz w:val="20"/>
          <w:lang w:val="en-US" w:eastAsia="en-US" w:bidi="ar-SA"/>
        </w:rPr>
        <w:t xml:space="preserve">, </w:t>
      </w:r>
      <w:hyperlink r:id="rId1175" w:history="1">
        <w:r>
          <w:rPr>
            <w:rFonts w:ascii="arial" w:eastAsia="arial" w:hAnsi="arial" w:cs="arial"/>
            <w:i/>
            <w:color w:val="0077CC"/>
            <w:sz w:val="20"/>
            <w:u w:val="single"/>
            <w:shd w:val="clear" w:color="auto" w:fill="FFFFFF"/>
            <w:lang w:val="en-US" w:eastAsia="en-US" w:bidi="ar-SA"/>
          </w:rPr>
          <w:t>2012 NSCA 120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Johansson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Johansson,</w:t>
      </w:r>
      <w:r>
        <w:rPr>
          <w:rFonts w:ascii="arial" w:eastAsia="arial" w:hAnsi="arial" w:cs="arial"/>
          <w:color w:val="000000"/>
          <w:sz w:val="20"/>
          <w:lang w:val="en-US" w:eastAsia="en-US" w:bidi="ar-SA"/>
        </w:rPr>
        <w:t xml:space="preserve"> when Mrs. Johansson's Chevrolet Lumina veered off the road she suffered a serious brain injury. A few years later General Motors issued a recall notice citing a "steering defect" in those vehicles and Mrs. Johansson sued the manufacturer.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After Mrs. Johansson closed her case in the ensuing jury trial the trial judge granted General Motor's non-suit motion and dismissed her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xml:space="preserve">  In doing so the trial judge said that he was "satisfied that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has been established that the plaintiff's Lumina was defective" and "that the defect caused the accident". He then, however, ruled that there was no evidence to establish General Motor's standard of care or breach of that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Concerning the underlying basis for that ruling and the issues raised on appeal, the Nova Scotia Court of Appeal wrote at paras. 2 and 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 The judge viewed the Supreme Court of Canada's treatment of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Fontaine v. British Columbia (Official Administrator)</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[1998] 1 S.C.R. 424</w:t>
        </w:r>
      </w:hyperlink>
      <w:r>
        <w:rPr>
          <w:rFonts w:ascii="arial" w:eastAsia="arial" w:hAnsi="arial" w:cs="arial"/>
          <w:color w:val="000000"/>
          <w:sz w:val="20"/>
          <w:lang w:val="en-US" w:eastAsia="en-US" w:bidi="ar-SA"/>
        </w:rPr>
        <w:t xml:space="preserve"> as making it "substantially more difficult" for a plaintiff to resist a non-suit motion. According to the judge, allowing a jury to decide whether or not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inferred from evidence related to the "defect" is "reasoning [that] falls precisely within the definition of strict liability". He said either evidence of a "regulatory benchmark" or expert evidence was essential for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These views informed the judge's non-suit of Mrs. Johansson's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 The issue is whether the ruling contains an appealable error in the application of the non-suit test to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xml:space="preserve">  In allowing the appeal and ordering a new trial the Nova Scotia Court of Appeal explicitly rejected the trial judge's conclusion that allowing the jury to infer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from evidence related to the "defect" is reasoning that falls within the definition of strict liability. At paras. 80 and 81 the Court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[80] I don't behold any hovering spectre of strict liability. The judge and GMC confuse liability </w:t>
      </w:r>
      <w:r>
        <w:rPr>
          <w:rFonts w:ascii="arial" w:eastAsia="arial" w:hAnsi="arial" w:cs="arial"/>
          <w:i/>
          <w:color w:val="000000"/>
          <w:sz w:val="20"/>
          <w:lang w:val="en-US" w:eastAsia="en-US" w:bidi="ar-SA"/>
        </w:rPr>
        <w:t>without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the jury's function of deciding whether or not to reasonably </w:t>
      </w:r>
      <w:r>
        <w:rPr>
          <w:rFonts w:ascii="arial" w:eastAsia="arial" w:hAnsi="arial" w:cs="arial"/>
          <w:i/>
          <w:color w:val="000000"/>
          <w:sz w:val="20"/>
          <w:lang w:val="en-US" w:eastAsia="en-US" w:bidi="ar-SA"/>
        </w:rPr>
        <w:t>infer</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[81] Drawing inferences is standard fare for juries. An inference is a finding deduced or induced from a premise without direct evidence of the inferred fact. It is a factual jump on the reasoning path. The judge ensures that the span is not so broad or irrational that a reasonable jury would stumble. Otherwise the system trusts the jury's common sense and agility to mind the gap and land softly. To resolve the non-suit motion simply because there is no direct evidence of GMC's standard of care for rack and pinion steering assemblies, is to emasculate the jury's function of assessing whether or not to reasonably infer the standard's particulars from appropriate evidence. In </w:t>
      </w:r>
      <w:r>
        <w:rPr>
          <w:rFonts w:ascii="arial" w:eastAsia="arial" w:hAnsi="arial" w:cs="arial"/>
          <w:i/>
          <w:color w:val="000000"/>
          <w:sz w:val="20"/>
          <w:lang w:val="en-US" w:eastAsia="en-US" w:bidi="ar-SA"/>
        </w:rPr>
        <w:t>Grant v. Australian Knitting Mills Limited</w:t>
      </w:r>
      <w:r>
        <w:rPr>
          <w:rFonts w:ascii="arial" w:eastAsia="arial" w:hAnsi="arial" w:cs="arial"/>
          <w:color w:val="000000"/>
          <w:sz w:val="20"/>
          <w:lang w:val="en-US" w:eastAsia="en-US" w:bidi="ar-SA"/>
        </w:rPr>
        <w:t>, [1936] A.C. 85 (H.L.), pp. 96 and 101, Lord Wright, in well known extracts, discussed the process of inference from circumstantial evidence in a products liability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defendant's counsel] contended that the appellant's case involved arguing in a circle; his argument, he said, was that the garments must have caused the dermatitis because they contained excess sulphites, and must have contained excess sulphites because they caused the disease: but nought, he said, added to nought still is no more than nought. This, however, does not do justice either to the process of reasoning by way of probable inference which has to do so much in human affairs, or to the nature of circumstantial evidence in law courts. Mathematical, or strict logical, demonstration is generally impossible: juries are in practice told that they must act on such reasonable balance of probabilities as would suffice to determine a reasonable man to take a decision in the grave affairs of life. Pieces of evidence, each by itself insufficient, may together constitute a significant whole, and justify by their combined effect a conclusion.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when the position of the manufacturers is considered, different questions arise: there is no privity of contract between the appellant and the manufacturers: between them the liability, if any, must be in tort, and the gist of the cause of action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facts set out in the foregoing show, in their Lordships' judgment,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manufacture. According to the evidence, the method of manufacture was correct: the danger of excess sulphites being left was recognized and was guarded against: the process was intended to be fool proof. If excess sulphites were left in the garment, that could only be because some one was at fault. The appellant is not required to lay his finger on the exact person in all the chain who was responsible, or to specify what he did wrong.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is found as a matter of inference from the existence of the defects taken in connection with all the known circumstances</w:t>
      </w:r>
      <w:r>
        <w:rPr>
          <w:rFonts w:ascii="arial" w:eastAsia="arial" w:hAnsi="arial" w:cs="arial"/>
          <w:color w:val="000000"/>
          <w:sz w:val="20"/>
          <w:lang w:val="en-US" w:eastAsia="en-US" w:bidi="ar-SA"/>
        </w:rPr>
        <w:t>: even if the manufacturers could by apt evidence have rebutted that inference they have not done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[Emphasis added in </w:t>
      </w:r>
      <w:r>
        <w:rPr>
          <w:rFonts w:ascii="arial" w:eastAsia="arial" w:hAnsi="arial" w:cs="arial"/>
          <w:i/>
          <w:color w:val="000000"/>
          <w:sz w:val="20"/>
          <w:lang w:val="en-US" w:eastAsia="en-US" w:bidi="ar-SA"/>
        </w:rPr>
        <w:t>Johansson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xml:space="preserve">  After then discussing the available evidence from which inferences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could be drawn the Court said at paras. 83 to 85:</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[83] Each case turns on its own evidence. Nonetheless, it is instructive to overlay Mrs. Johansson's circumstances onto the background of other cases and textual authorities that discuss whether inferences reasonably may be drawn from an equivalent evidentiary premise.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[84] </w:t>
      </w:r>
      <w:r>
        <w:rPr>
          <w:rFonts w:ascii="arial" w:eastAsia="arial" w:hAnsi="arial" w:cs="arial"/>
          <w:i/>
          <w:color w:val="000000"/>
          <w:sz w:val="20"/>
          <w:lang w:val="en-US" w:eastAsia="en-US" w:bidi="ar-SA"/>
        </w:rPr>
        <w:t>Farro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Marchuk</w:t>
      </w:r>
      <w:r>
        <w:rPr>
          <w:rFonts w:ascii="arial" w:eastAsia="arial" w:hAnsi="arial" w:cs="arial"/>
          <w:color w:val="000000"/>
          <w:sz w:val="20"/>
          <w:lang w:val="en-US" w:eastAsia="en-US" w:bidi="ar-SA"/>
        </w:rPr>
        <w:t xml:space="preserve">, </w:t>
      </w:r>
      <w:hyperlink r:id="rId1176" w:history="1">
        <w:r>
          <w:rPr>
            <w:rFonts w:ascii="arial" w:eastAsia="arial" w:hAnsi="arial" w:cs="arial"/>
            <w:i/>
            <w:color w:val="0077CC"/>
            <w:sz w:val="20"/>
            <w:u w:val="single"/>
            <w:shd w:val="clear" w:color="auto" w:fill="FFFFFF"/>
            <w:lang w:val="en-US" w:eastAsia="en-US" w:bidi="ar-SA"/>
          </w:rPr>
          <w:t>[1998] B.C.J. No. 2851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Newfoundland Light and Power</w:t>
      </w:r>
      <w:r>
        <w:rPr>
          <w:rFonts w:ascii="arial" w:eastAsia="arial" w:hAnsi="arial" w:cs="arial"/>
          <w:color w:val="000000"/>
          <w:sz w:val="20"/>
          <w:lang w:val="en-US" w:eastAsia="en-US" w:bidi="ar-SA"/>
        </w:rPr>
        <w:t xml:space="preserve">, </w:t>
      </w:r>
      <w:hyperlink r:id="rId1177" w:history="1">
        <w:r>
          <w:rPr>
            <w:rFonts w:ascii="arial" w:eastAsia="arial" w:hAnsi="arial" w:cs="arial"/>
            <w:i/>
            <w:color w:val="0077CC"/>
            <w:sz w:val="20"/>
            <w:u w:val="single"/>
            <w:shd w:val="clear" w:color="auto" w:fill="FFFFFF"/>
            <w:lang w:val="en-US" w:eastAsia="en-US" w:bidi="ar-SA"/>
          </w:rPr>
          <w:t>[2005] N.J. No. 146</w:t>
        </w:r>
      </w:hyperlink>
      <w:r>
        <w:rPr>
          <w:rFonts w:ascii="arial" w:eastAsia="arial" w:hAnsi="arial" w:cs="arial"/>
          <w:color w:val="000000"/>
          <w:sz w:val="20"/>
          <w:lang w:val="en-US" w:eastAsia="en-US" w:bidi="ar-SA"/>
        </w:rPr>
        <w:t xml:space="preserve"> are examples where three appellate courts acknowledged that similar inferences were available to establish the standard of care and its breach. To this list may be added Chief Justice MacKeigan's comments in </w:t>
      </w:r>
      <w:r>
        <w:rPr>
          <w:rFonts w:ascii="arial" w:eastAsia="arial" w:hAnsi="arial" w:cs="arial"/>
          <w:i/>
          <w:color w:val="000000"/>
          <w:sz w:val="20"/>
          <w:lang w:val="en-US" w:eastAsia="en-US" w:bidi="ar-SA"/>
        </w:rPr>
        <w:t>Smith v. Inglis Limited</w:t>
      </w:r>
      <w:r>
        <w:rPr>
          <w:rFonts w:ascii="arial" w:eastAsia="arial" w:hAnsi="arial" w:cs="arial"/>
          <w:color w:val="000000"/>
          <w:sz w:val="20"/>
          <w:lang w:val="en-US" w:eastAsia="en-US" w:bidi="ar-SA"/>
        </w:rPr>
        <w:t xml:space="preserve"> </w:t>
      </w:r>
      <w:hyperlink r:id="rId1178" w:history="1">
        <w:r>
          <w:rPr>
            <w:rFonts w:ascii="arial" w:eastAsia="arial" w:hAnsi="arial" w:cs="arial"/>
            <w:i/>
            <w:color w:val="0077CC"/>
            <w:sz w:val="20"/>
            <w:u w:val="single"/>
            <w:shd w:val="clear" w:color="auto" w:fill="FFFFFF"/>
            <w:lang w:val="en-US" w:eastAsia="en-US" w:bidi="ar-SA"/>
          </w:rPr>
          <w:t>(1978), 25 N.S.R. (2d) 38</w:t>
        </w:r>
      </w:hyperlink>
      <w:r>
        <w:rPr>
          <w:rFonts w:ascii="arial" w:eastAsia="arial" w:hAnsi="arial" w:cs="arial"/>
          <w:color w:val="000000"/>
          <w:sz w:val="20"/>
          <w:lang w:val="en-US" w:eastAsia="en-US" w:bidi="ar-SA"/>
        </w:rPr>
        <w:t xml:space="preserve"> (S.C.A.D.), para 8, that were adopted by the Ontario Court of Appeal in </w:t>
      </w:r>
      <w:r>
        <w:rPr>
          <w:rFonts w:ascii="arial" w:eastAsia="arial" w:hAnsi="arial" w:cs="arial"/>
          <w:i/>
          <w:color w:val="000000"/>
          <w:sz w:val="20"/>
          <w:lang w:val="en-US" w:eastAsia="en-US" w:bidi="ar-SA"/>
        </w:rPr>
        <w:t>Farro</w:t>
      </w:r>
      <w:r>
        <w:rPr>
          <w:rFonts w:ascii="arial" w:eastAsia="arial" w:hAnsi="arial" w:cs="arial"/>
          <w:color w:val="000000"/>
          <w:sz w:val="20"/>
          <w:lang w:val="en-US" w:eastAsia="en-US" w:bidi="ar-SA"/>
        </w:rPr>
        <w:t xml:space="preserve">, para 19 (quoted above, para 52). Chief Justice MacKeigan (para 9) noted that he was not invoking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then (paras 9 ff) elaborated on the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from evidence surrounding a defect that existed in the product when it left the manufacturer.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[85] Klar, </w:t>
      </w:r>
      <w:r>
        <w:rPr>
          <w:rFonts w:ascii="arial" w:eastAsia="arial" w:hAnsi="arial" w:cs="arial"/>
          <w:i/>
          <w:color w:val="000000"/>
          <w:sz w:val="20"/>
          <w:lang w:val="en-US" w:eastAsia="en-US" w:bidi="ar-SA"/>
        </w:rPr>
        <w:t>Tort Law</w:t>
      </w:r>
      <w:r>
        <w:rPr>
          <w:rFonts w:ascii="arial" w:eastAsia="arial" w:hAnsi="arial" w:cs="arial"/>
          <w:color w:val="000000"/>
          <w:sz w:val="20"/>
          <w:lang w:val="en-US" w:eastAsia="en-US" w:bidi="ar-SA"/>
        </w:rPr>
        <w:t xml:space="preserve"> (5th ed. 2012), p. 382, states: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stated by Waddams, and agreed to by the courts, where a product has been manufactured with a defect, and this defect has resulted in the plaintiff's injuries, "the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practically irresistible". This inference is predicated upon proof that the defect was in the product when it left the manufacturer.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the same effect: S.M. Waddams, </w:t>
      </w:r>
      <w:r>
        <w:rPr>
          <w:rFonts w:ascii="arial" w:eastAsia="arial" w:hAnsi="arial" w:cs="arial"/>
          <w:i/>
          <w:color w:val="000000"/>
          <w:sz w:val="20"/>
          <w:lang w:val="en-US" w:eastAsia="en-US" w:bidi="ar-SA"/>
        </w:rPr>
        <w:t>Products Liability</w:t>
      </w:r>
      <w:r>
        <w:rPr>
          <w:rFonts w:ascii="arial" w:eastAsia="arial" w:hAnsi="arial" w:cs="arial"/>
          <w:color w:val="000000"/>
          <w:sz w:val="20"/>
          <w:lang w:val="en-US" w:eastAsia="en-US" w:bidi="ar-SA"/>
        </w:rPr>
        <w:t xml:space="preserve">, 5th ed. (Toronto: Thomson Reuters Canada Limited, 2011) at pp. 69-70; Linden and Feldthusen,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xml:space="preserve">, (9th ed. 2011), pp. 632-33; Cassels and Jones, </w:t>
      </w:r>
      <w:r>
        <w:rPr>
          <w:rFonts w:ascii="arial" w:eastAsia="arial" w:hAnsi="arial" w:cs="arial"/>
          <w:i/>
          <w:color w:val="000000"/>
          <w:sz w:val="20"/>
          <w:lang w:val="en-US" w:eastAsia="en-US" w:bidi="ar-SA"/>
        </w:rPr>
        <w:t>The Law of Large-Scale Claims,</w:t>
      </w:r>
      <w:r>
        <w:rPr>
          <w:rFonts w:ascii="arial" w:eastAsia="arial" w:hAnsi="arial" w:cs="arial"/>
          <w:color w:val="000000"/>
          <w:sz w:val="20"/>
          <w:lang w:val="en-US" w:eastAsia="en-US" w:bidi="ar-SA"/>
        </w:rPr>
        <w:t xml:space="preserve"> (2005), p. 34; Dean F. Edgell, </w:t>
      </w:r>
      <w:r>
        <w:rPr>
          <w:rFonts w:ascii="arial" w:eastAsia="arial" w:hAnsi="arial" w:cs="arial"/>
          <w:i/>
          <w:color w:val="000000"/>
          <w:sz w:val="20"/>
          <w:lang w:val="en-US" w:eastAsia="en-US" w:bidi="ar-SA"/>
        </w:rPr>
        <w:t>Product Liability Law in Canada</w:t>
      </w:r>
      <w:r>
        <w:rPr>
          <w:rFonts w:ascii="arial" w:eastAsia="arial" w:hAnsi="arial" w:cs="arial"/>
          <w:color w:val="000000"/>
          <w:sz w:val="20"/>
          <w:lang w:val="en-US" w:eastAsia="en-US" w:bidi="ar-SA"/>
        </w:rPr>
        <w:t xml:space="preserve"> (Markham, Ont.: Butterworths, 2000) at pp 25-26; Lewis W. Klar, Allen M. Linden et al., </w:t>
      </w:r>
      <w:r>
        <w:rPr>
          <w:rFonts w:ascii="arial" w:eastAsia="arial" w:hAnsi="arial" w:cs="arial"/>
          <w:i/>
          <w:color w:val="000000"/>
          <w:sz w:val="20"/>
          <w:lang w:val="en-US" w:eastAsia="en-US" w:bidi="ar-SA"/>
        </w:rPr>
        <w:t>Remedies in Tort</w:t>
      </w:r>
      <w:r>
        <w:rPr>
          <w:rFonts w:ascii="arial" w:eastAsia="arial" w:hAnsi="arial" w:cs="arial"/>
          <w:color w:val="000000"/>
          <w:sz w:val="20"/>
          <w:lang w:val="en-US" w:eastAsia="en-US" w:bidi="ar-SA"/>
        </w:rPr>
        <w:t xml:space="preserve">, vol. 3, (Carswell, 2011), para 45, pp. 20-37 and 20-38; and the case authorities cited in these passages. These texts post-date </w:t>
      </w:r>
      <w:r>
        <w:rPr>
          <w:rFonts w:ascii="arial" w:eastAsia="arial" w:hAnsi="arial" w:cs="arial"/>
          <w:i/>
          <w:color w:val="000000"/>
          <w:sz w:val="20"/>
          <w:lang w:val="en-US" w:eastAsia="en-US" w:bidi="ar-SA"/>
        </w:rPr>
        <w:t>Fontaine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I adopt that reasoning.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The Nova Scotia Court of Appeal also rejected the trial judge's conclusions that evidence of a "regulatory benchmark" or "industry practices" (not at issue in this case) or expert evidence is required to establish the requisite standard of care in a case of product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On the issue of the need for expert evidence, the Court of Appeal stated at paras. 112 to 116:</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[112] ... The judge, in Mrs. Johansson's case, referred to </w:t>
      </w:r>
      <w:r>
        <w:rPr>
          <w:rFonts w:ascii="arial" w:eastAsia="arial" w:hAnsi="arial" w:cs="arial"/>
          <w:i/>
          <w:color w:val="000000"/>
          <w:sz w:val="20"/>
          <w:lang w:val="en-US" w:eastAsia="en-US" w:bidi="ar-SA"/>
        </w:rPr>
        <w:t>Crits</w:t>
      </w:r>
      <w:r>
        <w:rPr>
          <w:rFonts w:ascii="arial" w:eastAsia="arial" w:hAnsi="arial" w:cs="arial"/>
          <w:color w:val="000000"/>
          <w:sz w:val="20"/>
          <w:lang w:val="en-US" w:eastAsia="en-US" w:bidi="ar-SA"/>
        </w:rPr>
        <w:t xml:space="preserve">, </w:t>
      </w:r>
      <w:hyperlink r:id="rId1179" w:history="1">
        <w:r>
          <w:rPr>
            <w:rFonts w:ascii="arial" w:eastAsia="arial" w:hAnsi="arial" w:cs="arial"/>
            <w:i/>
            <w:color w:val="0077CC"/>
            <w:sz w:val="20"/>
            <w:u w:val="single"/>
            <w:shd w:val="clear" w:color="auto" w:fill="FFFFFF"/>
            <w:lang w:val="en-US" w:eastAsia="en-US" w:bidi="ar-SA"/>
          </w:rPr>
          <w:t>[1956] O.J. No. 526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Krawchuk v. Scherbak</w:t>
      </w:r>
      <w:r>
        <w:rPr>
          <w:rFonts w:ascii="arial" w:eastAsia="arial" w:hAnsi="arial" w:cs="arial"/>
          <w:color w:val="000000"/>
          <w:sz w:val="20"/>
          <w:lang w:val="en-US" w:eastAsia="en-US" w:bidi="ar-SA"/>
        </w:rPr>
        <w:t xml:space="preserve">, </w:t>
      </w:r>
      <w:hyperlink r:id="rId1180" w:history="1">
        <w:r>
          <w:rPr>
            <w:rFonts w:ascii="arial" w:eastAsia="arial" w:hAnsi="arial" w:cs="arial"/>
            <w:i/>
            <w:color w:val="0077CC"/>
            <w:sz w:val="20"/>
            <w:u w:val="single"/>
            <w:shd w:val="clear" w:color="auto" w:fill="FFFFFF"/>
            <w:lang w:val="en-US" w:eastAsia="en-US" w:bidi="ar-SA"/>
          </w:rPr>
          <w:t>2011 ONCA 352</w:t>
        </w:r>
      </w:hyperlink>
      <w:r>
        <w:rPr>
          <w:rFonts w:ascii="arial" w:eastAsia="arial" w:hAnsi="arial" w:cs="arial"/>
          <w:color w:val="000000"/>
          <w:sz w:val="20"/>
          <w:lang w:val="en-US" w:eastAsia="en-US" w:bidi="ar-SA"/>
        </w:rPr>
        <w:t xml:space="preserve"> as authority that expert evidence is required to establish the standard of care. </w:t>
      </w:r>
      <w:r>
        <w:rPr>
          <w:rFonts w:ascii="arial" w:eastAsia="arial" w:hAnsi="arial" w:cs="arial"/>
          <w:i/>
          <w:color w:val="000000"/>
          <w:sz w:val="20"/>
          <w:lang w:val="en-US" w:eastAsia="en-US" w:bidi="ar-SA"/>
        </w:rPr>
        <w:t>Crits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Krawchuk</w:t>
      </w:r>
      <w:r>
        <w:rPr>
          <w:rFonts w:ascii="arial" w:eastAsia="arial" w:hAnsi="arial" w:cs="arial"/>
          <w:color w:val="000000"/>
          <w:sz w:val="20"/>
          <w:lang w:val="en-US" w:eastAsia="en-US" w:bidi="ar-SA"/>
        </w:rPr>
        <w:t xml:space="preserve"> discussed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Neither involved a non-suit. The judge (see above, paras 91-2) moved seamlessly from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products liability, and ruled that, absent evidence from Mrs. Johansson on industry practice respecting rack and pinion steering, a non-suit was in order.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[113] The leading authority on the need for expert evidence in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is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an obstetrician and gynaecologist. The plaintiff contracted HIV from the defendant's procedure for artificial insemination. The procedure occurred in the early 1980s, before the first published case of HIV transmission from artificial insemination. There was expert evidence that the defendant's approach complied with gynaecological practices in Canada at the time. The jury nonetheless found the defendant negligent. There was no non-suit. The Court of Appeal overturned the verdict and ordered a new trial. The Supreme Court of Canada dismissed the appeal. The case turned on what knowledge of HIV risk was available in the profession at the time of the procedure. Justice Sopinka said: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As was observed in </w:t>
      </w:r>
      <w:r>
        <w:rPr>
          <w:rFonts w:ascii="arial" w:eastAsia="arial" w:hAnsi="arial" w:cs="arial"/>
          <w:i/>
          <w:color w:val="000000"/>
          <w:sz w:val="20"/>
          <w:lang w:val="en-US" w:eastAsia="en-US" w:bidi="ar-SA"/>
        </w:rPr>
        <w:t>Lapointe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1 S.C.R. 351</w:t>
      </w:r>
      <w:r>
        <w:rPr>
          <w:rFonts w:ascii="arial" w:eastAsia="arial" w:hAnsi="arial" w:cs="arial"/>
          <w:color w:val="000000"/>
          <w:sz w:val="20"/>
          <w:lang w:val="en-US" w:eastAsia="en-US" w:bidi="ar-SA"/>
        </w:rPr>
        <w:t xml:space="preserve"> courts should not involve themselves in resolving scientific disputes which require the expertise of the profession. Courts and juries do not have the necessary expertise to assess technical matters relating to the diagnosis or treatment of patients. Where a common and accepted course of conduct is adopted based on the specialized and technical expertise of professionals, it is unsatisfactory for a finder of fact to conclude that such a standard was inherently negligent. On the other hand, matters falling within the ordinary common sense of juries can be judged to be negligent. For example, where there are obvious existing alternatives which any reasonable person would utilize in order to avoid a risk, one could conclude that the failure to adopt such measures is negligent notwithstanding that it is the prevailing practice among practitioners in the area.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[114] </w:t>
      </w:r>
      <w:r>
        <w:rPr>
          <w:rFonts w:ascii="arial" w:eastAsia="arial" w:hAnsi="arial" w:cs="arial"/>
          <w:color w:val="000000"/>
          <w:sz w:val="20"/>
          <w:u w:val="single"/>
          <w:lang w:val="en-US" w:eastAsia="en-US" w:bidi="ar-SA"/>
        </w:rPr>
        <w:t xml:space="preserve">I disagree with the judge that the principles respecting expert evidence in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cases support a non-suit of Mrs. Johansson's claim</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[115] The standard of care for each professional is defined with reference to his or her profession. Linden and Feldthusen,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xml:space="preserve"> (9th ed. 2011), p 165, under the heading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states: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all these cases, the courts are balancing the interests of the clients or patients in receiving skilled service as well as the interests of professional people in a certain degree of autonomy in their dealings with the community. As always, an uneasy compromise has been reached.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Every recognized professional group has its own individual standard - a standard to which all the members of the profession must conform. Chief Justice McLachlin, for example, has asserted that, in conducting an investigation, the standard of care required of the police is that of a "reasonable police officer in all the circumstances". Surveyors, for an example, must "exercise a reasonable amount of care and a reasonably competent degree of skill and knowledge". A chiropractor's diagnosis, for another example, must be "sufficient by chiropractic standards". A similar obligation, which is said by some to be based on contract, rests on engineers, architects, accountants and others.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follows that evidence related to the standards of the defendant's particular profession is in order. In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for example, the case pivoted on the awareness, in the gynaecological profession, of HIV risk in the early 1980s, a topic tailored for expert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[116] The same cannot be said in this case. </w:t>
      </w:r>
      <w:r>
        <w:rPr>
          <w:rFonts w:ascii="arial" w:eastAsia="arial" w:hAnsi="arial" w:cs="arial"/>
          <w:color w:val="000000"/>
          <w:sz w:val="20"/>
          <w:u w:val="single"/>
          <w:lang w:val="en-US" w:eastAsia="en-US" w:bidi="ar-SA"/>
        </w:rPr>
        <w:t xml:space="preserve">GMC's standard is to use reasonable care in the circumstances. From Justice Major's comments in </w:t>
      </w:r>
      <w:r>
        <w:rPr>
          <w:rFonts w:ascii="arial" w:eastAsia="arial" w:hAnsi="arial" w:cs="arial"/>
          <w:i/>
          <w:color w:val="000000"/>
          <w:sz w:val="20"/>
          <w:u w:val="single"/>
          <w:lang w:val="en-US" w:eastAsia="en-US" w:bidi="ar-SA"/>
        </w:rPr>
        <w:t>Ryan</w:t>
      </w:r>
      <w:r>
        <w:rPr>
          <w:rFonts w:ascii="arial" w:eastAsia="arial" w:hAnsi="arial" w:cs="arial"/>
          <w:color w:val="000000"/>
          <w:sz w:val="20"/>
          <w:u w:val="single"/>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u w:val="single"/>
          <w:lang w:val="en-US" w:eastAsia="en-US" w:bidi="ar-SA"/>
        </w:rPr>
        <w:t xml:space="preserve"> those circumstances may, but do not necessarily, include industry standards. Expert evidence of industry standards would be relevant, but is not legally mandatory for a claim such as Mrs. Johansson's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I also adopt that reasoning.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 Principles to be Applied in Determining Liability for Alleged Negligent Manufacture or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xml:space="preserve">  After reviewing all of the authorities provided by counsel, many of which were considered in </w:t>
      </w:r>
      <w:r>
        <w:rPr>
          <w:rFonts w:ascii="arial" w:eastAsia="arial" w:hAnsi="arial" w:cs="arial"/>
          <w:i/>
          <w:color w:val="000000"/>
          <w:sz w:val="20"/>
          <w:lang w:val="en-US" w:eastAsia="en-US" w:bidi="ar-SA"/>
        </w:rPr>
        <w:t>Johansson,</w:t>
      </w:r>
      <w:r>
        <w:rPr>
          <w:rFonts w:ascii="arial" w:eastAsia="arial" w:hAnsi="arial" w:cs="arial"/>
          <w:color w:val="000000"/>
          <w:sz w:val="20"/>
          <w:lang w:val="en-US" w:eastAsia="en-US" w:bidi="ar-SA"/>
        </w:rPr>
        <w:t xml:space="preserve"> and the submissions of counsel I have concluded that the following principles must be applied in determining whether the plaintiffs have proven that Volvo was negligent in the manufacture or design of the configuration of the nut and washer assembly on the cab positive terminal which resulted in the loose nut on that terminal that caused the collision, or in failing to warn the plaintiffs that unspecified hardware was used in the manufacture of the Truck.</w:t>
      </w:r>
      <w:r>
        <w:rPr>
          <w:rFonts w:ascii="arial" w:eastAsia="arial" w:hAnsi="arial" w:cs="arial"/>
          <w:sz w:val="20"/>
          <w:lang w:val="en-US" w:eastAsia="en-US" w:bidi="ar-SA"/>
        </w:rPr>
        <w:cr/>
      </w:r>
    </w:p>
    <w:p>
      <w:pPr>
        <w:numPr>
          <w:numId w:val="1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the burden of proving on a balance of probabilities that Volvo was negligent in either the manufacture or design of the cab positive terminal or failed in fulfilling a duty to warn.</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prove negligent manufacture the plaintiffs must prove that the cab positive terminal assembly was defective when it left the manufacturer's plant. See: Lewis N. Klar, </w:t>
      </w:r>
      <w:r>
        <w:rPr>
          <w:rFonts w:ascii="arial" w:eastAsia="arial" w:hAnsi="arial" w:cs="arial"/>
          <w:i/>
          <w:color w:val="000000"/>
          <w:sz w:val="20"/>
          <w:lang w:val="en-US" w:eastAsia="en-US" w:bidi="ar-SA"/>
        </w:rPr>
        <w:t>Tort Law,</w:t>
      </w:r>
      <w:r>
        <w:rPr>
          <w:rFonts w:ascii="arial" w:eastAsia="arial" w:hAnsi="arial" w:cs="arial"/>
          <w:color w:val="000000"/>
          <w:sz w:val="20"/>
          <w:lang w:val="en-US" w:eastAsia="en-US" w:bidi="ar-SA"/>
        </w:rPr>
        <w:t xml:space="preserve"> 4th ed. (Toronto: Thomson Carswell, 2008) [</w:t>
      </w:r>
      <w:r>
        <w:rPr>
          <w:rFonts w:ascii="arial" w:eastAsia="arial" w:hAnsi="arial" w:cs="arial"/>
          <w:i/>
          <w:color w:val="000000"/>
          <w:sz w:val="20"/>
          <w:lang w:val="en-US" w:eastAsia="en-US" w:bidi="ar-SA"/>
        </w:rPr>
        <w:t>Klar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Daishowa-Marubeni International Ltd. v. Toshiba International Corp</w:t>
      </w:r>
      <w:r>
        <w:rPr>
          <w:rFonts w:ascii="arial" w:eastAsia="arial" w:hAnsi="arial" w:cs="arial"/>
          <w:color w:val="000000"/>
          <w:sz w:val="20"/>
          <w:lang w:val="en-US" w:eastAsia="en-US" w:bidi="ar-SA"/>
        </w:rPr>
        <w:t xml:space="preserve">, </w:t>
      </w:r>
      <w:hyperlink r:id="rId1181" w:history="1">
        <w:r>
          <w:rPr>
            <w:rFonts w:ascii="arial" w:eastAsia="arial" w:hAnsi="arial" w:cs="arial"/>
            <w:i/>
            <w:color w:val="0077CC"/>
            <w:sz w:val="20"/>
            <w:u w:val="single"/>
            <w:shd w:val="clear" w:color="auto" w:fill="FFFFFF"/>
            <w:lang w:val="en-US" w:eastAsia="en-US" w:bidi="ar-SA"/>
          </w:rPr>
          <w:t>2010 ABQB 627</w:t>
        </w:r>
      </w:hyperlink>
      <w:r>
        <w:rPr>
          <w:rFonts w:ascii="arial" w:eastAsia="arial" w:hAnsi="arial" w:cs="arial"/>
          <w:color w:val="000000"/>
          <w:sz w:val="20"/>
          <w:lang w:val="en-US" w:eastAsia="en-US" w:bidi="ar-SA"/>
        </w:rPr>
        <w:t xml:space="preserve"> at para. 58; </w:t>
      </w:r>
      <w:r>
        <w:rPr>
          <w:rFonts w:ascii="arial" w:eastAsia="arial" w:hAnsi="arial" w:cs="arial"/>
          <w:i/>
          <w:color w:val="000000"/>
          <w:sz w:val="20"/>
          <w:lang w:val="en-US" w:eastAsia="en-US" w:bidi="ar-SA"/>
        </w:rPr>
        <w:t>Meisel v. Tolko Industries Ltd</w:t>
      </w:r>
      <w:r>
        <w:rPr>
          <w:rFonts w:ascii="arial" w:eastAsia="arial" w:hAnsi="arial" w:cs="arial"/>
          <w:color w:val="000000"/>
          <w:sz w:val="20"/>
          <w:lang w:val="en-US" w:eastAsia="en-US" w:bidi="ar-SA"/>
        </w:rPr>
        <w:t xml:space="preserve">., </w:t>
      </w:r>
      <w:hyperlink r:id="rId1182" w:history="1">
        <w:r>
          <w:rPr>
            <w:rFonts w:ascii="arial" w:eastAsia="arial" w:hAnsi="arial" w:cs="arial"/>
            <w:i/>
            <w:color w:val="0077CC"/>
            <w:sz w:val="20"/>
            <w:u w:val="single"/>
            <w:shd w:val="clear" w:color="auto" w:fill="FFFFFF"/>
            <w:lang w:val="en-US" w:eastAsia="en-US" w:bidi="ar-SA"/>
          </w:rPr>
          <w:t>1991 CanLII 120</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Meisel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Johansson</w:t>
      </w:r>
      <w:r>
        <w:rPr>
          <w:rFonts w:ascii="arial" w:eastAsia="arial" w:hAnsi="arial" w:cs="arial"/>
          <w:color w:val="000000"/>
          <w:sz w:val="20"/>
          <w:lang w:val="en-US" w:eastAsia="en-US" w:bidi="ar-SA"/>
        </w:rPr>
        <w:t xml:space="preserve"> at para. 85.</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that is proven the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"practically irresistible": See: </w:t>
      </w:r>
      <w:r>
        <w:rPr>
          <w:rFonts w:ascii="arial" w:eastAsia="arial" w:hAnsi="arial" w:cs="arial"/>
          <w:i/>
          <w:color w:val="000000"/>
          <w:sz w:val="20"/>
          <w:lang w:val="en-US" w:eastAsia="en-US" w:bidi="ar-SA"/>
        </w:rPr>
        <w:t>Klar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Meisel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Johansson</w:t>
      </w:r>
      <w:r>
        <w:rPr>
          <w:rFonts w:ascii="arial" w:eastAsia="arial" w:hAnsi="arial" w:cs="arial"/>
          <w:color w:val="000000"/>
          <w:sz w:val="20"/>
          <w:lang w:val="en-US" w:eastAsia="en-US" w:bidi="ar-SA"/>
        </w:rPr>
        <w:t xml:space="preserve"> (at para. 85). That is so because: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argument is that either the manufacturer's system was at fault, or if the system was sound then an individual employee must have been negligent. In either case the manufacturer is liable and the plaintiff need not prove exactly how the defect arose."</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burden of proving that Volvo was responsible for the defective cab positive terminal assembly that caused the collision damages may be discharged by circumstantial evidence that the defect was there when the assembly left the manufacturer's plant. That can be done by "excluding the possibility that some other person created the hazard after the product left the factory": See: </w:t>
      </w:r>
      <w:r>
        <w:rPr>
          <w:rFonts w:ascii="arial" w:eastAsia="arial" w:hAnsi="arial" w:cs="arial"/>
          <w:i/>
          <w:color w:val="000000"/>
          <w:sz w:val="20"/>
          <w:lang w:val="en-US" w:eastAsia="en-US" w:bidi="ar-SA"/>
        </w:rPr>
        <w:t>Smith v. Inglis Ltd.</w:t>
      </w:r>
      <w:r>
        <w:rPr>
          <w:rFonts w:ascii="arial" w:eastAsia="arial" w:hAnsi="arial" w:cs="arial"/>
          <w:color w:val="000000"/>
          <w:sz w:val="20"/>
          <w:lang w:val="en-US" w:eastAsia="en-US" w:bidi="ar-SA"/>
        </w:rPr>
        <w:t xml:space="preserve"> </w:t>
      </w:r>
      <w:hyperlink r:id="rId1178" w:history="1">
        <w:r>
          <w:rPr>
            <w:rFonts w:ascii="arial" w:eastAsia="arial" w:hAnsi="arial" w:cs="arial"/>
            <w:i/>
            <w:color w:val="0077CC"/>
            <w:sz w:val="20"/>
            <w:u w:val="single"/>
            <w:shd w:val="clear" w:color="auto" w:fill="FFFFFF"/>
            <w:lang w:val="en-US" w:eastAsia="en-US" w:bidi="ar-SA"/>
          </w:rPr>
          <w:t>(1978), 25 N.S.R. (2d) 38</w:t>
        </w:r>
      </w:hyperlink>
      <w:r>
        <w:rPr>
          <w:rFonts w:ascii="arial" w:eastAsia="arial" w:hAnsi="arial" w:cs="arial"/>
          <w:color w:val="000000"/>
          <w:sz w:val="20"/>
          <w:lang w:val="en-US" w:eastAsia="en-US" w:bidi="ar-SA"/>
        </w:rPr>
        <w:t xml:space="preserve"> (C.A.) at para. 8; </w:t>
      </w:r>
      <w:r>
        <w:rPr>
          <w:rFonts w:ascii="arial" w:eastAsia="arial" w:hAnsi="arial" w:cs="arial"/>
          <w:i/>
          <w:color w:val="000000"/>
          <w:sz w:val="20"/>
          <w:lang w:val="en-US" w:eastAsia="en-US" w:bidi="ar-SA"/>
        </w:rPr>
        <w:t>Johansson</w:t>
      </w:r>
      <w:r>
        <w:rPr>
          <w:rFonts w:ascii="arial" w:eastAsia="arial" w:hAnsi="arial" w:cs="arial"/>
          <w:color w:val="000000"/>
          <w:sz w:val="20"/>
          <w:lang w:val="en-US" w:eastAsia="en-US" w:bidi="ar-SA"/>
        </w:rPr>
        <w:t xml:space="preserve"> at para. 85; and </w:t>
      </w:r>
      <w:r>
        <w:rPr>
          <w:rFonts w:ascii="arial" w:eastAsia="arial" w:hAnsi="arial" w:cs="arial"/>
          <w:i/>
          <w:color w:val="000000"/>
          <w:sz w:val="20"/>
          <w:lang w:val="en-US" w:eastAsia="en-US" w:bidi="ar-SA"/>
        </w:rPr>
        <w:t>Farro v. Nutone Electrical Ltd.</w:t>
      </w:r>
      <w:r>
        <w:rPr>
          <w:rFonts w:ascii="arial" w:eastAsia="arial" w:hAnsi="arial" w:cs="arial"/>
          <w:color w:val="000000"/>
          <w:sz w:val="20"/>
          <w:lang w:val="en-US" w:eastAsia="en-US" w:bidi="ar-SA"/>
        </w:rPr>
        <w:t xml:space="preserve"> </w:t>
      </w:r>
      <w:hyperlink r:id="rId1183" w:history="1">
        <w:r>
          <w:rPr>
            <w:rFonts w:ascii="arial" w:eastAsia="arial" w:hAnsi="arial" w:cs="arial"/>
            <w:i/>
            <w:color w:val="0077CC"/>
            <w:sz w:val="20"/>
            <w:u w:val="single"/>
            <w:shd w:val="clear" w:color="auto" w:fill="FFFFFF"/>
            <w:lang w:val="en-US" w:eastAsia="en-US" w:bidi="ar-SA"/>
          </w:rPr>
          <w:t>(1990), 72 O.R. (2d) 637</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Farro</w:t>
      </w:r>
      <w:r>
        <w:rPr>
          <w:rFonts w:ascii="arial" w:eastAsia="arial" w:hAnsi="arial" w:cs="arial"/>
          <w:color w:val="000000"/>
          <w:sz w:val="20"/>
          <w:lang w:val="en-US" w:eastAsia="en-US" w:bidi="ar-SA"/>
        </w:rPr>
        <w:t>] at para. 52.</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manufacturer is responsible for a component manufactured elsewhere and installed in the manufacturer's product. See: </w:t>
      </w:r>
      <w:r>
        <w:rPr>
          <w:rFonts w:ascii="arial" w:eastAsia="arial" w:hAnsi="arial" w:cs="arial"/>
          <w:i/>
          <w:color w:val="000000"/>
          <w:sz w:val="20"/>
          <w:lang w:val="en-US" w:eastAsia="en-US" w:bidi="ar-SA"/>
        </w:rPr>
        <w:t>Farro</w:t>
      </w:r>
      <w:r>
        <w:rPr>
          <w:rFonts w:ascii="arial" w:eastAsia="arial" w:hAnsi="arial" w:cs="arial"/>
          <w:color w:val="000000"/>
          <w:sz w:val="20"/>
          <w:lang w:val="en-US" w:eastAsia="en-US" w:bidi="ar-SA"/>
        </w:rPr>
        <w:t xml:space="preserve"> at paras. 11 and 12; and, </w:t>
      </w:r>
      <w:r>
        <w:rPr>
          <w:rFonts w:ascii="arial" w:eastAsia="arial" w:hAnsi="arial" w:cs="arial"/>
          <w:i/>
          <w:color w:val="000000"/>
          <w:sz w:val="20"/>
          <w:lang w:val="en-US" w:eastAsia="en-US" w:bidi="ar-SA"/>
        </w:rPr>
        <w:t>Pennock v. Aerostar International, Inc.,</w:t>
      </w:r>
      <w:r>
        <w:rPr>
          <w:rFonts w:ascii="arial" w:eastAsia="arial" w:hAnsi="arial" w:cs="arial"/>
          <w:color w:val="000000"/>
          <w:sz w:val="20"/>
          <w:lang w:val="en-US" w:eastAsia="en-US" w:bidi="ar-SA"/>
        </w:rPr>
        <w:t xml:space="preserve"> </w:t>
      </w:r>
      <w:hyperlink r:id="rId1184" w:history="1">
        <w:r>
          <w:rPr>
            <w:rFonts w:ascii="arial" w:eastAsia="arial" w:hAnsi="arial" w:cs="arial"/>
            <w:i/>
            <w:color w:val="0077CC"/>
            <w:sz w:val="20"/>
            <w:u w:val="single"/>
            <w:shd w:val="clear" w:color="auto" w:fill="FFFFFF"/>
            <w:lang w:val="en-US" w:eastAsia="en-US" w:bidi="ar-SA"/>
          </w:rPr>
          <w:t>2012 BCSC 1422</w:t>
        </w:r>
      </w:hyperlink>
      <w:r>
        <w:rPr>
          <w:rFonts w:ascii="arial" w:eastAsia="arial" w:hAnsi="arial" w:cs="arial"/>
          <w:color w:val="000000"/>
          <w:sz w:val="20"/>
          <w:lang w:val="en-US" w:eastAsia="en-US" w:bidi="ar-SA"/>
        </w:rPr>
        <w:t xml:space="preserve"> at paras. 51 and 52.</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succeed on their allegations of negligent design the plaintiffs must identify the design defect in the cab positive terminal nut and washer assembly; establish that the design defect created a substantial likelihood of harm; and, also establish the existence of an alternative design that is safer and economically feasible to manufacture. See: </w:t>
      </w:r>
      <w:r>
        <w:rPr>
          <w:rFonts w:ascii="arial" w:eastAsia="arial" w:hAnsi="arial" w:cs="arial"/>
          <w:i/>
          <w:color w:val="000000"/>
          <w:sz w:val="20"/>
          <w:lang w:val="en-US" w:eastAsia="en-US" w:bidi="ar-SA"/>
        </w:rPr>
        <w:t>Rentway Canada Ltd. v. Laidlaw Transport Ltd.</w:t>
      </w:r>
      <w:r>
        <w:rPr>
          <w:rFonts w:ascii="arial" w:eastAsia="arial" w:hAnsi="arial" w:cs="arial"/>
          <w:color w:val="000000"/>
          <w:sz w:val="20"/>
          <w:lang w:val="en-US" w:eastAsia="en-US" w:bidi="ar-SA"/>
        </w:rPr>
        <w:t xml:space="preserve"> </w:t>
      </w:r>
      <w:hyperlink r:id="rId1185" w:history="1">
        <w:r>
          <w:rPr>
            <w:rFonts w:ascii="arial" w:eastAsia="arial" w:hAnsi="arial" w:cs="arial"/>
            <w:i/>
            <w:color w:val="0077CC"/>
            <w:sz w:val="20"/>
            <w:u w:val="single"/>
            <w:shd w:val="clear" w:color="auto" w:fill="FFFFFF"/>
            <w:lang w:val="en-US" w:eastAsia="en-US" w:bidi="ar-SA"/>
          </w:rPr>
          <w:t>(1989), 49 C.C.L.T. 150</w:t>
        </w:r>
      </w:hyperlink>
      <w:r>
        <w:rPr>
          <w:rFonts w:ascii="arial" w:eastAsia="arial" w:hAnsi="arial" w:cs="arial"/>
          <w:color w:val="000000"/>
          <w:sz w:val="20"/>
          <w:lang w:val="en-US" w:eastAsia="en-US" w:bidi="ar-SA"/>
        </w:rPr>
        <w:t xml:space="preserve"> (Ont. H.C.) at page 10, aff'd </w:t>
      </w:r>
      <w:hyperlink r:id="rId1186" w:history="1">
        <w:r>
          <w:rPr>
            <w:rFonts w:ascii="arial" w:eastAsia="arial" w:hAnsi="arial" w:cs="arial"/>
            <w:i/>
            <w:color w:val="0077CC"/>
            <w:sz w:val="20"/>
            <w:u w:val="single"/>
            <w:shd w:val="clear" w:color="auto" w:fill="FFFFFF"/>
            <w:lang w:val="en-US" w:eastAsia="en-US" w:bidi="ar-SA"/>
          </w:rPr>
          <w:t>[1994] O.J. No. 50</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Kreutner v. Waterloo Oxford Co-operative Inc.</w:t>
      </w:r>
      <w:r>
        <w:rPr>
          <w:rFonts w:ascii="arial" w:eastAsia="arial" w:hAnsi="arial" w:cs="arial"/>
          <w:color w:val="000000"/>
          <w:sz w:val="20"/>
          <w:lang w:val="en-US" w:eastAsia="en-US" w:bidi="ar-SA"/>
        </w:rPr>
        <w:t xml:space="preserve"> </w:t>
      </w:r>
      <w:hyperlink r:id="rId1187" w:history="1">
        <w:r>
          <w:rPr>
            <w:rFonts w:ascii="arial" w:eastAsia="arial" w:hAnsi="arial" w:cs="arial"/>
            <w:i/>
            <w:color w:val="0077CC"/>
            <w:sz w:val="20"/>
            <w:u w:val="single"/>
            <w:shd w:val="clear" w:color="auto" w:fill="FFFFFF"/>
            <w:lang w:val="en-US" w:eastAsia="en-US" w:bidi="ar-SA"/>
          </w:rPr>
          <w:t>(2000), 50 O.R. (3d) 140</w:t>
        </w:r>
      </w:hyperlink>
      <w:r>
        <w:rPr>
          <w:rFonts w:ascii="arial" w:eastAsia="arial" w:hAnsi="arial" w:cs="arial"/>
          <w:color w:val="000000"/>
          <w:sz w:val="20"/>
          <w:lang w:val="en-US" w:eastAsia="en-US" w:bidi="ar-SA"/>
        </w:rPr>
        <w:t xml:space="preserve"> (C.A.) at para. 11.</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Evidence of remedial measures taken by a defendant after a loss is not an admission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Anderson v. Maple Ridge</w:t>
      </w:r>
      <w:r>
        <w:rPr>
          <w:rFonts w:ascii="arial" w:eastAsia="arial" w:hAnsi="arial" w:cs="arial"/>
          <w:color w:val="000000"/>
          <w:sz w:val="20"/>
          <w:lang w:val="en-US" w:eastAsia="en-US" w:bidi="ar-SA"/>
        </w:rPr>
        <w:t xml:space="preserve"> </w:t>
      </w:r>
      <w:hyperlink r:id="rId1188" w:history="1">
        <w:r>
          <w:rPr>
            <w:rFonts w:ascii="arial" w:eastAsia="arial" w:hAnsi="arial" w:cs="arial"/>
            <w:i/>
            <w:color w:val="0077CC"/>
            <w:sz w:val="20"/>
            <w:u w:val="single"/>
            <w:shd w:val="clear" w:color="auto" w:fill="FFFFFF"/>
            <w:lang w:val="en-US" w:eastAsia="en-US" w:bidi="ar-SA"/>
          </w:rPr>
          <w:t>(1992), 71 B.C.L.R. (2d) 68</w:t>
        </w:r>
      </w:hyperlink>
      <w:r>
        <w:rPr>
          <w:rFonts w:ascii="arial" w:eastAsia="arial" w:hAnsi="arial" w:cs="arial"/>
          <w:color w:val="000000"/>
          <w:sz w:val="20"/>
          <w:lang w:val="en-US" w:eastAsia="en-US" w:bidi="ar-SA"/>
        </w:rPr>
        <w:t xml:space="preserve"> (C.A.) at page 76; and </w:t>
      </w:r>
      <w:r>
        <w:rPr>
          <w:rFonts w:ascii="arial" w:eastAsia="arial" w:hAnsi="arial" w:cs="arial"/>
          <w:i/>
          <w:color w:val="000000"/>
          <w:sz w:val="20"/>
          <w:lang w:val="en-US" w:eastAsia="en-US" w:bidi="ar-SA"/>
        </w:rPr>
        <w:t>Beazley v. Suzuki Motor Corp.</w:t>
      </w:r>
      <w:r>
        <w:rPr>
          <w:rFonts w:ascii="arial" w:eastAsia="arial" w:hAnsi="arial" w:cs="arial"/>
          <w:color w:val="000000"/>
          <w:sz w:val="20"/>
          <w:lang w:val="en-US" w:eastAsia="en-US" w:bidi="ar-SA"/>
        </w:rPr>
        <w:t xml:space="preserve">, </w:t>
      </w:r>
      <w:hyperlink r:id="rId1189" w:history="1">
        <w:r>
          <w:rPr>
            <w:rFonts w:ascii="arial" w:eastAsia="arial" w:hAnsi="arial" w:cs="arial"/>
            <w:i/>
            <w:color w:val="0077CC"/>
            <w:sz w:val="20"/>
            <w:u w:val="single"/>
            <w:shd w:val="clear" w:color="auto" w:fill="FFFFFF"/>
            <w:lang w:val="en-US" w:eastAsia="en-US" w:bidi="ar-SA"/>
          </w:rPr>
          <w:t>2008 BCSC 850</w:t>
        </w:r>
      </w:hyperlink>
      <w:r>
        <w:rPr>
          <w:rFonts w:ascii="arial" w:eastAsia="arial" w:hAnsi="arial" w:cs="arial"/>
          <w:color w:val="000000"/>
          <w:sz w:val="20"/>
          <w:lang w:val="en-US" w:eastAsia="en-US" w:bidi="ar-SA"/>
        </w:rPr>
        <w:t xml:space="preserve"> at para. 39.</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However, if remedial measures are such that they demonstrate that a safer product could be made relatively easily and cheaply, post-accident remedial conduct is admissible for proof of that fact. See: </w:t>
      </w:r>
      <w:r>
        <w:rPr>
          <w:rFonts w:ascii="arial" w:eastAsia="arial" w:hAnsi="arial" w:cs="arial"/>
          <w:i/>
          <w:color w:val="000000"/>
          <w:sz w:val="20"/>
          <w:lang w:val="en-US" w:eastAsia="en-US" w:bidi="ar-SA"/>
        </w:rPr>
        <w:t>Sandhu (Litigation Guardian) v. Wellington Place Apartments</w:t>
      </w:r>
      <w:r>
        <w:rPr>
          <w:rFonts w:ascii="arial" w:eastAsia="arial" w:hAnsi="arial" w:cs="arial"/>
          <w:color w:val="000000"/>
          <w:sz w:val="20"/>
          <w:lang w:val="en-US" w:eastAsia="en-US" w:bidi="ar-SA"/>
        </w:rPr>
        <w:t xml:space="preserve">, </w:t>
      </w:r>
      <w:hyperlink r:id="rId1190" w:history="1">
        <w:r>
          <w:rPr>
            <w:rFonts w:ascii="arial" w:eastAsia="arial" w:hAnsi="arial" w:cs="arial"/>
            <w:i/>
            <w:color w:val="0077CC"/>
            <w:sz w:val="20"/>
            <w:u w:val="single"/>
            <w:shd w:val="clear" w:color="auto" w:fill="FFFFFF"/>
            <w:lang w:val="en-US" w:eastAsia="en-US" w:bidi="ar-SA"/>
          </w:rPr>
          <w:t>2008 ONCA 215</w:t>
        </w:r>
      </w:hyperlink>
      <w:r>
        <w:rPr>
          <w:rFonts w:ascii="arial" w:eastAsia="arial" w:hAnsi="arial" w:cs="arial"/>
          <w:color w:val="000000"/>
          <w:sz w:val="20"/>
          <w:lang w:val="en-US" w:eastAsia="en-US" w:bidi="ar-SA"/>
        </w:rPr>
        <w:t xml:space="preserve"> at paras. 51 to 57 in which the Court wrote: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[56] The impugned evidence in this case provides an example of such a situation. Apart from any inference of an admission of liability, the fact that repairs to the screens were made quickly and inexpensively after the accident was relevant in other ways. It was evidence from which the jury could infer that the appellants had failed to meet a reasonable standard in keeping the building in good repair. The evidence of repairs could also be evidence of a failure to take reasonable care because it was capable of showing that the appellants' inspection of the building before the accident failed to meet a reasonable standard.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Similarly, the evidence concerning the safety locks was also relevant to the issue of reasonable care. Evidence was led showing that the standard of care required installation of child safety locks. In determining whether the defendants acted reasonably in not installing those locks, the cost and ease with which such locks could be installed was relevant. A comparable conclusion was reached in </w:t>
      </w:r>
      <w:r>
        <w:rPr>
          <w:rFonts w:ascii="arial" w:eastAsia="arial" w:hAnsi="arial" w:cs="arial"/>
          <w:i/>
          <w:color w:val="000000"/>
          <w:sz w:val="20"/>
          <w:lang w:val="en-US" w:eastAsia="en-US" w:bidi="ar-SA"/>
        </w:rPr>
        <w:t>James v. River East School Division No. 9</w:t>
      </w:r>
      <w:r>
        <w:rPr>
          <w:rFonts w:ascii="arial" w:eastAsia="arial" w:hAnsi="arial" w:cs="arial"/>
          <w:color w:val="000000"/>
          <w:sz w:val="20"/>
          <w:lang w:val="en-US" w:eastAsia="en-US" w:bidi="ar-SA"/>
        </w:rPr>
        <w:t xml:space="preserve"> </w:t>
      </w:r>
      <w:hyperlink r:id="rId1191" w:history="1">
        <w:r>
          <w:rPr>
            <w:rFonts w:ascii="arial" w:eastAsia="arial" w:hAnsi="arial" w:cs="arial"/>
            <w:i/>
            <w:color w:val="0077CC"/>
            <w:sz w:val="20"/>
            <w:u w:val="single"/>
            <w:shd w:val="clear" w:color="auto" w:fill="FFFFFF"/>
            <w:lang w:val="en-US" w:eastAsia="en-US" w:bidi="ar-SA"/>
          </w:rPr>
          <w:t>(1975), 64 D.L.R. (3d) 338</w:t>
        </w:r>
      </w:hyperlink>
      <w:r>
        <w:rPr>
          <w:rFonts w:ascii="arial" w:eastAsia="arial" w:hAnsi="arial" w:cs="arial"/>
          <w:color w:val="000000"/>
          <w:sz w:val="20"/>
          <w:lang w:val="en-US" w:eastAsia="en-US" w:bidi="ar-SA"/>
        </w:rPr>
        <w:t xml:space="preserve"> (Man. C.A.), where that court reviewed a number of the authorities and found that evidence of subsequent remedial measures was relevant to the question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manufacturer has an ongoing duty to warn users of a defect in the design or manufacture of a product when it becomes aware of such a defect. The nature and scope of the manufacturer's duty to warn varies with the level of danger entailed by the ordinary use of the product. See: </w:t>
      </w:r>
      <w:r>
        <w:rPr>
          <w:rFonts w:ascii="arial" w:eastAsia="arial" w:hAnsi="arial" w:cs="arial"/>
          <w:i/>
          <w:color w:val="000000"/>
          <w:sz w:val="20"/>
          <w:lang w:val="en-US" w:eastAsia="en-US" w:bidi="ar-SA"/>
        </w:rPr>
        <w:t>Hollis v. Dow Corning Corp.</w:t>
      </w:r>
      <w:r>
        <w:rPr>
          <w:rFonts w:ascii="arial" w:eastAsia="arial" w:hAnsi="arial" w:cs="arial"/>
          <w:color w:val="000000"/>
          <w:sz w:val="20"/>
          <w:lang w:val="en-US" w:eastAsia="en-US" w:bidi="ar-SA"/>
        </w:rPr>
        <w:t xml:space="preserve">, </w:t>
      </w:r>
      <w:hyperlink r:id="rId1192" w:history="1">
        <w:r>
          <w:rPr>
            <w:rFonts w:ascii="arial" w:eastAsia="arial" w:hAnsi="arial" w:cs="arial"/>
            <w:i/>
            <w:color w:val="0077CC"/>
            <w:sz w:val="20"/>
            <w:u w:val="single"/>
            <w:shd w:val="clear" w:color="auto" w:fill="FFFFFF"/>
            <w:lang w:val="en-US" w:eastAsia="en-US" w:bidi="ar-SA"/>
          </w:rPr>
          <w:t>[1995] 4 S.C.R. 634</w:t>
        </w:r>
      </w:hyperlink>
      <w:r>
        <w:rPr>
          <w:rFonts w:ascii="arial" w:eastAsia="arial" w:hAnsi="arial" w:cs="arial"/>
          <w:color w:val="000000"/>
          <w:sz w:val="20"/>
          <w:lang w:val="en-US" w:eastAsia="en-US" w:bidi="ar-SA"/>
        </w:rPr>
        <w:t xml:space="preserve"> at paras. 20 to 22.</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 Evidence Concerning the Design and Installation of the Hardware on the Cab Positive Terminal of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Assessment of whether the plaintiffs have proven that Volvo failed to meet the requisite standard of care as to the configuration and assembly of the hardware on the cab positive terminal of the Truck requires consideration of not only the design specifications in place at the time of the production of the Truck but also the procedures in effect for the installation of the component parts during assembly.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A complex pass through plate is installed in all Volvo trucks to allow transference of required electrical and other operational services from the batteries on the driver's (cab) side of the vehicle to the engine compartment.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The cab positive and negative terminals (respectively threaded power and ground studs on the cab side) comprise part of that pass through plate.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Electrical wiring is connected to the two terminals by means of ring terminals (spade connectors) bolted in place on the terminals by a nut and washer and torqued to the specifications required by Volvo's design engineers.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The design specifications of the nut and washer, the sequencing of them on the cab side positive terminal of the Truck as well as the extent to which the nut was "torqued" at the factory during installation are all at issue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At all material times the pass through plates as well as the washers and nuts on the cab positive studs that were installed in all Volvo 780 trucks were supplied to Volvo by a sub-contractor identified as "Norgren".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Comparison of Volvo's design requirements and communications between Volvo and Norgren both before and after the collision establishes that when the Truck was assembled Norgren was not supplying the type of nuts specified by Volvo for the cab positive terminals.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The evidence also establishes that after the collision changes were made to Volvo's specifications by adding high level criticality ratings to its installation instructions with respect to the installation of wiring on the cab positive terminal.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The evidence on this issue is necessarily complex and was thoroughly addressed by the plaintiffs' expert witness Dr. Srikantha Phani both in his comprehensive report dated August 21, 2015 and in his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No evidence contrary to that of Dr. Phani was adduced by Volvo.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I am satisfied that Dr. Phani was not only well qualified to assist the Court in his interpretation of Volvo's drawings and specifications but also to assess the importance of the assignment of criticality factors to design and installation issues not only generally but also specifically with respect to the issues requiring determination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After considering Dr. Phani's report, the drawings, specifications and communications which he reviewed which were appended to his report as well as his examination in chief and in cross-examination and the evidence of Mr. Hewitt to which I will later refer in more detail I have concluded that:</w:t>
      </w:r>
      <w:r>
        <w:rPr>
          <w:rFonts w:ascii="arial" w:eastAsia="arial" w:hAnsi="arial" w:cs="arial"/>
          <w:sz w:val="20"/>
          <w:lang w:val="en-US" w:eastAsia="en-US" w:bidi="ar-SA"/>
        </w:rPr>
        <w:cr/>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2007, when the Truck was manufactured, Volvo specified that a SEMS type nut with a captive washer was to be used to join the necessary two electrical rings or spade connectors to the cab positive terminal of Volvo 780 trucks. However, when the Truck was assembled because that specified hardware was not supplied by Norgren it was not used.</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failure to follow specifications is evidenced by the following correspondence between and amongst employees of Volvo and Norgren:</w:t>
      </w:r>
    </w:p>
    <w:p>
      <w:pPr>
        <w:numPr>
          <w:numId w:val="1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email dated October 9, 2008, more than 3 months before the collision of January 31, 2009, Mr. Chad Olmstead, a Senior Design Engineer, wrote to a Volvo purchasing employee stating:</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I'm investigating an issue with the power/ground posts on the pass through plate. I asked you about the torque values and got that info from Stephen Dilts like you suggested. There's another part to this that I'm having a hard time pin pointing and that is whether or not those pass through plates are coming from the supplier with a Spring washer in the stud stack up or if the production line is adding them to the stack up when they install the terminals.</w:t>
      </w:r>
    </w:p>
    <w:p>
      <w:pPr>
        <w:numPr>
          <w:numId w:val="13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Volvo learned that day that Norgren was the supplier and was supplying the "wrong hardware".</w:t>
      </w:r>
    </w:p>
    <w:p>
      <w:pPr>
        <w:numPr>
          <w:numId w:val="14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follow-up communications, a Norgren employee advised Volvo that: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This arrangement was redesigned as part of a cost reduction a few years ago. As you can see both versions should have a spring washer between the stud shoulder and the nut.</w:t>
      </w:r>
    </w:p>
    <w:p>
      <w:pPr>
        <w:numPr>
          <w:numId w:val="14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November 13, 2008, Volvo again communicated with Norgren saying:</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Jeff, here is a copy of the past drawing. As you can see there is no spring washer called out and </w:t>
      </w:r>
      <w:r>
        <w:rPr>
          <w:rFonts w:ascii="arial" w:eastAsia="arial" w:hAnsi="arial" w:cs="arial"/>
          <w:color w:val="000000"/>
          <w:sz w:val="20"/>
          <w:u w:val="single"/>
          <w:lang w:val="en-US" w:eastAsia="en-US" w:bidi="ar-SA"/>
        </w:rPr>
        <w:t>the drawing calls out for a captive washer nut</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Did anyone at Volvo approve this cost reduction? If so could you please send me the dev. number approving this.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numPr>
          <w:numId w:val="14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further correspondence dated November 19, 2008, Volvo advised Norgren's employee: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Hey Jeff, I'm looking at this as a part not supplied according to print as the Volvo drawing is the master document which you should be building the parts too. </w:t>
      </w:r>
      <w:r>
        <w:rPr>
          <w:rFonts w:ascii="arial" w:eastAsia="arial" w:hAnsi="arial" w:cs="arial"/>
          <w:color w:val="000000"/>
          <w:sz w:val="20"/>
          <w:u w:val="single"/>
          <w:lang w:val="en-US" w:eastAsia="en-US" w:bidi="ar-SA"/>
        </w:rPr>
        <w:t>The sems nut was spec'd when we changed to the single power studs to prevent this sort of problem in manufacturing and the field</w:t>
      </w:r>
      <w:r>
        <w:rPr>
          <w:rFonts w:ascii="arial" w:eastAsia="arial" w:hAnsi="arial" w:cs="arial"/>
          <w:color w:val="000000"/>
          <w:sz w:val="20"/>
          <w:lang w:val="en-US" w:eastAsia="en-US" w:bidi="ar-SA"/>
        </w:rPr>
        <w:t>. The sems nut requirement is not going to change.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 guess the next question is, when did you make this change?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Norgren responded that day stating:</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All I can confirm is that Norgren made a change to machine the nut in-house and to add a separate washer. This was to replace the old assembly - nut with retained washer. I believe that we provided a sample for Volvo to review but I cannot locate any supporting documentation (neither an engineering change request or approval). The engineer that made the change is no longer with Norgren so it is difficult to track all the records. I'm still trying and may find something soon.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Meanwhile, we have differing designs on our respective drawings. From the email string </w:t>
      </w:r>
      <w:r>
        <w:rPr>
          <w:rFonts w:ascii="arial" w:eastAsia="arial" w:hAnsi="arial" w:cs="arial"/>
          <w:color w:val="000000"/>
          <w:sz w:val="20"/>
          <w:u w:val="single"/>
          <w:lang w:val="en-US" w:eastAsia="en-US" w:bidi="ar-SA"/>
        </w:rPr>
        <w:t>I believe that the major issue is that the installation is either without a washer all together (either lost by the installer or not on the manifold assembly when received) or gets installed in the wrong order. Both of these problems may be related to the fact that the Volvo drawing does not show the separate washer so the installer does not know the correct installation procedure.</w:t>
      </w:r>
      <w:r>
        <w:rPr>
          <w:rFonts w:ascii="arial" w:eastAsia="arial" w:hAnsi="arial" w:cs="arial"/>
          <w:color w:val="000000"/>
          <w:sz w:val="20"/>
          <w:lang w:val="en-US" w:eastAsia="en-US" w:bidi="ar-SA"/>
        </w:rPr>
        <w:t xml:space="preserve"> Would you consider changing the Volvo drawing to reflect the separate washer so that the correct installation process could be incorporated into the Volvo work instruction? Otherwise we would have to revert back to the old style, which would require a revision to all the manifolds and re-submission of all related documentation.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correspondence underscores the validity of Dr. Phani's opinion that the lack of captive washer capability can potentially lead to incorrect assembly such as by placing the washer under the ring terminal or missing the washer completely in the installation process.</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the physical evidence of what washers were actually used in joining the electrical wiring to the cab positive terminal in the Truck was lost after the inspection and cannot be assessed by examination of the available photographic evidence, there is no definitive evidence as to whether a wave (or spring washer) and nut or a flat washer and nut were being supplied by Norgren in place of the specified SEMS nut with a captive washer. However, since the previous specification called for an ordinary nut with a wave (or spring) washer, it is likely that Norgren was continuing to supply that hardware.</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Phani testified that if a spring washer and a plain nut is used to counter vibration during use that combination will be roughly 5 times as effective as a plain nut without a "tooth-type lock washer". He also, however, testified that the combination of a spring or wave washer with a plain nut is roughly equivalent to the specified SEMS nut with a captive washer as a means of countering loosening caused by vibration.</w:t>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find that with respect to the issues of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this case the most important difference related to the intended use of the SEMS nut, rather than the plain nut with spring washer called for in the previous design, is that with the captive washer the potential for improper sequencing of the installation of nuts and washers or failure to install a washer at all is eliminated.</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(as I will later discuss when considering the totality of evidence of Mr. Hewitt and specifically in respect of findings made at paras. 380, 381, 387 and 390(2) of these reasons), since there is no evidence capable of establishing that any washer that was supplied by Norgren was incorrectly installed, the remaining question is whether Volvo was negligent in failing to ensure that the nut and washer assembly that was installed on the cab positive terminal of the Truck was tightened to the requisite design specification during assembly.</w:t>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action was taken by Volvo at any time to remedy the Norgren's failure to supply the specified SEMS nut with respect to those vehicles, including the Truck, that were in operation and had been manufactured with the non-compliant hardware and possible incorrect configuration of the nut and washer on the cab positive terminal. Also, no warnings of associated possible risks were given to the owners of those trucks when Volvo became aware of the Norgren's failure to follow Volvo's design specifications.</w:t>
      </w:r>
    </w:p>
    <w:p>
      <w:pPr>
        <w:numPr>
          <w:numId w:val="1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collision, however, and the investigation of it conducted by Mr. Timothy Lafon, Volvo's Manager of Public Safety for North America, and Mr. Lafon's own discovery of the supply of non-compliant hardware by Norgren, Volvo took steps in April or May of 2009 to ensure use of the specified SEMS nuts on trucks that had been manufactured but not yet delivered to dealers for sale.</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collision Volvo also made alterations to its design specifications with respect to the installation of the hardware on the cab positive terminal of its Volvo 780 trucks as I will next discuss.</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Truck was assembled no criticality designation had been assigned by Volvo to the torque values required for the installation of the hardware (including nuts and washers) on cab positive terminals.</w:t>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that time, Volvo's design drawings specified that two ring terminals were to be attached to the cab positive terminal and that next in sequence on the stud were to be a washer followed by a nut. The torque values were specified as "10 +/- 2 Nm".</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noted above, specifically concerning torque values measured during the inspection of the Truck after the collision Mr. Hewitt wrote in his investigative report: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...Using an inch-pound torque wrench, the cab positive terminal nut was backed off. It was determined it was tightened to 25inch-lb (2ft-lb). </w:t>
      </w:r>
      <w:r>
        <w:rPr>
          <w:rFonts w:ascii="arial" w:eastAsia="arial" w:hAnsi="arial" w:cs="arial"/>
          <w:color w:val="000000"/>
          <w:sz w:val="20"/>
          <w:u w:val="single"/>
          <w:lang w:val="en-US" w:eastAsia="en-US" w:bidi="ar-SA"/>
        </w:rPr>
        <w:t>The cab negative terminal was substantially tighter than this.</w:t>
      </w:r>
      <w:r>
        <w:rPr>
          <w:rFonts w:ascii="arial" w:eastAsia="arial" w:hAnsi="arial" w:cs="arial"/>
          <w:color w:val="000000"/>
          <w:sz w:val="20"/>
          <w:lang w:val="en-US" w:eastAsia="en-US" w:bidi="ar-SA"/>
        </w:rPr>
        <w:t xml:space="preserve"> Unfortunately, it was not possible to measure its torque value as we loosened the negative nut with a foot-lb torque wrench (prior to loosening the positive nut), which was not sensitive enough to record the value. All present agreed it was substantially tighter than 25inch-lb. The nuts on the engine compartment side of the terminal posts were tight.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collision Volvo assigned criticality 1 alerts to those same torque values.</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accept Dr. Phani's opinion that criticality 1 is assigned to critical joints, the failure of which, will result in a critical loss of functionality which may affect not only functionality but the safety of users.</w:t>
      </w:r>
    </w:p>
    <w:p>
      <w:pPr>
        <w:numPr>
          <w:numId w:val="15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Volvo's internal standards criticality 1 is to be assigned where failure of a joint is liable to cause an accident affecting the safety of groups which includes vehicle users, road users, and passers-by.</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Assignment of criticality 1 to a joint assembly greatly reduces tolerance for any deviation from design specifications and requires maximum care in installation and testing to ensure adherence to the specified tolerances.</w:t>
      </w:r>
    </w:p>
    <w:p>
      <w:pPr>
        <w:numPr>
          <w:numId w:val="15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accept Dr. Phani's opinions that:</w:t>
      </w:r>
    </w:p>
    <w:p>
      <w:pPr>
        <w:numPr>
          <w:numId w:val="1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loose nut on the positive terminal of the cab lead to multiple failures arising from resistance heating on the Volvo truck in question.</w:t>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Volvo engineers have identified melting in power studs as a problem as of October 2008. This problem seems to arise from an incorrect placement of a wave washer.</w:t>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Safe design of any fastener, including a bolted joint, requires the correct identification and designation of criticality characteristics. This would ensure the quality of supply chain management, as well as testing and assembly. In this instance, the positive terminal joint should have been classified as criticality 1, since this is a critical joint.</w:t>
      </w:r>
    </w:p>
    <w:p>
      <w:pPr>
        <w:numPr>
          <w:numId w:val="1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Criticality 1 has been specified through the design change notice in the document 12 (design change D-14030-40), only after the accident.</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rigorous failure analysis and safety consequences, conducted </w:t>
      </w:r>
      <w:r>
        <w:rPr>
          <w:rFonts w:ascii="arial" w:eastAsia="arial" w:hAnsi="arial" w:cs="arial"/>
          <w:i/>
          <w:color w:val="000000"/>
          <w:sz w:val="20"/>
          <w:lang w:val="en-US" w:eastAsia="en-US" w:bidi="ar-SA"/>
        </w:rPr>
        <w:t>a priori</w:t>
      </w:r>
      <w:r>
        <w:rPr>
          <w:rFonts w:ascii="arial" w:eastAsia="arial" w:hAnsi="arial" w:cs="arial"/>
          <w:color w:val="000000"/>
          <w:sz w:val="20"/>
          <w:lang w:val="en-US" w:eastAsia="en-US" w:bidi="ar-SA"/>
        </w:rPr>
        <w:t>, would have revealed that the correct criticality designation should have been 1. Had this been implemented, every component and assembly procedure would have met the drawing specification.</w:t>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quote Volvo standard 105-001, "The identification and grading of critical characteristics are a means for the design department to inform subsequent stages about the consequences of non-compliance with a specified requirement. This will make it possible to steer the manufacturing and inspection resources to those requirements that are most important from a functional point of view."</w:t>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Lack of such specification carries the risk of incorrect hardware, presumably of questionable 'equivalence' in performance, to be entertained as acceptable. This appears to be case in replacing SEMS nut with a separate nut and washer.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Concerning the application of Dr. Phani's opinions to the design and manufacturing processes engaged in this case I find the evidence of Mr. Tom Martin as well as that of Mr. Lafon to be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Mr. Martin was a cab line repairman at the Volvo plant at which the wiring to the cab positive terminal was installed in the Truck before it was released for sale. Mr. Martin testified that as a cab line repairman in 2007 his job was to assist when difficulties arose in an assembly situation if his assistance was sought by an assembly line worker.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He testified that the process engaged was that pass through plates, which he called "hot plates", were delivered to the factory in cardboard boxes. The nuts and washers were removed from each plate and laid on the floor. On the assembly line, once the two wires on the positive stud were attached and the nut and washers were placed on the stud, everything was tightened up and "torqued" to specification using an impact wrench. Thereafter, the vehicle was subjected to diagnostic testing and various other testing mechanisms before being approved for release from the Volvo plant.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Mr. Martin testified that he had never come across a situation where a washer was placed below the ring terminal on a cab positive stud or one in which two nuts were placed on a cab positive terminal.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Under cross-examination Mr. Martin acknowledged he was one of eight cab line repairmen at the Volvo plant in 2007 on any given shift and that two shifts were running for five days per week. He only worked the day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Mr. Martin also testified that the processes involving the installation of the hot plate, placing of the wires on the studs, affixing the wires and tightening of the nuts and washers and placing the dash involved different workers. He said the bolting of the wires and placing of the dash would take about five minutes. No inspectors directly oversaw those processes. Also, once the hot plate is assembled and installed and the wires are attached to the cab negative and cab positive terminals, a cover is fitted onto the area and fastened with six screws.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Mr. Martin testified that he had no knowledge of the investigation carried out by Mr. Lafon in 2009 or concerning problems with the wrong hardware being installed on cab positive terminals.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Concerning the issue of criticality and the transmission of those concepts to the assembly line Mr. Martin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 do you know what criticality 1 means?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sir.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one at Volvo ever explained to you that with respect to parts that could cause system-wide failure there had to be a particular care taken to assemble that part properly and to have the right part in the first place?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 -- we've got what's called a critical -- a critical 1, a critical 2, it's -- it's things that could actually -- anything that would stop the truck or whatever or safety item was like a critical 1 joint.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how do you -- how do you identify on the line whether something is a critical 1 joint, how is that line of communication passed down to the person on the floor?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That's the -- the Quality Department. The Quality Department takes that information to the floor and usually if it's a critical joint, like that, </w:t>
            </w:r>
            <w:r>
              <w:rPr>
                <w:rFonts w:ascii="arial" w:eastAsia="arial" w:hAnsi="arial" w:cs="arial"/>
                <w:color w:val="000000"/>
                <w:sz w:val="18"/>
                <w:u w:val="single"/>
                <w:lang w:val="en-US" w:eastAsia="en-US" w:bidi="ar-SA"/>
              </w:rPr>
              <w:t>then they would be real particular in checking it to make sure everything is correct</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Mr. Martin also testified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I take it from your previous answers you don't recall anyone from on high, I'll call it, because I don't know who it is Mr. -- do you know who Mr. Olmstead [phonetic] is, senior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sir.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But nobody in management or in Quality Control Engineering or that sort in -- in 2009 came down to the floor or communicated to the floor that there were some change -- criticality changes that had to be made to the pass-through plate?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 I never heard nothing about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of course, being a line repairman, you would expect that that is something that you would hear about?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sir.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Concerning specifically the drawings in evidence before the collision and the subsequent designation of the cab positive and negative terminal torque specifications as critical 1 Mr. Martin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on the top there's -- there are cross-sectional views of two things entitled power stud and ground stud. Do you recognize those?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sir.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And so there is a torque setting there,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sir.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there is no criticality rating, do you agree?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Agree.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so the information in -- when this drawing was operative would -- there would be no -- nothing conveyed down to the factory floor that this is a critical part, true?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Mr. Martin also testified that he would have expected Volvo's quality control department to advise line personnel of a problem with the wrong hardware being supplied or washers put in the wrong sequence but had no recall of being told that. He testified that if he had been advised of either situation it would have stood out in his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Mr. Lafon's evidence with respect to his investigation is also significant in that while he concluded from his review of warranty claims and service system reports that there was no systemic problem with loose nuts prior to the collision he also testified that: "We found some instances of nuts being loose from the factory".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 Errors made by Mr. Hewitt concerning the Configuration of the Hardware on the Cab Positive Terminal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Before reaching a final conclusion on the issues of whether the plaintiffs have established that Volvo was negligent in the manufacture or design of the Truck it is necessary to address issues that arose during the trial concerning the evidence of Mr. Hewitt.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Those issues resulted in my ruling that the plaintiffs be allowed to recall Mr. Hewitt to testify about factual errors he had apparently made concerning his testimony as to the hardware he said he had observed on the cab positive terminal of the Truck during his inspections of it in February of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As I have previously noted, Mr. Hewitt was commissioned by Yanke to inspect the Truck after the collision on January 31, 2009 and eventually testified as an expert witness in this trial. By reason of a ruling made in the pre-trial process Mr. Hewitt was declared to be a joint expert of the plaintiffs and Yanke.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xml:space="preserve">  That ruling did not, however, also make Mr. Hewitt a joint expert </w:t>
      </w:r>
      <w:r>
        <w:rPr>
          <w:rFonts w:ascii="arial" w:eastAsia="arial" w:hAnsi="arial" w:cs="arial"/>
          <w:i/>
          <w:color w:val="000000"/>
          <w:sz w:val="20"/>
          <w:lang w:val="en-US" w:eastAsia="en-US" w:bidi="ar-SA"/>
        </w:rPr>
        <w:t>vis a vis</w:t>
      </w:r>
      <w:r>
        <w:rPr>
          <w:rFonts w:ascii="arial" w:eastAsia="arial" w:hAnsi="arial" w:cs="arial"/>
          <w:color w:val="000000"/>
          <w:sz w:val="20"/>
          <w:lang w:val="en-US" w:eastAsia="en-US" w:bidi="ar-SA"/>
        </w:rPr>
        <w:t xml:space="preserve"> Volvo.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After that ruling and also after Mr. Mackoff replaced Mr. Fleming as counsel for the plaintiffs, Mr. Mackoff wrote to Mr. Hewitt seeking further information about his investigation of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In a letter dated February 3, 2015 Mr. Hewitt responded to Mr. Mackoff's inquiry concerning the configuration of the hardware on the cab positive terminal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Looking from the end of the stud and working backwards towards the fire wall of the truck, there was a nut (normal, not locking nut), a washer (normal, not locking type), spade connector to the main power conductor, </w:t>
      </w:r>
      <w:r>
        <w:rPr>
          <w:rFonts w:ascii="arial" w:eastAsia="arial" w:hAnsi="arial" w:cs="arial"/>
          <w:color w:val="000000"/>
          <w:sz w:val="20"/>
          <w:u w:val="single"/>
          <w:lang w:val="en-US" w:eastAsia="en-US" w:bidi="ar-SA"/>
        </w:rPr>
        <w:t>another nut</w:t>
      </w:r>
      <w:r>
        <w:rPr>
          <w:rFonts w:ascii="arial" w:eastAsia="arial" w:hAnsi="arial" w:cs="arial"/>
          <w:color w:val="000000"/>
          <w:sz w:val="20"/>
          <w:lang w:val="en-US" w:eastAsia="en-US" w:bidi="ar-SA"/>
        </w:rPr>
        <w:t xml:space="preserve"> and then the bushing through which the stud passed.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That letter was also provided to counsel for both Yanke and Volvo when Mr. Hewitt sent it to Mr. Mackoff.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In his initial testimony Mr. Hewitt testified that his response to Mr. Mackoff was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Evidence adduced later in the trial (including that of Mr. Martin) called into question Mr. Hewitt's testimony concerning the number of electrical spade connectors attached to the cab positive terminal as well as the make-up and sequencing of the hardware.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Mr. Hewitt's evidence that there was one spade connector was not only entirely inconsistent with all of the drawings in evidence, but also obviously erroneous. That is so because if there had only been one spade connector attached to the cab positive terminal, according to the testimony of Mr. Martin which I accept, the Truck would not have been capable of being started or operated.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Of more substantive concern, however, was Mr. Hewitt's evidence that at the time of his inspection there were two nuts on the cab positive terminal, one of which was behind the spade connector.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That evidence was used by Volvo as a foundation for their assertion that the loose nut on the cab positive terminal had resulted from the actions of some party other than Volvo after the Truck left the factory because the evidence of Mr. Martin and Mr. Lafon as well as the documentary evidence were consistent with Norgren supplying and Volvo installing a combination of a single nut and washer.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When those apparent inconsistencies between Mr. Hewitt's evidence and the later contradictory evidence adduced during the trial came to light, counsel for the plaintiffs made further enquiries of Mr. Hewitt concerning his recall of the hardware and the sequencing of it on the cab positive terminal as reported by him in his letter of February 3,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On the plaintiffs' application to have Mr. Hewitt recalled as a witness concerning that issue evidence was adduced that when Mr. Hewitt had provided the answers to Mr. Mackoff on February 3, 2015, he had done so from his review of the photographs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The evidence on that application also established that after further investigation of available data concerning the pass through plate manufactured by Norgren and after obtaining of photographs of the cab positive terminal taken by another of the engineers, who was present at the inspection in 2009, Mr. Hewitt realized that he had misinterpreted his own less clear photographs in answering Mr. Mackoff's letter and had perpetuated that error in his original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Over Volvo's objections I allowed Mr. Hewitt to be recalled.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I did so because I was satisfied that the case should not be decided on the potentially erroneous interpretation of photographic evidence by a witness who had been declared a joint expert and who initially had made his report not only to Yanke but also Volvo and in circumstances in which the plaintiffs had no opportunity to examine the cab positive terminal and where all physical evidence had been destroyed.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I also made that ruling because Volvo had been represented at the inspection and was thus also in a position, if it chose to do so, to call evidence about the hardware and its configuration on the cab positive terminal at the time of the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When he was recalled Mr. Hewitt testified that his previous testimony about the existence of only one spade connector was wrong. In doing so he pointed to new photographs, which he had obtained from the other engineer who had attended the inspection, which showed two spade connectors attached to the cab positive terminal. That new photographic evidence was entered as an exhibit and corroborates the existence of the two terminals.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Mr. Hewitt also testified that his examination of the new photographs taken by the other engineer convinced him that he was wrong in his assertion that there were two nuts on the cab positive terminal with one nut being behind the spade connector.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Mr. Hewitt testified that he reached that conclusion both by visual examination of the new photographs and by counting the threads on the positive terminal as well as the width of the one nut depicted to conclusively prove to himself that there was insufficient room for there to have been two nuts on the terminal at the time of his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In addition, Mr. Hewitt clarified his evidence about "some metal" behind the spade connector which he had erroneously thought to be a second nut. He testified that he could not with certainty say what the source of that metal behind the spade connector that appeared to have been melted by heat was. He did, however, confirm that it was this melted metal material which he had misidentified as a second nut.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After considering the totality of the evidence I have concluded that Mr. Hewitt was wrong in his original testimony about the hardware on the cab positive terminal as well as its sequencing.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Mr. Hewitt's errors arose because of his attempt to reconstruct his observations from less than satisfactory photographs taken by him at the time of the inspection that he had reviewed many years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It is fortunate that the additional photographs were still available so that his errors could be identified and corrected.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I have also concluded that Mr. Hewitt's errors were wholly innocent. I find that he was an honest witness who fulfilled his role as an expert with integrity and with intent only to assist the Court. He was not an advocate and when wrong or unsure was frank to so admit. He took full responsibility for his errors and I reject any suggestion that his evidence was tailored to assist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While Mr. Hewitt's erroneous interpretation of the photographs was unfortunate and caused some confusion and also required some time to analyse and resolve, I am satisfied that I can without hesitation accept his testimony when he was recalled because it was based on photographs now in evidence and easily substantiated by verifiable thread count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I accordingly find that the plaintiffs have proven on a balance of probabilities that one non-locking nut was used to secure two spade connectors to the cab positive terminal and that that single nut was loose when examined by Mr. Hewitt and others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I also find that the evidence is not capable of establishing the existence of a washer behind the last spade connector.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G. Conclusions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With those findings in mind, I will next discuss the conclusions I have reached concerning Volvo's alleged negligent manufacture and design of the Truck as well as its alleged breach of duty to warn the plaintiffs of the dangers inherent in the installation of non-compliant hardware on the cab positive terminal.</w:t>
      </w:r>
      <w:r>
        <w:rPr>
          <w:rFonts w:ascii="arial" w:eastAsia="arial" w:hAnsi="arial" w:cs="arial"/>
          <w:sz w:val="20"/>
          <w:lang w:val="en-US" w:eastAsia="en-US" w:bidi="ar-SA"/>
        </w:rPr>
        <w:cr/>
      </w:r>
    </w:p>
    <w:p>
      <w:pPr>
        <w:numPr>
          <w:numId w:val="21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Negligent Manufacture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After considering the totality of the evidence, the submissions of counsel and the authorities to which I was referred I have concluded that although Volvo's failure to use the specified SEMS nut in joining the electrical wires to the cab positive terminal was negligent, the plaintiffs have not proven that Volvo's failure to do so caused the loosening of the nut during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I reach that conclusion because:</w:t>
      </w:r>
      <w:r>
        <w:rPr>
          <w:rFonts w:ascii="arial" w:eastAsia="arial" w:hAnsi="arial" w:cs="arial"/>
          <w:sz w:val="20"/>
          <w:lang w:val="en-US" w:eastAsia="en-US" w:bidi="ar-SA"/>
        </w:rPr>
        <w:cr/>
      </w:r>
    </w:p>
    <w:p>
      <w:pPr>
        <w:numPr>
          <w:numId w:val="2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Dr. Phani satisfies me that the effectiveness of the specified SEMS nut to counter vibration is no greater than that of the spring washer and regular nut that was likely supplied by Norgren in the place and used by Volvo in installation; and</w:t>
      </w:r>
    </w:p>
    <w:p>
      <w:pPr>
        <w:numPr>
          <w:numId w:val="2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Mr. Hewitt is not capable of establishing on a balance of probabilities that a washer was installed below the ring terminal contrary to specification.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I have, on the other hand, concluded that the plaintiffs have proven that Volvo was negligent in the installation of the hardware that was supplied by Norgren on the cab positive terminal of the Truck, and that the total loss of electrical power resulted from that negligent installation.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More specifically, I find that it is more likely than not that the loose nut on the cab positive terminal that caused the loss of electrical power was not tightened to the requisite torque value when the Truck left the factory. I reach that conclusion because:</w:t>
      </w:r>
      <w:r>
        <w:rPr>
          <w:rFonts w:ascii="arial" w:eastAsia="arial" w:hAnsi="arial" w:cs="arial"/>
          <w:sz w:val="20"/>
          <w:lang w:val="en-US" w:eastAsia="en-US" w:bidi="ar-SA"/>
        </w:rPr>
        <w:cr/>
      </w:r>
    </w:p>
    <w:p>
      <w:pPr>
        <w:numPr>
          <w:numId w:val="2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admitted by Volvo that the collision was caused by a loose nut on the cab positive terminal.</w:t>
      </w:r>
    </w:p>
    <w:p>
      <w:pPr>
        <w:numPr>
          <w:numId w:val="2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totality of the evidence establishes that when the Truck was examined by Mr. Hewitt the nut on the cab positive terminal was loose when compared to that on the cab negative terminal.</w:t>
      </w:r>
    </w:p>
    <w:p>
      <w:pPr>
        <w:numPr>
          <w:numId w:val="2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Hewitt posited the following four possible reasons for the loose nut:</w:t>
      </w:r>
    </w:p>
    <w:p>
      <w:pPr>
        <w:numPr>
          <w:numId w:val="2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nut was not sufficiently tightened by Volvo during initial assembly.</w:t>
      </w:r>
    </w:p>
    <w:p>
      <w:pPr>
        <w:numPr>
          <w:numId w:val="2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nut was not sufficiently tightened during maintenance.</w:t>
      </w:r>
    </w:p>
    <w:p>
      <w:pPr>
        <w:numPr>
          <w:numId w:val="2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nut became loose during operation.</w:t>
      </w:r>
    </w:p>
    <w:p>
      <w:pPr>
        <w:numPr>
          <w:numId w:val="2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Mega Truck Repair loosened the nut while trying to install the fog-lights.</w:t>
      </w:r>
    </w:p>
    <w:p>
      <w:pPr>
        <w:numPr>
          <w:numId w:val="2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agree that those four possibilities accurately summarize the potential causes for the existence of the loose nut at the time of the collision.</w:t>
      </w:r>
    </w:p>
    <w:p>
      <w:pPr>
        <w:numPr>
          <w:numId w:val="2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Volvo advanced the position in argument that it is more likely than not that some unknown third party -- "probably one or more of the various technicians who serviced the vehicle after it left the factory" -- is responsible for the loose nut.</w:t>
      </w:r>
    </w:p>
    <w:p>
      <w:pPr>
        <w:numPr>
          <w:numId w:val="2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part, that submission was based on Mr. Hewitt's mistaken evidence about the configuration of the hardware on the cab positive terminal which was corrected when he was recalled, and in part it was based on the evidence of Mr. Martin concerning the use of a pre-set torque wrench when installing the nuts and washers supplied by Norgren.</w:t>
      </w:r>
    </w:p>
    <w:p>
      <w:pPr>
        <w:numPr>
          <w:numId w:val="2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I acknowledge the confusion caused by Mr. Hewitt's earlier mistaken evidence, I am, as discussed above, satisfied that the totality of the evidence, and most specifically the new photographic evidence made available to him and entered into evidence at trial, does not support Volvo's assertions of third party interference with the cab positive hardware.</w:t>
      </w:r>
    </w:p>
    <w:p>
      <w:pPr>
        <w:numPr>
          <w:numId w:val="2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Martin also testified that after the pass-through plates were installed and all electrical wiring was attached the assembly was covered with a cover plate installed with six screws.</w:t>
      </w:r>
    </w:p>
    <w:p>
      <w:pPr>
        <w:numPr>
          <w:numId w:val="2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that regard, the evidence of Mr. Hewitt is again important. As I have previously noted, in his expert report he wrote: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cab terminal nut in question is not an item routinely maintained. Discussions with the mechanic at Beaver Trucks concluded that if electrical faults had been reported to an operator, the cab terminal nut would not be the obvious place to trouble-shoot. It is therefore less likely that the nut was loosened as part of maintenance and not re-tightened.</w:t>
      </w:r>
    </w:p>
    <w:p>
      <w:pPr>
        <w:numPr>
          <w:numId w:val="2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any servicing of the Truck (other than the installation of the after-market fog lights as I will later discuss) was performed other than at a Volvo approved service centre. In that regard, I specifically note the service invoices and warranty claims generated by the defendant NTC as well as one performed at Sterling Trucks in Regina in July of 2008 before the electrical problem serviced there was referred for further action by NTC.</w:t>
      </w:r>
    </w:p>
    <w:p>
      <w:pPr>
        <w:numPr>
          <w:numId w:val="2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electrical problems with the Truck that pre-dated the collision and most specifically those experienced by the plaintiffs in Regina on July 4, 2008, when total power was also lost, support Mr. Hewitt's opinion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Invoice 14739 proves that the after market fog lights were installed in October 2008 (after the onset of electrical problems in May, June and July 2008). It can therefore be confirmed that while the wiring of the fog lights is questionable, it did not contribute to the accident.</w:t>
      </w:r>
    </w:p>
    <w:p>
      <w:pPr>
        <w:numPr>
          <w:numId w:val="2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electrical problems experienced in July of 2008 are of specific importance because of Mr. Hewitt's unchallenged evidence in his report referred to in para. 83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works described on the invoices listed above all relate to electrical issues, and seem to relate to one another. It is also interesting that on July 4, 2008, the main fuse was reported to have blown, but the truck was not towed to Sterling Trucks. Without the main fuse, presumably the truck would not have functioned. On July 8, the owner asked Pacific Coast Heavy Truck Group to try and diagnose the problems reported to Sterling on July 4. Pacific Coast were unable to diagnose any issues. It would therefore seem that this vehicle has suffered from sporadic electrical issues which appear similar and therefore potentially related to the failure on January 31, 2009.</w:t>
      </w:r>
    </w:p>
    <w:p>
      <w:pPr>
        <w:numPr>
          <w:numId w:val="2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main fuse had in fact been blown on July 4, 2008, Mr. Hans would not have been able to re-start the Truck by jiggling the wires at the battery terminal. He would have been unable to do so and then drive it to Sterling Trucks.</w:t>
      </w:r>
    </w:p>
    <w:p>
      <w:pPr>
        <w:numPr>
          <w:numId w:val="2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evidence supports Mr. Hewitt's opinion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fact that the vehicle had suffered from engine failures at this time [July 9, 2008] indicates that the nut could have been loose from assembly given that the truck is relatively new.</w:t>
      </w:r>
    </w:p>
    <w:p>
      <w:pPr>
        <w:numPr>
          <w:numId w:val="2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all of the foregoing reasons I find that Volvo's submission that a third party technician loosened the nut on the cab positive terminal is not supported by the evidence.</w:t>
      </w:r>
    </w:p>
    <w:p>
      <w:pPr>
        <w:numPr>
          <w:numId w:val="2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leads to the conclusion that the nut was either insufficiently tightened during installation or came loose during operation.</w:t>
      </w:r>
    </w:p>
    <w:p>
      <w:pPr>
        <w:numPr>
          <w:numId w:val="2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Mr. Martin's evidence that a pre-set torque wrench was used to tighten the nuts on both the cab positive and cab negative terminals tends to support the proposition that the nut was correctly installed at the factory, the fact that the nut on the cab negative terminal remained tight during the same operational experience as that to which the cab positive terminal was exposed leads me to conclude that it is more likely than not that insufficient tightening of the nut on the cab positive terminal occurred during installation before the Truck left the Volvo assembly.</w:t>
      </w:r>
    </w:p>
    <w:p>
      <w:pPr>
        <w:numPr>
          <w:numId w:val="2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likelihood that that is what occurred is underscored by Mr. Lafon's admission that he learned during his post-accident investigation that: "We found some instances of nuts being loose from the factory".</w:t>
      </w:r>
    </w:p>
    <w:p>
      <w:pPr>
        <w:numPr>
          <w:numId w:val="2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do not accept Volvo's assertion that Mr. Lafon's evidence on this point is inadmissible hearsay. It is evidence that was led by Volvo as part of Mr. Lafon's testimony that he believed that the problem with loose nuts was not a systemic one. The fact that it was led for that purpose does not detract from its admissibility as an admission against Volvo's interest on the issue of negligent manufacture.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It does not, in any event, matter whether the loose nut that caused the collision was loose when it left Volvo's assembly plant or became loose during operation. I find that in either case the loose nut arose from a failure to tighten the nut to the specified torque values during installation so that it could become loose during operation when the cab negative terminal nut did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I find the totality of the evidence leads to the irresistible inference that the nut on the cab positive terminal of the Truck was negligently installed by Volvo.</w:t>
      </w:r>
      <w:r>
        <w:rPr>
          <w:rFonts w:ascii="arial" w:eastAsia="arial" w:hAnsi="arial" w:cs="arial"/>
          <w:sz w:val="20"/>
          <w:lang w:val="en-US" w:eastAsia="en-US" w:bidi="ar-SA"/>
        </w:rPr>
        <w:cr/>
      </w:r>
    </w:p>
    <w:p>
      <w:pPr>
        <w:numPr>
          <w:numId w:val="23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Negligent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I also find that Volvo was negligent in failing to assign criticality 1 rating to the hardware and torque specifications for the installation of the electrical wiring to the cab positive terminal.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I further find, as made clear by the evidence of Mr. Martin as to the special care that would be taken with an assembly with a criticality 1 rating, that Volvo's failure to do so created a substantial likelihood of harm by increasing the likelihood of both improper installation of the washers and insufficient torque being applied to the nut during assembly.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Although the evidence is not capable of establishing on a balance of probabilities that the risk of an improperly placed washer materialized with respect to the Truck, communications between Volvo employees in October of 2008, to which I have referred, do establish that improper placement of washers had occurred with other trucks.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In the case of the Truck, an increase to the substantial risk of harm was created by not assigning the correct criticality 1 rating to the hardware and installation procedure. That resulted in the Truck leaving the factory with loose nuts on the cab positive terminal.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I also find that since the addition of the correct criticality rating would have required installation of the specified hardware as well as more care in the tightening of the total assembly, the application of the correct criticality would have been both safer than the failure to do so as well as economically feasible.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I do not, however, find that the evidence is capable of establishing that Volvo was negligent in failing to specify the use of a locking nut rather than a SEMS nut on the cab positive terminal as Mr. Hewitt suggested. While such a design specification would have increased the ability of the assembly to withstand loosening during vibration, the totality of the evidence does not convince me that Volvo's choice of hardware was the cause of the nut being loose. The design failure was in the failure to assign the correct criticality rating to the assembly process to ensure that the specified torque values were met.</w:t>
      </w:r>
      <w:r>
        <w:rPr>
          <w:rFonts w:ascii="arial" w:eastAsia="arial" w:hAnsi="arial" w:cs="arial"/>
          <w:sz w:val="20"/>
          <w:lang w:val="en-US" w:eastAsia="en-US" w:bidi="ar-SA"/>
        </w:rPr>
        <w:cr/>
      </w:r>
    </w:p>
    <w:p>
      <w:pPr>
        <w:numPr>
          <w:numId w:val="23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Breach of Duty to Warn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I have also concluded that the plaintiffs have established that Volvo breached its duty to warn them of the potential of a catastrophic electrical failure arising from Norgren's supply and Volvo's installation of hardware that was not specified by Volvo in respect of a critical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Although Volvo had not yet assigned a criticality 1 rating to the cab positive terminal assembly, Volvo's own criticality standards and application of them to the risk to users created by Norgren's non-compliance with Volvo's specifications gave rise to a situation where, no later than October of 2008, Volvo knew or ought to have known of the inherent danger created by that non-compliance.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I find that Volvo had a duty to notify owners of those Volvo 780 vehicles, including the Truck, that were not manufactured in accordance with Volvo's specifications of that non-compliance and associated potential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As evidenced by Mr. Martin's testimony and the evidence of the remedial measures that were taken after the collision with those trucks that had not yet been delivered for sale, the cost to take corrective remedial action for non-compliant trucks that were already in operation was minimal in comparison to the risk associated with non-compliance.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Remedial action would have required only the replacement of the non-compliant hardware but doing so would also, of necessity, have entailed re-tightening of the specified SEMS nut on the cab positive and negative terminals to the specified torque values.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I also find that if Volvo had warned the plaintiffs in October or November of 2008 of the risk associated with the supply and installation of hardware in the Truck that did not comply with Volvo's specifications, when it became aware of the problem, the plaintiffs would have delivered the Truck for remedial action. The totality of the evidence establishes that Mr. and Mrs. Hans regularly and diligently attended at Volvo's service centers when problems with the Truck, including electrical problems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I am satisfied that they would also have done so with respect to the cab positive terminal non-compliance had they been given notice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Volvo's submissions as well as the plaintiffs' now discontinued claims against Yanke make it necessary to consider issues of causation before considering the extent to which Volvo may be liable to the plaintiffs for the damages they have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Two issues of causation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The first is whether the plaintiffs have proven causation to the requisite standard of proof. The second is whether, and if so, to what extent, the actions of Yanke impact Volvo's liability to compensate the plaintiffs for their losses arising from the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 Causation and the 'But for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the Supreme Court of Canada settled the test to be applied in Canada for proof of causation in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at issue was the use of the "material contribution to the risk" test as a substitute for the "but for" test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After reviewing existing jurisprudence, McLachlin C.J.C. for the majority stated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The foregoing discussion leads me to the following conclusions as to the present state of the law in Canada:</w:t>
      </w:r>
    </w:p>
    <w:p>
      <w:pPr>
        <w:numPr>
          <w:numId w:val="2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general rule, a plaintiff cannot succeed unless she shows as a matter of fact that she would not have suffered the loss "but for" the negligent act or acts of the defendant. A trial judge is to take a robust and pragmatic approach to determining if a plaintiff has established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her loss. Scientific proof of causation is not required.</w:t>
      </w:r>
    </w:p>
    <w:p>
      <w:pPr>
        <w:numPr>
          <w:numId w:val="2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Exceptionally, a plaintiff may succeed by showing that the defendant's conduct materially contributed to risk of the plaintiff's injury, where (a) the plaintiff has established that her loss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two or more tortfeasors, each possibly in fact responsible for the loss; and (b) the plaintiff, through no fault of her own, is unable to show that any one of the possible tortfeasors in fact was the necessary or "but for" cause of her injury, because each can point to one another as the possible "but for" cause of the injury, defeating a finding of causation on a balance of probabilities against anyone.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I am satisfied that in this case the "but for" test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xml:space="preserve">  In discussing application of the "but for" test of causation in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the Chief Justice stated at paras. 8 to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 The plaintiff must show on a balance of probabilities that "but for" the defendant's negligent act, the injury would not have occurred. Inherent in the phrase "but for" is the requirement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w:t>
      </w:r>
      <w:r>
        <w:rPr>
          <w:rFonts w:ascii="arial" w:eastAsia="arial" w:hAnsi="arial" w:cs="arial"/>
          <w:i/>
          <w:color w:val="000000"/>
          <w:sz w:val="20"/>
          <w:lang w:val="en-US" w:eastAsia="en-US" w:bidi="ar-SA"/>
        </w:rPr>
        <w:t>necessary</w:t>
      </w:r>
      <w:r>
        <w:rPr>
          <w:rFonts w:ascii="arial" w:eastAsia="arial" w:hAnsi="arial" w:cs="arial"/>
          <w:color w:val="000000"/>
          <w:sz w:val="20"/>
          <w:lang w:val="en-US" w:eastAsia="en-US" w:bidi="ar-SA"/>
        </w:rPr>
        <w:t xml:space="preserve"> to bring about the injury -- in other words that the injury would not have occurred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is a factual inquiry. If the plaintiff does not establish this on a balance of probabilities, having regard to all the evidence, her action against the defendant fails.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The "but for" causation test must be applied in a robust common sense fashion. There is no need for scientific evidence of the precise contribution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made to the injury. See </w:t>
      </w:r>
      <w:r>
        <w:rPr>
          <w:rFonts w:ascii="arial" w:eastAsia="arial" w:hAnsi="arial" w:cs="arial"/>
          <w:i/>
          <w:color w:val="000000"/>
          <w:sz w:val="20"/>
          <w:lang w:val="en-US" w:eastAsia="en-US" w:bidi="ar-SA"/>
        </w:rPr>
        <w:t>Wilsher v. Essex Area Health Authority</w:t>
      </w:r>
      <w:r>
        <w:rPr>
          <w:rFonts w:ascii="arial" w:eastAsia="arial" w:hAnsi="arial" w:cs="arial"/>
          <w:color w:val="000000"/>
          <w:sz w:val="20"/>
          <w:lang w:val="en-US" w:eastAsia="en-US" w:bidi="ar-SA"/>
        </w:rPr>
        <w:t xml:space="preserve">, [1988] A.C. 1074 (H.L.), at p. 1090,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Lord Bridge;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A common sense inference of "but for" causation from proof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usually flows without difficulty. Evidence connecting the breach of duty to the injury suffered may permit the judge, depending on the circumstances, to infer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probably caused the loss. See </w:t>
      </w:r>
      <w:r>
        <w:rPr>
          <w:rFonts w:ascii="arial" w:eastAsia="arial" w:hAnsi="arial" w:cs="arial"/>
          <w:i/>
          <w:color w:val="000000"/>
          <w:sz w:val="20"/>
          <w:lang w:val="en-US" w:eastAsia="en-US" w:bidi="ar-SA"/>
        </w:rPr>
        <w:t>Snell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See also the discussion on this issue by the Australian courts: </w:t>
      </w:r>
      <w:r>
        <w:rPr>
          <w:rFonts w:ascii="arial" w:eastAsia="arial" w:hAnsi="arial" w:cs="arial"/>
          <w:i/>
          <w:color w:val="000000"/>
          <w:sz w:val="20"/>
          <w:lang w:val="en-US" w:eastAsia="en-US" w:bidi="ar-SA"/>
        </w:rPr>
        <w:t>Betts v. Whittingslowe</w:t>
      </w:r>
      <w:r>
        <w:rPr>
          <w:rFonts w:ascii="arial" w:eastAsia="arial" w:hAnsi="arial" w:cs="arial"/>
          <w:color w:val="000000"/>
          <w:sz w:val="20"/>
          <w:lang w:val="en-US" w:eastAsia="en-US" w:bidi="ar-SA"/>
        </w:rPr>
        <w:t xml:space="preserve"> (1945), 71 C.L.R. 637 (H.C.), at p. 649; </w:t>
      </w:r>
      <w:r>
        <w:rPr>
          <w:rFonts w:ascii="arial" w:eastAsia="arial" w:hAnsi="arial" w:cs="arial"/>
          <w:i/>
          <w:color w:val="000000"/>
          <w:sz w:val="20"/>
          <w:lang w:val="en-US" w:eastAsia="en-US" w:bidi="ar-SA"/>
        </w:rPr>
        <w:t>Bennett v. Minister of Community Welfare</w:t>
      </w:r>
      <w:r>
        <w:rPr>
          <w:rFonts w:ascii="arial" w:eastAsia="arial" w:hAnsi="arial" w:cs="arial"/>
          <w:color w:val="000000"/>
          <w:sz w:val="20"/>
          <w:lang w:val="en-US" w:eastAsia="en-US" w:bidi="ar-SA"/>
        </w:rPr>
        <w:t xml:space="preserve"> (1992), 176 C.L.R. 408 (H.C.), at pp. 415-16; </w:t>
      </w:r>
      <w:r>
        <w:rPr>
          <w:rFonts w:ascii="arial" w:eastAsia="arial" w:hAnsi="arial" w:cs="arial"/>
          <w:i/>
          <w:color w:val="000000"/>
          <w:sz w:val="20"/>
          <w:lang w:val="en-US" w:eastAsia="en-US" w:bidi="ar-SA"/>
        </w:rPr>
        <w:t>Flounders v. Millar</w:t>
      </w:r>
      <w:r>
        <w:rPr>
          <w:rFonts w:ascii="arial" w:eastAsia="arial" w:hAnsi="arial" w:cs="arial"/>
          <w:color w:val="000000"/>
          <w:sz w:val="20"/>
          <w:lang w:val="en-US" w:eastAsia="en-US" w:bidi="ar-SA"/>
        </w:rPr>
        <w:t xml:space="preserve">, [2007] NSWCA 238, 49 M.V.R. 53; </w:t>
      </w:r>
      <w:r>
        <w:rPr>
          <w:rFonts w:ascii="arial" w:eastAsia="arial" w:hAnsi="arial" w:cs="arial"/>
          <w:i/>
          <w:color w:val="000000"/>
          <w:sz w:val="20"/>
          <w:lang w:val="en-US" w:eastAsia="en-US" w:bidi="ar-SA"/>
        </w:rPr>
        <w:t>Roads and Traffic Authority v. Royal</w:t>
      </w:r>
      <w:r>
        <w:rPr>
          <w:rFonts w:ascii="arial" w:eastAsia="arial" w:hAnsi="arial" w:cs="arial"/>
          <w:color w:val="000000"/>
          <w:sz w:val="20"/>
          <w:lang w:val="en-US" w:eastAsia="en-US" w:bidi="ar-SA"/>
        </w:rPr>
        <w:t>, [2008] HCA 19, 245 A.L.R. 653, at paras. 137-44.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I have found that the loose nut on the cab positive terminal was caused by the negligent failure of Volvo to adhere to its own design specifications with respect to the tightening of that nut during its installation on the Truck in breach of the duty of care owed by Volvo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Volvo has admitted that a loose nut caused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I find that causation has been established by the plaintiffs on a balance of probabilities.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B. Impact of Yanke's Actions on Volvo's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At para. 30(a) of its Response to the plaintiffs' further amended notice of civil claim Volvo pleaded:</w:t>
      </w:r>
      <w:r>
        <w:rPr>
          <w:rFonts w:ascii="arial" w:eastAsia="arial" w:hAnsi="arial" w:cs="arial"/>
          <w:sz w:val="20"/>
          <w:lang w:val="en-US" w:eastAsia="en-US" w:bidi="ar-SA"/>
        </w:rPr>
        <w:cr/>
      </w:r>
    </w:p>
    <w:p>
      <w:pPr>
        <w:numPr>
          <w:numId w:val="2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answer to paragraphs 85 to 88 of the FANOCC, the Volvo Defendants say that if the Plaintiffs suffered the injury, loss and damages alleged, which is not admitted but denied, such injury, loss and damages was not caused by the Accident or the acts or omissions of the Volvo Defendants, but rather were causes by other factors, including but not limited to:</w:t>
      </w:r>
    </w:p>
    <w:p>
      <w:pPr>
        <w:numPr>
          <w:numId w:val="2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treatment of the Plaintiffs by the Defendant Yanke;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The plaintiffs' claims against Yanke, as pleaded from time to time, all arose as a consequence of Mr. and Mrs. Hans' employment by Yanke and Yanke's termination of Mr. Hans' employment immediately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More specifically, Yanke's actions which at one time or another formed the basis of claims by the plaintiffs included: the wrongful termination of Mr. Hans' employment; the manner of that termination; the involvement of Yanke in failing to fully share the results of Mr. Hewitt's investigation into the cause of the collision; and, settlement of the repair costs to the Truck with Volvo without the plaintiffs' input.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Although from time to time framed as a breach of fiduciary duty or as a breach of authority, in substance all of the plaintiffs' claims against Yanke were either directly or indirectly founded in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No evidence was adduced by either the plaintiffs or Volvo that was capable of establishing that any action taken by Yanke of which the plaintiffs complained was actionable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Although the evidence is clear that Mr. Hans and, to a lesser extent, Mrs. Hans blamed Yanke for some of the consequences of the collision, and particularly the failure to fully inform them of the results of the inspection before litigation was commenced, there is little, if any, evidence that but for the collision Yanke would have terminated Mr. Hans' employment as and when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Also, but for the collision there would have been no issue about the disclosure of an investigation that would never have occurred, no settlement with Volvo and no loss of the Truck through repossession and sale by Volvo Financial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The totality of the evidence satisfies me that although Yanke's actions after the collision were high handed and had some factual impact upon the plaintiffs' financial and emotional well-being, potentially compensable in damages for breach of contract, that impact did not arise as a consequence of any actions by Yanke as a joint tortfeasor with Volvo.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xml:space="preserve">  In those circumstances, while the plaintiffs' settlement with Yanke is relevant to the determination of the quantum of the final award to which the plaintiffs are entitled after the necessary </w:t>
      </w:r>
      <w:r>
        <w:rPr>
          <w:rFonts w:ascii="arial" w:eastAsia="arial" w:hAnsi="arial" w:cs="arial"/>
          <w:i/>
          <w:color w:val="000000"/>
          <w:sz w:val="20"/>
          <w:lang w:val="en-US" w:eastAsia="en-US" w:bidi="ar-SA"/>
        </w:rPr>
        <w:t>B.C. Ferries</w:t>
      </w:r>
      <w:r>
        <w:rPr>
          <w:rFonts w:ascii="arial" w:eastAsia="arial" w:hAnsi="arial" w:cs="arial"/>
          <w:color w:val="000000"/>
          <w:sz w:val="20"/>
          <w:lang w:val="en-US" w:eastAsia="en-US" w:bidi="ar-SA"/>
        </w:rPr>
        <w:t xml:space="preserve"> analysis, the actions of Yanke do not impact the attribution of liability as between the plaintiffs and Volvo.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xml:space="preserve">  That is so because as noted in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In some cases, an injury -- the loss for which the plaintiff claims compensation -- may flow from a number of different negligent acts committed by different actors, each of which is a necessary or "but for" cause of the injury. In such cases, the defendants are said to be jointly and severally liable. The judge or jury then apportions liability according to the degree of fault of each defendant pursuant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xml:space="preserve">  In order for any issue of apportionment to arise, it is, however, necessary that there be at least two tortfeasors whose tortious acts each caused a plaintiff damages. In this case, only Volvo's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actionable in tort. Any claims by the plaintiffs against Yanke were only actionable in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xml:space="preserve">  As stated by Major J. for the Supreme Court of Canada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12:</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The respondents' position is that where a loss is created by tortious and non-tortious causes, it is possible to apportion the loss according to the degree of causation. </w:t>
      </w:r>
      <w:r>
        <w:rPr>
          <w:rFonts w:ascii="arial" w:eastAsia="arial" w:hAnsi="arial" w:cs="arial"/>
          <w:color w:val="000000"/>
          <w:sz w:val="20"/>
          <w:u w:val="single"/>
          <w:lang w:val="en-US" w:eastAsia="en-US" w:bidi="ar-SA"/>
        </w:rPr>
        <w:t>This is contrary to well-established principles</w:t>
      </w:r>
      <w:r>
        <w:rPr>
          <w:rFonts w:ascii="arial" w:eastAsia="arial" w:hAnsi="arial" w:cs="arial"/>
          <w:color w:val="000000"/>
          <w:sz w:val="20"/>
          <w:lang w:val="en-US" w:eastAsia="en-US" w:bidi="ar-SA"/>
        </w:rPr>
        <w:t xml:space="preserve">. It has long been established that a defendant is liable for any injuries caused or contributed to by his 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the defendant's conduct is found to be a cause of the injury, </w:t>
      </w:r>
      <w:r>
        <w:rPr>
          <w:rFonts w:ascii="arial" w:eastAsia="arial" w:hAnsi="arial" w:cs="arial"/>
          <w:color w:val="000000"/>
          <w:sz w:val="20"/>
          <w:u w:val="single"/>
          <w:lang w:val="en-US" w:eastAsia="en-US" w:bidi="ar-SA"/>
        </w:rPr>
        <w:t>the presence of other non-tortious contributing causes does not reduce the extent of the defendant's liability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If I am wrong in that analysis and some action of Yanke was in fact actionable in tort, I am satisfied that any apportionment of responsibility for the payment of damages suffered by the plaintiffs because of any such conduct is limited to minimal contribution and for only some short term financial losses suffered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xml:space="preserve">  I say that because no actions of Yanke were causally connected to the PTSD suffered by Mr. Hans in the collision. Those injuries and the consequences of them were caused solely by Volvo's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all damages suffered by Mr. Hans as a consequence of PTSD are solely the responsibility of Volvo.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To the extent that Mr. Hans blames Yanke for his losses, that blame is at least in part a manifestation of the effects of PTSD. While Yanke's treatment of him may have exacerbated his anger, Yanke's treatment of him is not actionable as an independent cause of action against Yanke.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In those circumstances and having regard to the totality of the evidence, if I am wrong in my analysis that Yanke is not liable as a joint tortfeasor with Volvo for the damages suffered by Mr. and Mrs. Hans, I find that Yanke is responsible for 10% of Mr. and Mrs. Hans' net 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I reach that assessment based upon the delay of the plaintiffs' re-entry into the trucking industry and the realization of their intention to commence their own small flat-bed trucking business to which Yanke's actions contributed in the year following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REMOTENESS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Volvo has submitted that even if it was at fault for the loose nut on the cab positive terminal which caused the collision, the psychiatric injuries from which Mr. Hans suffers for which he seeks compensation were not a foreseeable consequence of any negligent act by Volvo.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xml:space="preserve">  In his written argument counsel for Volvo submitted "there is no causal link in law between Mr. Hans' PTSD and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Volvo".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xml:space="preserve">  In making that submission Volvo relied primarily upon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the leading case in Canada on the law of remoteness and the foreseeability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xml:space="preserve">  Volvo's submissions on remoteness require an analysis of not only the principles enunciated by the Supreme Court of Canada in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and other cases relied upon by Volvo but also the factual circumstances in which the issues of remoteness and the foreseeability arose in those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the Court was concerned with the foreseeability of psychiatric injuries suffered by the plaintiff as a consequence of the defendant's breach of its duty of care. In the course of replacing an empty bottle of drinking water with a full one the plaintiff saw a dead fly in the unopened replacement bottle. The plaintiff became obsessed with the event and developed a major depressive disorder, phobia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Although Mr. Mustapha successfully sued the defendant, the Ontario Court of Appeal overturned the trial court judgment on the basis that the injuries were not reasonably foreseeable and thus did not give rise to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Not surprisingly the Supreme Court of Canada upheld the decision of the Ontario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In doing so, Chief Justice McLachlin writing for the Court deferred to the findings of the trial judge that Mr. Mustapha had indeed suffered a major depressive disorder with associated phobia and anxiety with debilitating effects upon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After reviewing principles applicable to the inquiry of "whether the harm [is] too unrelated to the wrongful conduct to hold the defendant fairly liable" and how probable or likely a harm needs to be reasonably foreseeable McLachlin C.J.C. wrote at para.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The remoteness inquiry depends not only upon the degree of probability required to meet the reasonable foreseeability requirement, but also upon whether or not the plaintiff is considered objectively or subjectively. One of the questions that arose in this case was whether, in judging whether the personal injury was foreseeable, one looks at a person of "ordinary fortitude" or at a particular plaintiff with his or her particular vulnerabilities. This question may be acute in claims for mental injury, since there is a wide variation in how particular people respond to particular stressors. The law has consistently held -- albeit within the duty of care analysis -- that the question is what a person of ordinary fortitude would suffer: see </w:t>
      </w:r>
      <w:r>
        <w:rPr>
          <w:rFonts w:ascii="arial" w:eastAsia="arial" w:hAnsi="arial" w:cs="arial"/>
          <w:i/>
          <w:color w:val="000000"/>
          <w:sz w:val="20"/>
          <w:lang w:val="en-US" w:eastAsia="en-US" w:bidi="ar-SA"/>
        </w:rPr>
        <w:t>White v. Chief Constable of South Yorkshire Police</w:t>
      </w:r>
      <w:r>
        <w:rPr>
          <w:rFonts w:ascii="arial" w:eastAsia="arial" w:hAnsi="arial" w:cs="arial"/>
          <w:color w:val="000000"/>
          <w:sz w:val="20"/>
          <w:lang w:val="en-US" w:eastAsia="en-US" w:bidi="ar-SA"/>
        </w:rPr>
        <w:t xml:space="preserve">, [1998] 3 W.L.R. 1509 (H.L.); </w:t>
      </w:r>
      <w:r>
        <w:rPr>
          <w:rFonts w:ascii="arial" w:eastAsia="arial" w:hAnsi="arial" w:cs="arial"/>
          <w:i/>
          <w:color w:val="000000"/>
          <w:sz w:val="20"/>
          <w:lang w:val="en-US" w:eastAsia="en-US" w:bidi="ar-SA"/>
        </w:rPr>
        <w:t>Devji v. Burnaby (District)</w:t>
      </w:r>
      <w:r>
        <w:rPr>
          <w:rFonts w:ascii="arial" w:eastAsia="arial" w:hAnsi="arial" w:cs="arial"/>
          <w:color w:val="000000"/>
          <w:sz w:val="20"/>
          <w:lang w:val="en-US" w:eastAsia="en-US" w:bidi="ar-SA"/>
        </w:rPr>
        <w:t xml:space="preserve"> </w:t>
      </w:r>
      <w:hyperlink r:id="rId1193" w:history="1">
        <w:r>
          <w:rPr>
            <w:rFonts w:ascii="arial" w:eastAsia="arial" w:hAnsi="arial" w:cs="arial"/>
            <w:i/>
            <w:color w:val="0077CC"/>
            <w:sz w:val="20"/>
            <w:u w:val="single"/>
            <w:shd w:val="clear" w:color="auto" w:fill="FFFFFF"/>
            <w:lang w:val="en-US" w:eastAsia="en-US" w:bidi="ar-SA"/>
          </w:rPr>
          <w:t>(1999), 180 D.L.R. (4th) 205</w:t>
        </w:r>
      </w:hyperlink>
      <w:r>
        <w:rPr>
          <w:rFonts w:ascii="arial" w:eastAsia="arial" w:hAnsi="arial" w:cs="arial"/>
          <w:color w:val="000000"/>
          <w:sz w:val="20"/>
          <w:lang w:val="en-US" w:eastAsia="en-US" w:bidi="ar-SA"/>
        </w:rPr>
        <w:t xml:space="preserve">, </w:t>
      </w:r>
      <w:hyperlink r:id="rId1193" w:history="1">
        <w:r>
          <w:rPr>
            <w:rFonts w:ascii="arial" w:eastAsia="arial" w:hAnsi="arial" w:cs="arial"/>
            <w:i/>
            <w:color w:val="0077CC"/>
            <w:sz w:val="20"/>
            <w:u w:val="single"/>
            <w:shd w:val="clear" w:color="auto" w:fill="FFFFFF"/>
            <w:lang w:val="en-US" w:eastAsia="en-US" w:bidi="ar-SA"/>
          </w:rPr>
          <w:t>1999 BCCA 599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Vanek</w:t>
      </w:r>
      <w:r>
        <w:rPr>
          <w:rFonts w:ascii="arial" w:eastAsia="arial" w:hAnsi="arial" w:cs="arial"/>
          <w:color w:val="000000"/>
          <w:sz w:val="20"/>
          <w:lang w:val="en-US" w:eastAsia="en-US" w:bidi="ar-SA"/>
        </w:rPr>
        <w:t xml:space="preserve">, </w:t>
      </w:r>
      <w:hyperlink r:id="rId1194" w:history="1">
        <w:r>
          <w:rPr>
            <w:rFonts w:ascii="arial" w:eastAsia="arial" w:hAnsi="arial" w:cs="arial"/>
            <w:i/>
            <w:color w:val="0077CC"/>
            <w:sz w:val="20"/>
            <w:u w:val="single"/>
            <w:shd w:val="clear" w:color="auto" w:fill="FFFFFF"/>
            <w:lang w:val="en-US" w:eastAsia="en-US" w:bidi="ar-SA"/>
          </w:rPr>
          <w:t>[1999] O.J. No. 4599</w:t>
        </w:r>
      </w:hyperlink>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White</w:t>
      </w:r>
      <w:r>
        <w:rPr>
          <w:rFonts w:ascii="arial" w:eastAsia="arial" w:hAnsi="arial" w:cs="arial"/>
          <w:color w:val="000000"/>
          <w:sz w:val="20"/>
          <w:lang w:val="en-US" w:eastAsia="en-US" w:bidi="ar-SA"/>
        </w:rPr>
        <w:t>, at p. 1512: "The law expects reasonable fortitude and robustness of its citizens and will not impose liability for the exceptional frailty of certain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xml:space="preserve">  Applying those principles to the facts presented in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the Chief Justice held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It follows that in order to show that the damage suffered is not too remote to be viewed as legally caused by Culligan's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Mr. Mustapha must show that it was foreseeable that a person of ordinary fortitude would suffer serious injury from seeing the flies in the bottle of water he was about to install. This he failed to do. The only evidence was about his own reactions, which were described by the medical experts as "highly unusual" and "very individual" (C.A. judgment, at para. 52). There is no evidence that a person of ordinary fortitude would have suffered injury from seeing the flies in the bottle; indeed the expert witnesses were not asked this question. Instead of asking whether it was foreseeable that the defendant's conduct would have injured a person of ordinary fortitude, the trial judge applied a subjective standard, taking into account Mr. Mustapha's "previous history" and "particular circumstances" (para. 227), including a number of "cultural factors" such as his unusual concern over cleanliness, and the health and well-being of his family. This was an error. Mr. Mustapha having failed to establish that it was reasonably foreseeable that a person of ordinary fortitude would have suffered personal injury, it follows that his claim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446</w:t>
      </w:r>
      <w:r>
        <w:rPr>
          <w:rFonts w:ascii="arial" w:eastAsia="arial" w:hAnsi="arial" w:cs="arial"/>
          <w:color w:val="000000"/>
          <w:sz w:val="20"/>
          <w:lang w:val="en-US" w:eastAsia="en-US" w:bidi="ar-SA"/>
        </w:rPr>
        <w:t>  Relying on that conclusion Volvo submits that Mr. Hans' failure to adduce evidence that a person of ordinary fortitude would have suffered PTSD in the collision is fatal to his claims against Volvo notwithstanding Volvo's breach of the duty of care it owed him in its negligent manufacture of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447</w:t>
      </w:r>
      <w:r>
        <w:rPr>
          <w:rFonts w:ascii="arial" w:eastAsia="arial" w:hAnsi="arial" w:cs="arial"/>
          <w:color w:val="000000"/>
          <w:sz w:val="20"/>
          <w:lang w:val="en-US" w:eastAsia="en-US" w:bidi="ar-SA"/>
        </w:rPr>
        <w:t xml:space="preserve">  After considering the principles of remoteness and reasonable foreseeability of damages enunciated in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and other cases relied upon by Volvo in the context of the facts of this case I do not accept Volvo's argument that Mr. Hans' psychological injuries are too remote to require compensation by Volvo.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448</w:t>
      </w:r>
      <w:r>
        <w:rPr>
          <w:rFonts w:ascii="arial" w:eastAsia="arial" w:hAnsi="arial" w:cs="arial"/>
          <w:color w:val="000000"/>
          <w:sz w:val="20"/>
          <w:lang w:val="en-US" w:eastAsia="en-US" w:bidi="ar-SA"/>
        </w:rPr>
        <w:t>  I say that because:</w:t>
      </w:r>
      <w:r>
        <w:rPr>
          <w:rFonts w:ascii="arial" w:eastAsia="arial" w:hAnsi="arial" w:cs="arial"/>
          <w:sz w:val="20"/>
          <w:lang w:val="en-US" w:eastAsia="en-US" w:bidi="ar-SA"/>
        </w:rPr>
        <w:cr/>
      </w:r>
    </w:p>
    <w:p>
      <w:pPr>
        <w:numPr>
          <w:numId w:val="24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and most other cases relied upon by Volvo (</w:t>
      </w:r>
      <w:r>
        <w:rPr>
          <w:rFonts w:ascii="arial" w:eastAsia="arial" w:hAnsi="arial" w:cs="arial"/>
          <w:i/>
          <w:color w:val="000000"/>
          <w:sz w:val="20"/>
          <w:lang w:val="en-US" w:eastAsia="en-US" w:bidi="ar-SA"/>
        </w:rPr>
        <w:t>Deros v. McCauley</w:t>
      </w:r>
      <w:r>
        <w:rPr>
          <w:rFonts w:ascii="arial" w:eastAsia="arial" w:hAnsi="arial" w:cs="arial"/>
          <w:color w:val="000000"/>
          <w:sz w:val="20"/>
          <w:lang w:val="en-US" w:eastAsia="en-US" w:bidi="ar-SA"/>
        </w:rPr>
        <w:t xml:space="preserve">, </w:t>
      </w:r>
      <w:hyperlink r:id="rId1195" w:history="1">
        <w:r>
          <w:rPr>
            <w:rFonts w:ascii="arial" w:eastAsia="arial" w:hAnsi="arial" w:cs="arial"/>
            <w:i/>
            <w:color w:val="0077CC"/>
            <w:sz w:val="20"/>
            <w:u w:val="single"/>
            <w:shd w:val="clear" w:color="auto" w:fill="FFFFFF"/>
            <w:lang w:val="en-US" w:eastAsia="en-US" w:bidi="ar-SA"/>
          </w:rPr>
          <w:t>2011 BCSC 195</w:t>
        </w:r>
      </w:hyperlink>
      <w:r>
        <w:rPr>
          <w:rFonts w:ascii="arial" w:eastAsia="arial" w:hAnsi="arial" w:cs="arial"/>
          <w:color w:val="000000"/>
          <w:sz w:val="20"/>
          <w:lang w:val="en-US" w:eastAsia="en-US" w:bidi="ar-SA"/>
        </w:rPr>
        <w:t xml:space="preserve"> which applied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Devji v. District of Burnaby</w:t>
      </w:r>
      <w:r>
        <w:rPr>
          <w:rFonts w:ascii="arial" w:eastAsia="arial" w:hAnsi="arial" w:cs="arial"/>
          <w:color w:val="000000"/>
          <w:sz w:val="20"/>
          <w:lang w:val="en-US" w:eastAsia="en-US" w:bidi="ar-SA"/>
        </w:rPr>
        <w:t xml:space="preserve">, </w:t>
      </w:r>
      <w:hyperlink r:id="rId1193" w:history="1">
        <w:r>
          <w:rPr>
            <w:rFonts w:ascii="arial" w:eastAsia="arial" w:hAnsi="arial" w:cs="arial"/>
            <w:i/>
            <w:color w:val="0077CC"/>
            <w:sz w:val="20"/>
            <w:u w:val="single"/>
            <w:shd w:val="clear" w:color="auto" w:fill="FFFFFF"/>
            <w:lang w:val="en-US" w:eastAsia="en-US" w:bidi="ar-SA"/>
          </w:rPr>
          <w:t>1999 BCCA 599</w:t>
        </w:r>
      </w:hyperlink>
      <w:r>
        <w:rPr>
          <w:rFonts w:ascii="arial" w:eastAsia="arial" w:hAnsi="arial" w:cs="arial"/>
          <w:color w:val="000000"/>
          <w:sz w:val="20"/>
          <w:lang w:val="en-US" w:eastAsia="en-US" w:bidi="ar-SA"/>
        </w:rPr>
        <w:t xml:space="preserve">, which pre-dated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were all cases of nervous shock.</w:t>
      </w:r>
    </w:p>
    <w:p>
      <w:pPr>
        <w:numPr>
          <w:numId w:val="2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as noted by Voith J. at para. 106 in </w:t>
      </w:r>
      <w:r>
        <w:rPr>
          <w:rFonts w:ascii="arial" w:eastAsia="arial" w:hAnsi="arial" w:cs="arial"/>
          <w:i/>
          <w:color w:val="000000"/>
          <w:sz w:val="20"/>
          <w:lang w:val="en-US" w:eastAsia="en-US" w:bidi="ar-SA"/>
        </w:rPr>
        <w:t>Zawadzki v. Calimoso</w:t>
      </w:r>
      <w:r>
        <w:rPr>
          <w:rFonts w:ascii="arial" w:eastAsia="arial" w:hAnsi="arial" w:cs="arial"/>
          <w:color w:val="000000"/>
          <w:sz w:val="20"/>
          <w:lang w:val="en-US" w:eastAsia="en-US" w:bidi="ar-SA"/>
        </w:rPr>
        <w:t xml:space="preserve">, </w:t>
      </w:r>
      <w:hyperlink r:id="rId1196" w:history="1">
        <w:r>
          <w:rPr>
            <w:rFonts w:ascii="arial" w:eastAsia="arial" w:hAnsi="arial" w:cs="arial"/>
            <w:i/>
            <w:color w:val="0077CC"/>
            <w:sz w:val="20"/>
            <w:u w:val="single"/>
            <w:shd w:val="clear" w:color="auto" w:fill="FFFFFF"/>
            <w:lang w:val="en-US" w:eastAsia="en-US" w:bidi="ar-SA"/>
          </w:rPr>
          <w:t>2011 BCSC 45</w:t>
        </w:r>
      </w:hyperlink>
      <w:r>
        <w:rPr>
          <w:rFonts w:ascii="arial" w:eastAsia="arial" w:hAnsi="arial" w:cs="arial"/>
          <w:color w:val="000000"/>
          <w:sz w:val="20"/>
          <w:lang w:val="en-US" w:eastAsia="en-US" w:bidi="ar-SA"/>
        </w:rPr>
        <w:t xml:space="preserve">, in some cases the principles enunciated in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have been applied in broader contexts than that of nervous shock, he also noted that key factors in the Court's denial of recovery to Mr. Mustapha (at para. 18 quoted above) was that his response to the fly in the bottle was "extraordinary" and that his own experts described his reaction as "highly unusual" and "very individual".</w:t>
      </w:r>
    </w:p>
    <w:p>
      <w:pPr>
        <w:numPr>
          <w:numId w:val="2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view, the Court's commentary upon the lack of evidence that a person of "ordinary fortitude" would have suffered injury from seeing flies in the bottle must be read in that context.</w:t>
      </w:r>
    </w:p>
    <w:p>
      <w:pPr>
        <w:numPr>
          <w:numId w:val="2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does not, as Volvo asserts, apply in a case such as this where the plaintiff suffered psychological trauma as a direct result of being involved in a terrifying collision. That is especially so when Volvo's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could have resulted in serious physical harm or even death as reasonably perceived by both Mr. and Mrs. Hans when total electrical failure plunged the Truck into darkness and caused a total loss of control.</w:t>
      </w:r>
    </w:p>
    <w:p>
      <w:pPr>
        <w:numPr>
          <w:numId w:val="2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read into a case of psychological injury in all but extraordinary circumstances, such as those in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where the reaction to the wrongdoing is wholly out of proportion to the risk of harm to the plaintiff, a requirement that a plaintiff must also establish that a person of "ordinary fortitude" would also have suffered the injury would conflict with the principle, recently re-affirmed by the Court in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that a robust and pragmatic approach must be taken to determining whether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caused the plaintiff's loss and that scientific proof of causation is not required.</w:t>
      </w:r>
    </w:p>
    <w:p>
      <w:pPr>
        <w:numPr>
          <w:numId w:val="2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sense also must not be abandoned whether the issue is one of causation or remoteness. Observing a fly in a water bottle cannot be equated with experiencing a total loss of control of a loaded semi-trailer plunged into total darkness.</w:t>
      </w:r>
    </w:p>
    <w:p>
      <w:pPr>
        <w:numPr>
          <w:numId w:val="2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medical experts called by the plaintiffs did not directly opine that a person of ordinary fortitude would have suffered the same or similar psychological injuries to those suffered by Mr. Hans, the evidence of all of those experts does not establish that his psychological reaction to the collision was idiosyncratic or unusual. The plaintiffs' medical experts were cross-examined at length by counsel for Volvo with the proposition that the circumstances of the collision were objectively insufficiently severe or traumatic to meet the criteria necessary as a pre-condition for a diagnosis of PTSD. All disagreed.</w:t>
      </w:r>
    </w:p>
    <w:p>
      <w:pPr>
        <w:numPr>
          <w:numId w:val="2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same defence theory was also at the heart of Dr. Solomons' opinions which were diametrically opposed to those of the plaintiffs' medical experts. In short, Dr. Solomons opined that because Mr. Hans knew shortly after the collision that he had not been seriously injured or killed the necessary criteria for a diagnosis of PTSD had not been established. As I will later discuss in more detail, I do not accept Dr. Solomons' opinion, and to the extent that Volvo relies upon it on the remoteness issue, I find that it is of no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449</w:t>
      </w:r>
      <w:r>
        <w:rPr>
          <w:rFonts w:ascii="arial" w:eastAsia="arial" w:hAnsi="arial" w:cs="arial"/>
          <w:color w:val="000000"/>
          <w:sz w:val="20"/>
          <w:lang w:val="en-US" w:eastAsia="en-US" w:bidi="ar-SA"/>
        </w:rPr>
        <w:t>  Those cases relied upon by Volvo which did not involve nervous shock (</w:t>
      </w:r>
      <w:r>
        <w:rPr>
          <w:rFonts w:ascii="arial" w:eastAsia="arial" w:hAnsi="arial" w:cs="arial"/>
          <w:i/>
          <w:color w:val="000000"/>
          <w:sz w:val="20"/>
          <w:lang w:val="en-US" w:eastAsia="en-US" w:bidi="ar-SA"/>
        </w:rPr>
        <w:t>Warren v. Morgan</w:t>
      </w:r>
      <w:r>
        <w:rPr>
          <w:rFonts w:ascii="arial" w:eastAsia="arial" w:hAnsi="arial" w:cs="arial"/>
          <w:color w:val="000000"/>
          <w:sz w:val="20"/>
          <w:lang w:val="en-US" w:eastAsia="en-US" w:bidi="ar-SA"/>
        </w:rPr>
        <w:t xml:space="preserve">, </w:t>
      </w:r>
      <w:hyperlink r:id="rId1197" w:history="1">
        <w:r>
          <w:rPr>
            <w:rFonts w:ascii="arial" w:eastAsia="arial" w:hAnsi="arial" w:cs="arial"/>
            <w:i/>
            <w:color w:val="0077CC"/>
            <w:sz w:val="20"/>
            <w:u w:val="single"/>
            <w:shd w:val="clear" w:color="auto" w:fill="FFFFFF"/>
            <w:lang w:val="en-US" w:eastAsia="en-US" w:bidi="ar-SA"/>
          </w:rPr>
          <w:t>2013 BCSC 708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Warren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Kristiansen v. Grewal</w:t>
      </w:r>
      <w:r>
        <w:rPr>
          <w:rFonts w:ascii="arial" w:eastAsia="arial" w:hAnsi="arial" w:cs="arial"/>
          <w:color w:val="000000"/>
          <w:sz w:val="20"/>
          <w:lang w:val="en-US" w:eastAsia="en-US" w:bidi="ar-SA"/>
        </w:rPr>
        <w:t xml:space="preserve">, </w:t>
      </w:r>
      <w:hyperlink r:id="rId1198" w:history="1">
        <w:r>
          <w:rPr>
            <w:rFonts w:ascii="arial" w:eastAsia="arial" w:hAnsi="arial" w:cs="arial"/>
            <w:i/>
            <w:color w:val="0077CC"/>
            <w:sz w:val="20"/>
            <w:u w:val="single"/>
            <w:shd w:val="clear" w:color="auto" w:fill="FFFFFF"/>
            <w:lang w:val="en-US" w:eastAsia="en-US" w:bidi="ar-SA"/>
          </w:rPr>
          <w:t>2014 BCSC 623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Kristiansen</w:t>
      </w:r>
      <w:r>
        <w:rPr>
          <w:rFonts w:ascii="arial" w:eastAsia="arial" w:hAnsi="arial" w:cs="arial"/>
          <w:color w:val="000000"/>
          <w:sz w:val="20"/>
          <w:lang w:val="en-US" w:eastAsia="en-US" w:bidi="ar-SA"/>
        </w:rPr>
        <w:t>]) also do not assist.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Warren,</w:t>
      </w:r>
      <w:r>
        <w:rPr>
          <w:rFonts w:ascii="arial" w:eastAsia="arial" w:hAnsi="arial" w:cs="arial"/>
          <w:color w:val="000000"/>
          <w:sz w:val="20"/>
          <w:lang w:val="en-US" w:eastAsia="en-US" w:bidi="ar-SA"/>
        </w:rPr>
        <w:t xml:space="preserve"> Russell J. found that the plaintiff was vague about the nature and progression of her injuries and attempted to explain away issues with tangential answers. She also failed to adduce evidence that she suffered from a psychological disorder. Although Russell J. did refer to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(at para. 516), her decision did not rest on any consideration of remoteness or foreseeability.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Kristiansen,</w:t>
      </w:r>
      <w:r>
        <w:rPr>
          <w:rFonts w:ascii="arial" w:eastAsia="arial" w:hAnsi="arial" w:cs="arial"/>
          <w:color w:val="000000"/>
          <w:sz w:val="20"/>
          <w:lang w:val="en-US" w:eastAsia="en-US" w:bidi="ar-SA"/>
        </w:rPr>
        <w:t xml:space="preserve"> Romilly J. accepted that the plaintiff had suffered PTSD in an accident for which the defendant accepted liability that occurred in December of 2009, but also considered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in determining that the accident was not the cause of psychological complaints or cognitive deficits which presented for the first time in September of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452</w:t>
      </w:r>
      <w:r>
        <w:rPr>
          <w:rFonts w:ascii="arial" w:eastAsia="arial" w:hAnsi="arial" w:cs="arial"/>
          <w:color w:val="000000"/>
          <w:sz w:val="20"/>
          <w:lang w:val="en-US" w:eastAsia="en-US" w:bidi="ar-SA"/>
        </w:rPr>
        <w:t>  In doing so he held at paras. 115 to 117: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[115] The plaintiff has to show, on a balance of probabilities, that her psychological difficulties were a reasonably foreseeable consequence of the defendants' negligent actions.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[116] In my view, the plaintiff's psychological injuries were simply not reasonably foreseeable. That is, it was not reasonably foreseeable by the defendants, at the time of the tort, that the plaintiff would suffer the mental injuries she now attributes to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[117] I agree with the defendants' submission that damages for the plaintiff's psychological complaints or cognitive deficits which presented for the first time on September 5, 2011, are too remote in law to be recoverable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453</w:t>
      </w:r>
      <w:r>
        <w:rPr>
          <w:rFonts w:ascii="arial" w:eastAsia="arial" w:hAnsi="arial" w:cs="arial"/>
          <w:color w:val="000000"/>
          <w:sz w:val="20"/>
          <w:lang w:val="en-US" w:eastAsia="en-US" w:bidi="ar-SA"/>
        </w:rPr>
        <w:t xml:space="preserve">  In contrast, Mr. Hans' psychological symptoms manifested immediately after the collision and a preliminary diagnosis of PTSD was made by Dr. Dhillon within 2 weeks. Unlike in </w:t>
      </w:r>
      <w:r>
        <w:rPr>
          <w:rFonts w:ascii="arial" w:eastAsia="arial" w:hAnsi="arial" w:cs="arial"/>
          <w:i/>
          <w:color w:val="000000"/>
          <w:sz w:val="20"/>
          <w:lang w:val="en-US" w:eastAsia="en-US" w:bidi="ar-SA"/>
        </w:rPr>
        <w:t>Kristiansen</w:t>
      </w:r>
      <w:r>
        <w:rPr>
          <w:rFonts w:ascii="arial" w:eastAsia="arial" w:hAnsi="arial" w:cs="arial"/>
          <w:color w:val="000000"/>
          <w:sz w:val="20"/>
          <w:lang w:val="en-US" w:eastAsia="en-US" w:bidi="ar-SA"/>
        </w:rPr>
        <w:t xml:space="preserve"> no new psychiatric disorders arose months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454</w:t>
      </w:r>
      <w:r>
        <w:rPr>
          <w:rFonts w:ascii="arial" w:eastAsia="arial" w:hAnsi="arial" w:cs="arial"/>
          <w:color w:val="000000"/>
          <w:sz w:val="20"/>
          <w:lang w:val="en-US" w:eastAsia="en-US" w:bidi="ar-SA"/>
        </w:rPr>
        <w:t>  Although Volvo asserts that there was a 30 month period where the symptoms did not continue, that submission is not supported by the evidence of the many lay witnesses who testified and whose evidence I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455</w:t>
      </w:r>
      <w:r>
        <w:rPr>
          <w:rFonts w:ascii="arial" w:eastAsia="arial" w:hAnsi="arial" w:cs="arial"/>
          <w:color w:val="000000"/>
          <w:sz w:val="20"/>
          <w:lang w:val="en-US" w:eastAsia="en-US" w:bidi="ar-SA"/>
        </w:rPr>
        <w:t xml:space="preserve">  I also do not accept Volvo's submission that Mr. Hans' suffered a "psychological crash" in the fall of 2011 when he first attempted suicide for reasons other than his continuing but worsening symptoms of PTSD suffered by him as a consequence of the collision and Volvo's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456</w:t>
      </w:r>
      <w:r>
        <w:rPr>
          <w:rFonts w:ascii="arial" w:eastAsia="arial" w:hAnsi="arial" w:cs="arial"/>
          <w:color w:val="000000"/>
          <w:sz w:val="20"/>
          <w:lang w:val="en-US" w:eastAsia="en-US" w:bidi="ar-SA"/>
        </w:rPr>
        <w:t>  Volvo's submission that Mr. Hans' psychological injuries at the time of his first suicide attempt were "more likely a combination of factors [that] include the fact Mr. Hans had been fired, the plaintiff's poor decision to abandon their truck (their only source of livelihood) and the stress and cost of litigation" is not supported by the evidence as a whole or the expert opinions of those medical witnesses whose evidence I do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457</w:t>
      </w:r>
      <w:r>
        <w:rPr>
          <w:rFonts w:ascii="arial" w:eastAsia="arial" w:hAnsi="arial" w:cs="arial"/>
          <w:color w:val="000000"/>
          <w:sz w:val="20"/>
          <w:lang w:val="en-US" w:eastAsia="en-US" w:bidi="ar-SA"/>
        </w:rPr>
        <w:t xml:space="preserve">  For all of the foregoing reasons I have concluded that Mr. Hans' psychological injuries were a direct cause of the collision and Volvo's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find that his psychological injuries were reasonably foreseeable and are not too remote in law to preclude compensation for them by Volvo.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458</w:t>
      </w:r>
      <w:r>
        <w:rPr>
          <w:rFonts w:ascii="arial" w:eastAsia="arial" w:hAnsi="arial" w:cs="arial"/>
          <w:color w:val="000000"/>
          <w:sz w:val="20"/>
          <w:lang w:val="en-US" w:eastAsia="en-US" w:bidi="ar-SA"/>
        </w:rPr>
        <w:t xml:space="preserve">  Central to the issue of the quantum of damages to which the plaintiffs are entitled is resolution of the question of whether the plaintiffs have proven that Volvo's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Mr. Hans to suffer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459</w:t>
      </w:r>
      <w:r>
        <w:rPr>
          <w:rFonts w:ascii="arial" w:eastAsia="arial" w:hAnsi="arial" w:cs="arial"/>
          <w:color w:val="000000"/>
          <w:sz w:val="20"/>
          <w:lang w:val="en-US" w:eastAsia="en-US" w:bidi="ar-SA"/>
        </w:rPr>
        <w:t>  For the reasons that follow, to which I have also alluded earlier in these reasons, I am satisfied that the totality of the evidence, including the medical evidence which I accept, confirms that Mr. Hans did suffer PTSD as a consequence of the collision and that the damages which he has suffered and which he will continue to suffer arise as a consequence of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460</w:t>
      </w:r>
      <w:r>
        <w:rPr>
          <w:rFonts w:ascii="arial" w:eastAsia="arial" w:hAnsi="arial" w:cs="arial"/>
          <w:color w:val="000000"/>
          <w:sz w:val="20"/>
          <w:lang w:val="en-US" w:eastAsia="en-US" w:bidi="ar-SA"/>
        </w:rPr>
        <w:t>  As I have previously noted, Volvo's argument that Mr. Hans did not suffer PTSD as a consequence of the collision was based in large part upon the proposition that Mr. and Mrs. Hans' evidence generally and specifically concerning Mr. Hans' psychological difficulties since the collision was exaggerated for financial gain. I have rejected that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461</w:t>
      </w:r>
      <w:r>
        <w:rPr>
          <w:rFonts w:ascii="arial" w:eastAsia="arial" w:hAnsi="arial" w:cs="arial"/>
          <w:color w:val="000000"/>
          <w:sz w:val="20"/>
          <w:lang w:val="en-US" w:eastAsia="en-US" w:bidi="ar-SA"/>
        </w:rPr>
        <w:t>  In arguing that the psychiatric difficulties from which Mr. Hans suffers were not caused by the collision Volvo also submitted that the circumstances of the collision and the fact that neither Mr. nor Mrs. Hans were seriously physically injured in it preclude a diagnosis of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462</w:t>
      </w:r>
      <w:r>
        <w:rPr>
          <w:rFonts w:ascii="arial" w:eastAsia="arial" w:hAnsi="arial" w:cs="arial"/>
          <w:color w:val="000000"/>
          <w:sz w:val="20"/>
          <w:lang w:val="en-US" w:eastAsia="en-US" w:bidi="ar-SA"/>
        </w:rPr>
        <w:t>  In my discussion of the issues of remoteness raised by Volvo, I rejected Dr. Solomons' opinion that Mr. Hans did not suffer PTSD as a consequence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463</w:t>
      </w:r>
      <w:r>
        <w:rPr>
          <w:rFonts w:ascii="arial" w:eastAsia="arial" w:hAnsi="arial" w:cs="arial"/>
          <w:color w:val="000000"/>
          <w:sz w:val="20"/>
          <w:lang w:val="en-US" w:eastAsia="en-US" w:bidi="ar-SA"/>
        </w:rPr>
        <w:t>  I did so because:</w:t>
      </w:r>
      <w:r>
        <w:rPr>
          <w:rFonts w:ascii="arial" w:eastAsia="arial" w:hAnsi="arial" w:cs="arial"/>
          <w:sz w:val="20"/>
          <w:lang w:val="en-US" w:eastAsia="en-US" w:bidi="ar-SA"/>
        </w:rPr>
        <w:cr/>
      </w:r>
    </w:p>
    <w:p>
      <w:pPr>
        <w:numPr>
          <w:numId w:val="2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Solomons' opinion (as expressed in his first medical-legal report dated March 13, 2014) that Mr. Hans did not suffer PTSD was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Based on his presentation at this assessment and reinforced by the medical records, it is my opinion that Mr. Hans developed a severe agitated depression that has proven to be resistant to treatment. This depression appears to have come on some [32] months after the accident and seems to have arisen in the context of his anger and resentment towards Yanke Transfer Ltd. and Volvo Trucks North America, as well as from the financial stresses that followed his unemployment. The litigations since the accident probably contribute further to his depression.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While the accident itself is not a direct cause of this depression, it is indirectly a factor in that it set in motion the train of events that lead to his profound sense of resentment and unfair treatment that seems to have brought on and maintains his depression.</w:t>
      </w:r>
    </w:p>
    <w:p>
      <w:pPr>
        <w:numPr>
          <w:numId w:val="2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Solomons re-iterated that opinion in his second medical legal report of September 24, 2015 in which he wrote: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While the Diagnostic and Statistical Manual of Mental Disorders, Fifth Edition (DSM-5) does not specifically state that the trauma which leads to posttraumatic stress disorder is unusually severely life- or limb-threatening, the examples of the trauma it provides, i.e. exposure to wars, combatant or civilian, threatened or actual physical assault or physical attack, robbery, mugging, childhood physical abuse, threatened or actual sexual violence, forced sexual penetration, alcohol/drug facilitated sexual penetration, abusive sexual contact, non-contact sexual abuse, sexual trafficking, being kidnapped, being taken hostage, terrorist attack, torture, incarceration of prisoner of war, natural or human-made disasters and severe motor vehicle accidents, indicates that the nature of the trauma required to produce the disorder is necessarily unusually severe and profoundly threatening,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My opinion remains that, while the accident was frightening, it was not sufficiently severe to meet the diagnostic pre-condition for posttraumatic stress disorder, and therefore despite his report of recurrent, persistent intrusive recall of the accident with accompanying distress, a typical posttraumatic stress disorder symptom, this symptom is better explained on the basis of morbid fixations accompanying his severe major depressive disorder rather than the discrete and separate psychiatric disorder of posttraumatic stress disorder.</w:t>
      </w:r>
    </w:p>
    <w:p>
      <w:pPr>
        <w:numPr>
          <w:numId w:val="2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other medical experts with experience in the diagnosis and treatment of PTSD who authored reports and testified in this trial concluded that Mr. Hans suffers from PTSD caused by the collision. Those experts include Dr. Harrad, Mr. Hans' treating psychiatrist for many years, Dr. Suhail who unsuccessfully attempted to treat Mr. Hans using cognitive behavior and cognitive processing therapies, and Dr. Passey, a psychiatrist with extensive experience in both the diagnosis and treatment of PTSD.</w:t>
      </w:r>
    </w:p>
    <w:p>
      <w:pPr>
        <w:numPr>
          <w:numId w:val="2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Significantly also, Dr. Baldev Dhillon, Mr. Hans' family physician reached a preliminary diagnosis of PTSD within two weeks of the collision and testified that the reason that the diagnosis was only preliminary because the necessary 30 day period for a formal diagnosis had not yet passed.</w:t>
      </w:r>
    </w:p>
    <w:p>
      <w:pPr>
        <w:numPr>
          <w:numId w:val="2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Specifically concerning Dr. Solomons' opinion that Mr. Hans did not suffer PTSD, Dr. Passey wrote: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Solomon's quoted the Oxford text as having written "PTSD occurs only after exceptionally stressful events, but not every response to such events is PTSD,...the necessary cause for PTSD is an exceptionally stressful event." An "exceptionally stressful event" is not defined by Dr. Solomon or by the textbook. It should be noted that "exceptionally stressful event" is not a qualifier or part of the criteria A for PTSD in Reference 4, which is considered to be the definitive textbook in diagnosing PTSD and other mental health disorders in North America. As such this term should not be used to exclude a diagnosis of PTSD. Dr. Solomon is clinically wrong to do so.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However, if one pursues this issue further then Reference 6 is helpful. In Reference 6 on page 148 notes: "...there is no bright line separating trauma that produces PTSD from trauma that does not." On page 149 it notes: "PTSD does not develop unless the individual is exposed to events that are "intensely stressful," constituting "watershed events" in the life of the patient." The vast majority of experienced trauma therapists interpret the person's perception of the event as forming part of that definition and the actual possible events (although it is not an exhaustive list) are listed in references 3 &amp; 4.</w:t>
      </w:r>
    </w:p>
    <w:p>
      <w:pPr>
        <w:numPr>
          <w:numId w:val="2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Passey also wrote: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there is a clear statement in DSM V that "threated death" or "threatened serious injury" is part of the trauma incident criteria. By any definition, losing control of a truck and trailer at highway speeds constitutes a situation wherein a person's life is certainly threatened and certainly it could result in serious bodily injury depending on the impact and outcome of the accident ...It was very fortunate that Mr. Hans was not killed or seriously physically injured but he was very afraid during the MVA (as evidenced by his screaming and by his provided history) that he would be killed or injured. DSM V makes it clear that it does not matter how the traumatic event actually turned out, what is important is only that there is a real and possible threat of death or serious injury as perceived by the exposed person.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Hans definitely perceived that he could die or be badly injured in this accident as the event was unfolding. It was also obviously a "watershed event" in his life that ultimately changed his brain function, his health, his will to live (including suicide attempts), and his ability to function normally. His life has not been healthy since this MVA. As such, the January 31, 2009 MVA clearly fulfills criteria A1. Dr. Solomon is simply clinically wrong in his opinion and has no clinical research/literature to support his opinion that this MVA did not fulfill criteria A1.</w:t>
      </w:r>
    </w:p>
    <w:p>
      <w:pPr>
        <w:numPr>
          <w:numId w:val="2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Solomons acknowledged in cross-examination that his theory that criteria A of the DSM V is based only on an objective analysis is not one for which he has any academic support. It is in essence his theory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464</w:t>
      </w:r>
      <w:r>
        <w:rPr>
          <w:rFonts w:ascii="arial" w:eastAsia="arial" w:hAnsi="arial" w:cs="arial"/>
          <w:color w:val="000000"/>
          <w:sz w:val="20"/>
          <w:lang w:val="en-US" w:eastAsia="en-US" w:bidi="ar-SA"/>
        </w:rPr>
        <w:t>  The fact that Dr. Solomons was prepared to advance an unrecognized theory, entirely at odds with the evidence of other well-qualified experts, along with my concerns with respect to Dr. Solomons' lack of impartiality as an expert witness, convinces me that I should give no weight to his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465</w:t>
      </w:r>
      <w:r>
        <w:rPr>
          <w:rFonts w:ascii="arial" w:eastAsia="arial" w:hAnsi="arial" w:cs="arial"/>
          <w:color w:val="000000"/>
          <w:sz w:val="20"/>
          <w:lang w:val="en-US" w:eastAsia="en-US" w:bidi="ar-SA"/>
        </w:rPr>
        <w:t>  I find that the plaintiffs have proven that the collision caused Mr. Hans' PTSD from which he has suffered since the collision, from which he still suffers, and will likely suffer for the rest of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466</w:t>
      </w:r>
      <w:r>
        <w:rPr>
          <w:rFonts w:ascii="arial" w:eastAsia="arial" w:hAnsi="arial" w:cs="arial"/>
          <w:color w:val="000000"/>
          <w:sz w:val="20"/>
          <w:lang w:val="en-US" w:eastAsia="en-US" w:bidi="ar-SA"/>
        </w:rPr>
        <w:t>  In that regard, I accept Dr. Passey's opinion which is consistent with those of the other experts whose evidence I find reliable that:</w:t>
      </w:r>
      <w:r>
        <w:rPr>
          <w:rFonts w:ascii="arial" w:eastAsia="arial" w:hAnsi="arial" w:cs="arial"/>
          <w:sz w:val="20"/>
          <w:lang w:val="en-US" w:eastAsia="en-US" w:bidi="ar-SA"/>
        </w:rPr>
        <w:cr/>
      </w:r>
    </w:p>
    <w:p>
      <w:pPr>
        <w:numPr>
          <w:numId w:val="2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Hans' prognosis is very poor for a full recovery or even significant improvement from his PTSD and MDD. At the time of my interview he has undergone fairly aggressive pharmacotherapy since his initial hospitalization in 2011with little improvement. He continues to have PTSD and MDD symptoms and he continues to have suicidal ideation. He remains a chronic risk for death by suicide. He has not had any real focused therapy for his PTSD to date other than some attempted cognitive behavioural therapy by a psychologist (neither he or his wife could remember her name) earlier this year. This was unsuccessful because of the severity of his cognitive decline due to the PTSD and MDD since the 31 January 2009 MVA.</w:t>
      </w:r>
    </w:p>
    <w:p>
      <w:pPr>
        <w:numPr>
          <w:numId w:val="2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most likely that Mr. Hans will continue to have significant PTSD and MDD symptoms for the rest of his life because of the duration of his symptoms, their severity, and his lack of response to his treatment to date. Even if he did have some level of significant improvement it is most likely that he will remain susceptible to further exacerbations of his psychiatric symptoms for the rest of his life. This is based on the research evidence (as presented above) and my clinical experience (treatment that can last for years especially for the PTSD) when symptoms have lasted this long.</w:t>
      </w:r>
    </w:p>
    <w:p>
      <w:pPr>
        <w:numPr>
          <w:numId w:val="2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Hans' current severe level of dysfunction will probably continue to be present and vary somewhat according to his overall stress level e.g. finances, relationships, physical health, etc., exposure to major triggers (reminders of the MVA), outcome of the lawsuit, access to appropriate therapy, and ability to cognitively engage in psychotherapy. Even with further treatment it is more likely than not that he will have a significant degree of a restricted lifestyle, diminished ability to enjoy life, and an inability for any type of competitive employability or vocational upgrading for the foreseeable future due to his cognitive dysfunction due to the psychiatric diagnoses.</w:t>
      </w:r>
    </w:p>
    <w:p>
      <w:pPr>
        <w:numPr>
          <w:numId w:val="2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there is some level of improvement with PTSD specific treatment, Mr. Hans will still remain at risk to have a full exacerbation of his psychiatric diagnoses because of symptoms worsening from stress or triggers. Even if he did get significant improvement of symptoms from treatment, any attempt to be employed, upgrading of education, or vocational training could potentially be disrupted or even fail due to exacerbation of his symptoms.</w:t>
      </w:r>
    </w:p>
    <w:p>
      <w:pPr>
        <w:numPr>
          <w:numId w:val="2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his PTSD diagnosis, Mr. Hans will also have an increased risk of developing another psychiatric diagnosis (Reference 5) such as other anxiety disorders, or substance abuse etc. in the future, which would also have a negative impact on his personal and professional life. The severity of his PTSD and MDD symptoms will cause him to be at significant risk of suicide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467</w:t>
      </w:r>
      <w:r>
        <w:rPr>
          <w:rFonts w:ascii="arial" w:eastAsia="arial" w:hAnsi="arial" w:cs="arial"/>
          <w:color w:val="000000"/>
          <w:sz w:val="20"/>
          <w:lang w:val="en-US" w:eastAsia="en-US" w:bidi="ar-SA"/>
        </w:rPr>
        <w:t>  I find that Mr. Hans' psychiatric suffering has had profoundly debilitating effects on all aspects of his life for the last seven years and severely impacts the assessment of the damages and losses for which he is entitled to compensation for both past and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468</w:t>
      </w:r>
      <w:r>
        <w:rPr>
          <w:rFonts w:ascii="arial" w:eastAsia="arial" w:hAnsi="arial" w:cs="arial"/>
          <w:color w:val="000000"/>
          <w:sz w:val="20"/>
          <w:lang w:val="en-US" w:eastAsia="en-US" w:bidi="ar-SA"/>
        </w:rPr>
        <w:t>  My discussion of the appropriate award under each head of damages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 Non-Pecuniary Damages for Pain and Suffering and Loss of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469</w:t>
      </w:r>
      <w:r>
        <w:rPr>
          <w:rFonts w:ascii="arial" w:eastAsia="arial" w:hAnsi="arial" w:cs="arial"/>
          <w:color w:val="000000"/>
          <w:sz w:val="20"/>
          <w:lang w:val="en-US" w:eastAsia="en-US" w:bidi="ar-SA"/>
        </w:rPr>
        <w:t>  Non-pecuniary damages are intended to, insofar as any monetary award can, compensate an injured person for their pain and suffering and loss of enjoyment of life caused by the fault of a tortfeasor.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at para. 46, Kirkpatrick J.A. set out a useful, non-exhaustive list of factors that offer guidance as to what may influence an award of non-pecuniary damages. The list includes the:</w:t>
      </w:r>
      <w:r>
        <w:rPr>
          <w:rFonts w:ascii="arial" w:eastAsia="arial" w:hAnsi="arial" w:cs="arial"/>
          <w:sz w:val="20"/>
          <w:lang w:val="en-US" w:eastAsia="en-US" w:bidi="ar-SA"/>
        </w:rPr>
        <w:cr/>
      </w:r>
    </w:p>
    <w:p>
      <w:pPr>
        <w:numPr>
          <w:numId w:val="2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2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2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2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2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2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471</w:t>
      </w:r>
      <w:r>
        <w:rPr>
          <w:rFonts w:ascii="arial" w:eastAsia="arial" w:hAnsi="arial" w:cs="arial"/>
          <w:color w:val="000000"/>
          <w:sz w:val="20"/>
          <w:lang w:val="en-US" w:eastAsia="en-US" w:bidi="ar-SA"/>
        </w:rPr>
        <w:t>  Kirkpatrick J.A.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2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2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2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2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58"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472</w:t>
      </w:r>
      <w:r>
        <w:rPr>
          <w:rFonts w:ascii="arial" w:eastAsia="arial" w:hAnsi="arial" w:cs="arial"/>
          <w:color w:val="000000"/>
          <w:sz w:val="20"/>
          <w:lang w:val="en-US" w:eastAsia="en-US" w:bidi="ar-SA"/>
        </w:rPr>
        <w:t xml:space="preserve">  With those considerations in mind I will now assess the compensation to which I consider Mr. and Mrs. Hans are entitled for their pain, suffering, and loss of enjoyment of life, for the injuries they suffered as a consequence of Volvo's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7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Mrs. Hans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473</w:t>
      </w:r>
      <w:r>
        <w:rPr>
          <w:rFonts w:ascii="arial" w:eastAsia="arial" w:hAnsi="arial" w:cs="arial"/>
          <w:color w:val="000000"/>
          <w:sz w:val="20"/>
          <w:lang w:val="en-US" w:eastAsia="en-US" w:bidi="ar-SA"/>
        </w:rPr>
        <w:t>  The compensation to which Mrs. Hans is entitled under this head of damages is modest. The physical injuries she suffered were fairly minor and there is no medical evidence that they have had any seriously debilitating effect on her life. I do, however, also note that Mrs. Hans is not one to complain.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474</w:t>
      </w:r>
      <w:r>
        <w:rPr>
          <w:rFonts w:ascii="arial" w:eastAsia="arial" w:hAnsi="arial" w:cs="arial"/>
          <w:color w:val="000000"/>
          <w:sz w:val="20"/>
          <w:lang w:val="en-US" w:eastAsia="en-US" w:bidi="ar-SA"/>
        </w:rPr>
        <w:t>  I accept Mrs. Hans' evidence that she continued to suffer from shoulder and neck pain as well as the effects of a minor concussion for 3 or 4 months after the collision. She also testified that all of her injuries were fully resolved within about a year. I also accept that she was afraid of driving for a short while, but in that regard note that notwithstanding her physical complaints and some fear of driving she did unsuccessfully attempt to find work with Yanke in early March of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475</w:t>
      </w:r>
      <w:r>
        <w:rPr>
          <w:rFonts w:ascii="arial" w:eastAsia="arial" w:hAnsi="arial" w:cs="arial"/>
          <w:color w:val="000000"/>
          <w:sz w:val="20"/>
          <w:lang w:val="en-US" w:eastAsia="en-US" w:bidi="ar-SA"/>
        </w:rPr>
        <w:t>  I am also satisfied that had work been available to Mrs. Hans she would have worked through her physical complaints and overcome her transitory fear of driving. She would have done so because that is how she approaches all difficulties she faces -- with perseverance, determination and little regard for 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476</w:t>
      </w:r>
      <w:r>
        <w:rPr>
          <w:rFonts w:ascii="arial" w:eastAsia="arial" w:hAnsi="arial" w:cs="arial"/>
          <w:color w:val="000000"/>
          <w:sz w:val="20"/>
          <w:lang w:val="en-US" w:eastAsia="en-US" w:bidi="ar-SA"/>
        </w:rPr>
        <w:t>  In that regard I further note that in the fall of 2009 Mrs. Hans did begin to drive commercially for Mr. Hans' brother and did so not only because of financial need but as part of her attempt to "get Mr. Hans out of his funk".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477</w:t>
      </w:r>
      <w:r>
        <w:rPr>
          <w:rFonts w:ascii="arial" w:eastAsia="arial" w:hAnsi="arial" w:cs="arial"/>
          <w:color w:val="000000"/>
          <w:sz w:val="20"/>
          <w:lang w:val="en-US" w:eastAsia="en-US" w:bidi="ar-SA"/>
        </w:rPr>
        <w:t>  Care must, however, be taken not to compensate Mrs. Hans under this head of damages for her efforts relating to Mr. Hans' injuries or her difficulties with Yanke and Volvo Financial Services over the repair and disposition of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478</w:t>
      </w:r>
      <w:r>
        <w:rPr>
          <w:rFonts w:ascii="arial" w:eastAsia="arial" w:hAnsi="arial" w:cs="arial"/>
          <w:color w:val="000000"/>
          <w:sz w:val="20"/>
          <w:lang w:val="en-US" w:eastAsia="en-US" w:bidi="ar-SA"/>
        </w:rPr>
        <w:t xml:space="preserve">  In the circumstances I am satisfied that an award of $15,000 will appropriately compensate Mrs. Hans for her non-pecuniary losses caused by Volvo's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7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Mr. Hans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479</w:t>
      </w:r>
      <w:r>
        <w:rPr>
          <w:rFonts w:ascii="arial" w:eastAsia="arial" w:hAnsi="arial" w:cs="arial"/>
          <w:color w:val="000000"/>
          <w:sz w:val="20"/>
          <w:lang w:val="en-US" w:eastAsia="en-US" w:bidi="ar-SA"/>
        </w:rPr>
        <w:t>  Mr. Hans' injuries were life altering in every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480</w:t>
      </w:r>
      <w:r>
        <w:rPr>
          <w:rFonts w:ascii="arial" w:eastAsia="arial" w:hAnsi="arial" w:cs="arial"/>
          <w:color w:val="000000"/>
          <w:sz w:val="20"/>
          <w:lang w:val="en-US" w:eastAsia="en-US" w:bidi="ar-SA"/>
        </w:rPr>
        <w:t>  The evidence of not only Mrs. Hans but also that of Mr. Hans' daughter and his many friends who testified establishes that before the collision Mr. Hans was a gregarious, fun-loving, competitive, hard-working, ambitious and financially driven young man with boundless energy.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481</w:t>
      </w:r>
      <w:r>
        <w:rPr>
          <w:rFonts w:ascii="arial" w:eastAsia="arial" w:hAnsi="arial" w:cs="arial"/>
          <w:color w:val="000000"/>
          <w:sz w:val="20"/>
          <w:lang w:val="en-US" w:eastAsia="en-US" w:bidi="ar-SA"/>
        </w:rPr>
        <w:t>  Although he had gained weight as a truck driver he was still a man with great strength and athletic ability resulting in a prodigious capacity for hard labour which he immensely enjoyed. His one-time employer Ron Collick described Mr. Hans as "a jolly giant".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482</w:t>
      </w:r>
      <w:r>
        <w:rPr>
          <w:rFonts w:ascii="arial" w:eastAsia="arial" w:hAnsi="arial" w:cs="arial"/>
          <w:color w:val="000000"/>
          <w:sz w:val="20"/>
          <w:lang w:val="en-US" w:eastAsia="en-US" w:bidi="ar-SA"/>
        </w:rPr>
        <w:t>  Mr. Hans lived a socially and emotionally rewarding life often centered on work but also often involving his family, his friends of many years and his love of travel which he shared with Mrs. Hans and their children both in North America and in India.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483</w:t>
      </w:r>
      <w:r>
        <w:rPr>
          <w:rFonts w:ascii="arial" w:eastAsia="arial" w:hAnsi="arial" w:cs="arial"/>
          <w:color w:val="000000"/>
          <w:sz w:val="20"/>
          <w:lang w:val="en-US" w:eastAsia="en-US" w:bidi="ar-SA"/>
        </w:rPr>
        <w:t>  Mr. Hans shared a loving partnership with his wife as her husband, business partner, and as a father to their children. He was a full participant with Mrs. Hans in all aspects of their children's lives and in household responsibilities.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484</w:t>
      </w:r>
      <w:r>
        <w:rPr>
          <w:rFonts w:ascii="arial" w:eastAsia="arial" w:hAnsi="arial" w:cs="arial"/>
          <w:color w:val="000000"/>
          <w:sz w:val="20"/>
          <w:lang w:val="en-US" w:eastAsia="en-US" w:bidi="ar-SA"/>
        </w:rPr>
        <w:t>  Mr. Hans was a proud man with a taste for good clothing who cared for his appearance. Socially he was often the center of attention -- while dancing or even while playing with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485</w:t>
      </w:r>
      <w:r>
        <w:rPr>
          <w:rFonts w:ascii="arial" w:eastAsia="arial" w:hAnsi="arial" w:cs="arial"/>
          <w:color w:val="000000"/>
          <w:sz w:val="20"/>
          <w:lang w:val="en-US" w:eastAsia="en-US" w:bidi="ar-SA"/>
        </w:rPr>
        <w:t>  Over the seven years since the collision all of that has changed drastically because of PTSD accompanied by Mr. Hans' suffering from a Major Depressive Disorder that arose as a consequence of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486</w:t>
      </w:r>
      <w:r>
        <w:rPr>
          <w:rFonts w:ascii="arial" w:eastAsia="arial" w:hAnsi="arial" w:cs="arial"/>
          <w:color w:val="000000"/>
          <w:sz w:val="20"/>
          <w:lang w:val="en-US" w:eastAsia="en-US" w:bidi="ar-SA"/>
        </w:rPr>
        <w:t>  Mr. Hans is now emotionally and socially a shell of his former 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487</w:t>
      </w:r>
      <w:r>
        <w:rPr>
          <w:rFonts w:ascii="arial" w:eastAsia="arial" w:hAnsi="arial" w:cs="arial"/>
          <w:color w:val="000000"/>
          <w:sz w:val="20"/>
          <w:lang w:val="en-US" w:eastAsia="en-US" w:bidi="ar-SA"/>
        </w:rPr>
        <w:t>  His gregariousness has been replaced by isolation and withdrawal from contact with friends and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488</w:t>
      </w:r>
      <w:r>
        <w:rPr>
          <w:rFonts w:ascii="arial" w:eastAsia="arial" w:hAnsi="arial" w:cs="arial"/>
          <w:color w:val="000000"/>
          <w:sz w:val="20"/>
          <w:lang w:val="en-US" w:eastAsia="en-US" w:bidi="ar-SA"/>
        </w:rPr>
        <w:t>  His love of fun has been replaced by depression, agitation and volatile bursts of 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489</w:t>
      </w:r>
      <w:r>
        <w:rPr>
          <w:rFonts w:ascii="arial" w:eastAsia="arial" w:hAnsi="arial" w:cs="arial"/>
          <w:color w:val="000000"/>
          <w:sz w:val="20"/>
          <w:lang w:val="en-US" w:eastAsia="en-US" w:bidi="ar-SA"/>
        </w:rPr>
        <w:t>  Competitiveness has been replaced by lethargy.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490</w:t>
      </w:r>
      <w:r>
        <w:rPr>
          <w:rFonts w:ascii="arial" w:eastAsia="arial" w:hAnsi="arial" w:cs="arial"/>
          <w:color w:val="000000"/>
          <w:sz w:val="20"/>
          <w:lang w:val="en-US" w:eastAsia="en-US" w:bidi="ar-SA"/>
        </w:rPr>
        <w:t>  Ambition has turned to resentment and the blaming of those he believes have ruined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491</w:t>
      </w:r>
      <w:r>
        <w:rPr>
          <w:rFonts w:ascii="arial" w:eastAsia="arial" w:hAnsi="arial" w:cs="arial"/>
          <w:color w:val="000000"/>
          <w:sz w:val="20"/>
          <w:lang w:val="en-US" w:eastAsia="en-US" w:bidi="ar-SA"/>
        </w:rPr>
        <w:t>  Where he once ran and played sports he now walks aimlessly. Dr. Thinda reported that Mr. Hans has a slow gait due to psychomotor retardation or the effects of the medication he is prescribed for his psychiatric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492</w:t>
      </w:r>
      <w:r>
        <w:rPr>
          <w:rFonts w:ascii="arial" w:eastAsia="arial" w:hAnsi="arial" w:cs="arial"/>
          <w:color w:val="000000"/>
          <w:sz w:val="20"/>
          <w:lang w:val="en-US" w:eastAsia="en-US" w:bidi="ar-SA"/>
        </w:rPr>
        <w:t>  Mr. Hans' capacity for and love of hard work have been replaced by indolence and despair.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493</w:t>
      </w:r>
      <w:r>
        <w:rPr>
          <w:rFonts w:ascii="arial" w:eastAsia="arial" w:hAnsi="arial" w:cs="arial"/>
          <w:color w:val="000000"/>
          <w:sz w:val="20"/>
          <w:lang w:val="en-US" w:eastAsia="en-US" w:bidi="ar-SA"/>
        </w:rPr>
        <w:t>  He neglects his personal hygiene and cares little for his appearance. He is irritable and has significant problems with concentration and memory. He suffers from nightmares, sleeplessness and bad eating habits.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494</w:t>
      </w:r>
      <w:r>
        <w:rPr>
          <w:rFonts w:ascii="arial" w:eastAsia="arial" w:hAnsi="arial" w:cs="arial"/>
          <w:color w:val="000000"/>
          <w:sz w:val="20"/>
          <w:lang w:val="en-US" w:eastAsia="en-US" w:bidi="ar-SA"/>
        </w:rPr>
        <w:t>  He has little interest in his children and must be coaxed to attend their activities. When he does, he is often uncomfortable, disinterested or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495</w:t>
      </w:r>
      <w:r>
        <w:rPr>
          <w:rFonts w:ascii="arial" w:eastAsia="arial" w:hAnsi="arial" w:cs="arial"/>
          <w:color w:val="000000"/>
          <w:sz w:val="20"/>
          <w:lang w:val="en-US" w:eastAsia="en-US" w:bidi="ar-SA"/>
        </w:rPr>
        <w:t>  Mr. Hans is no longer active in the partnership that he and Mrs. Hans forged during the years of their marriage before the collision. He does not share in responsibility or workload but rather requires supervision and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496</w:t>
      </w:r>
      <w:r>
        <w:rPr>
          <w:rFonts w:ascii="arial" w:eastAsia="arial" w:hAnsi="arial" w:cs="arial"/>
          <w:color w:val="000000"/>
          <w:sz w:val="20"/>
          <w:lang w:val="en-US" w:eastAsia="en-US" w:bidi="ar-SA"/>
        </w:rPr>
        <w:t>  He has attempted suicide three times each of which has seen him hospitalized for extended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497</w:t>
      </w:r>
      <w:r>
        <w:rPr>
          <w:rFonts w:ascii="arial" w:eastAsia="arial" w:hAnsi="arial" w:cs="arial"/>
          <w:color w:val="000000"/>
          <w:sz w:val="20"/>
          <w:lang w:val="en-US" w:eastAsia="en-US" w:bidi="ar-SA"/>
        </w:rPr>
        <w:t>  His life is now ruled by pharmaceutical intervention to attempt to overcome the symptoms of PTSD and Major Depression which dominate his existence. Without that medication his existence is further threatened.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498</w:t>
      </w:r>
      <w:r>
        <w:rPr>
          <w:rFonts w:ascii="arial" w:eastAsia="arial" w:hAnsi="arial" w:cs="arial"/>
          <w:color w:val="000000"/>
          <w:sz w:val="20"/>
          <w:lang w:val="en-US" w:eastAsia="en-US" w:bidi="ar-SA"/>
        </w:rPr>
        <w:t>  Mr. Hans faces a future of continued pharmaceutical and psychiatric intervention as well as close supervision as his treating medical professionals, family and friends attempt to preclude the active manifestation of his suicidal ideation.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499</w:t>
      </w:r>
      <w:r>
        <w:rPr>
          <w:rFonts w:ascii="arial" w:eastAsia="arial" w:hAnsi="arial" w:cs="arial"/>
          <w:color w:val="000000"/>
          <w:sz w:val="20"/>
          <w:lang w:val="en-US" w:eastAsia="en-US" w:bidi="ar-SA"/>
        </w:rPr>
        <w:t>  While it is a positive sign that Mr. Hans has not attempted suicide for more than 5 years since his last attempt, that must be measured against the medical intervention and supervision that has been necessary to attain that modest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500</w:t>
      </w:r>
      <w:r>
        <w:rPr>
          <w:rFonts w:ascii="arial" w:eastAsia="arial" w:hAnsi="arial" w:cs="arial"/>
          <w:color w:val="000000"/>
          <w:sz w:val="20"/>
          <w:lang w:val="en-US" w:eastAsia="en-US" w:bidi="ar-SA"/>
        </w:rPr>
        <w:t>  Mr. Hans' self-loathing and despair were starkly evidenced by his testimony at trial as well as by his anger and resentment at those whom he holds responsible for the loss of his capacity to care and provide for his family and enjoy life as he once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501</w:t>
      </w:r>
      <w:r>
        <w:rPr>
          <w:rFonts w:ascii="arial" w:eastAsia="arial" w:hAnsi="arial" w:cs="arial"/>
          <w:color w:val="000000"/>
          <w:sz w:val="20"/>
          <w:lang w:val="en-US" w:eastAsia="en-US" w:bidi="ar-SA"/>
        </w:rPr>
        <w:t>  The totality of the medical evidence establishes that there is little prospect that Mr. Hans will ever recover socially, emotionally or mentally from the effects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502</w:t>
      </w:r>
      <w:r>
        <w:rPr>
          <w:rFonts w:ascii="arial" w:eastAsia="arial" w:hAnsi="arial" w:cs="arial"/>
          <w:color w:val="000000"/>
          <w:sz w:val="20"/>
          <w:lang w:val="en-US" w:eastAsia="en-US" w:bidi="ar-SA"/>
        </w:rPr>
        <w:t>  The prognosis for real progress after almost seven years of the debilitating effects of PTSD and Major Depressive Disorder from which Mr. Hans suffers is guarded at best and bleak at worst.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503</w:t>
      </w:r>
      <w:r>
        <w:rPr>
          <w:rFonts w:ascii="arial" w:eastAsia="arial" w:hAnsi="arial" w:cs="arial"/>
          <w:color w:val="000000"/>
          <w:sz w:val="20"/>
          <w:lang w:val="en-US" w:eastAsia="en-US" w:bidi="ar-SA"/>
        </w:rPr>
        <w:t>  On his behalf, Mr. Hans' counsel has submitted that he should be compensated for his non-pecuniary losses based upon a finding that his injuries are "catastrophic or near catastrophic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504</w:t>
      </w:r>
      <w:r>
        <w:rPr>
          <w:rFonts w:ascii="arial" w:eastAsia="arial" w:hAnsi="arial" w:cs="arial"/>
          <w:color w:val="000000"/>
          <w:sz w:val="20"/>
          <w:lang w:val="en-US" w:eastAsia="en-US" w:bidi="ar-SA"/>
        </w:rPr>
        <w:t>  Based upon that analysis and authorities that I will later discuss Mr. Mackoff submitted that an appropriate award for Mr. Hans' pain and suffering and loss of enjoyment of life would be in the range of $300,000.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505</w:t>
      </w:r>
      <w:r>
        <w:rPr>
          <w:rFonts w:ascii="arial" w:eastAsia="arial" w:hAnsi="arial" w:cs="arial"/>
          <w:color w:val="000000"/>
          <w:sz w:val="20"/>
          <w:lang w:val="en-US" w:eastAsia="en-US" w:bidi="ar-SA"/>
        </w:rPr>
        <w:t>  On the other hand, counsel for Volvo submitted that: the video surveillance evidence "which shows Mr. Hans functioning in a normal manner"; Mr. Hans' ability to provide medical professionals with "an extremely detailed account" of his personal history; and, his testimony in court which "although distraught and angry at times was remarkably clear headed" do not support the propositions advanced on behalf of Mr. Hans.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506</w:t>
      </w:r>
      <w:r>
        <w:rPr>
          <w:rFonts w:ascii="arial" w:eastAsia="arial" w:hAnsi="arial" w:cs="arial"/>
          <w:color w:val="000000"/>
          <w:sz w:val="20"/>
          <w:lang w:val="en-US" w:eastAsia="en-US" w:bidi="ar-SA"/>
        </w:rPr>
        <w:t>  Volvo did, however, also submit that "if the Court is satisfied that Mr. Hans' injuries resulted from the Accident the appropriate award [for non-pecuniary damages] is in the range of $130,000 (the high end for damages in regard to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507</w:t>
      </w:r>
      <w:r>
        <w:rPr>
          <w:rFonts w:ascii="arial" w:eastAsia="arial" w:hAnsi="arial" w:cs="arial"/>
          <w:color w:val="000000"/>
          <w:sz w:val="20"/>
          <w:lang w:val="en-US" w:eastAsia="en-US" w:bidi="ar-SA"/>
        </w:rPr>
        <w:t xml:space="preserve">  In making that submission counsel for Volvo referred me to the decisions of this court in </w:t>
      </w:r>
      <w:r>
        <w:rPr>
          <w:rFonts w:ascii="arial" w:eastAsia="arial" w:hAnsi="arial" w:cs="arial"/>
          <w:i/>
          <w:color w:val="000000"/>
          <w:sz w:val="20"/>
          <w:lang w:val="en-US" w:eastAsia="en-US" w:bidi="ar-SA"/>
        </w:rPr>
        <w:t>Morena v. Dhillon</w:t>
      </w:r>
      <w:r>
        <w:rPr>
          <w:rFonts w:ascii="arial" w:eastAsia="arial" w:hAnsi="arial" w:cs="arial"/>
          <w:color w:val="000000"/>
          <w:sz w:val="20"/>
          <w:lang w:val="en-US" w:eastAsia="en-US" w:bidi="ar-SA"/>
        </w:rPr>
        <w:t xml:space="preserve">, </w:t>
      </w:r>
      <w:hyperlink r:id="rId1199" w:history="1">
        <w:r>
          <w:rPr>
            <w:rFonts w:ascii="arial" w:eastAsia="arial" w:hAnsi="arial" w:cs="arial"/>
            <w:i/>
            <w:color w:val="0077CC"/>
            <w:sz w:val="20"/>
            <w:u w:val="single"/>
            <w:shd w:val="clear" w:color="auto" w:fill="FFFFFF"/>
            <w:lang w:val="en-US" w:eastAsia="en-US" w:bidi="ar-SA"/>
          </w:rPr>
          <w:t>2014 BCSC 141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Morena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Kim v. Khaw</w:t>
      </w:r>
      <w:r>
        <w:rPr>
          <w:rFonts w:ascii="arial" w:eastAsia="arial" w:hAnsi="arial" w:cs="arial"/>
          <w:color w:val="000000"/>
          <w:sz w:val="20"/>
          <w:lang w:val="en-US" w:eastAsia="en-US" w:bidi="ar-SA"/>
        </w:rPr>
        <w:t xml:space="preserve">, </w:t>
      </w:r>
      <w:hyperlink r:id="rId1200" w:history="1">
        <w:r>
          <w:rPr>
            <w:rFonts w:ascii="arial" w:eastAsia="arial" w:hAnsi="arial" w:cs="arial"/>
            <w:i/>
            <w:color w:val="0077CC"/>
            <w:sz w:val="20"/>
            <w:u w:val="single"/>
            <w:shd w:val="clear" w:color="auto" w:fill="FFFFFF"/>
            <w:lang w:val="en-US" w:eastAsia="en-US" w:bidi="ar-SA"/>
          </w:rPr>
          <w:t>2014 BCSC 2221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Kim</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Morena</w:t>
      </w:r>
      <w:r>
        <w:rPr>
          <w:rFonts w:ascii="arial" w:eastAsia="arial" w:hAnsi="arial" w:cs="arial"/>
          <w:color w:val="000000"/>
          <w:sz w:val="20"/>
          <w:lang w:val="en-US" w:eastAsia="en-US" w:bidi="ar-SA"/>
        </w:rPr>
        <w:t>, a 47-year-old married woman with two children was injured in a motor vehicle collision when she was 43 years old. She suffered from pain which was severe at times and required medication, depression which was severe and seemed to be "entrenched" as well as PTSD, sleep disruption and potentially also from heart palpitations. She sought non-pecuniary damages from $130,000 to $150,000 and was awarded $130,000 by Arnold-Bailey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Kim</w:t>
      </w:r>
      <w:r>
        <w:rPr>
          <w:rFonts w:ascii="arial" w:eastAsia="arial" w:hAnsi="arial" w:cs="arial"/>
          <w:color w:val="000000"/>
          <w:sz w:val="20"/>
          <w:lang w:val="en-US" w:eastAsia="en-US" w:bidi="ar-SA"/>
        </w:rPr>
        <w:t>, a 54-year-old man suffered physical and psychological injuries in a motor vehicle collision when he was 49 years old. His physical injuries were not severe. His psychological injuries included PTSD that disabled him from work for one year and had "a profoundly negative impact on his family life". He also continued to suffer emotionally. Sharma J. awarded Mr. Kim non-pecuniary damages of $130,000 together with $50,000 for his past income loss. She made no award for future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510</w:t>
      </w:r>
      <w:r>
        <w:rPr>
          <w:rFonts w:ascii="arial" w:eastAsia="arial" w:hAnsi="arial" w:cs="arial"/>
          <w:color w:val="000000"/>
          <w:sz w:val="20"/>
          <w:lang w:val="en-US" w:eastAsia="en-US" w:bidi="ar-SA"/>
        </w:rPr>
        <w:t>  I do not accept Volvo's submission that Mr. Hans' injuries and their disastrous effect on his life are similar to those suffered by Mr. Kim which, although serious, were not as totally debilitating and long-lasting as the psychological injuries endured by Mr. Hans. Also, while the effect of the injuries on Mr. Kim's emotional state had a negative impact on his family life, his suffering did not trigger suicide attempts and extensive periods of hospitalization and did not prevent him from becoming employable.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511</w:t>
      </w:r>
      <w:r>
        <w:rPr>
          <w:rFonts w:ascii="arial" w:eastAsia="arial" w:hAnsi="arial" w:cs="arial"/>
          <w:color w:val="000000"/>
          <w:sz w:val="20"/>
          <w:lang w:val="en-US" w:eastAsia="en-US" w:bidi="ar-SA"/>
        </w:rPr>
        <w:t>  Also, while Mrs. Morena's psychological suffering was more debilitating than that of Mr. Kim she was not rendered as completely disabled either emotionally or psychologically as Mr. Hans has been by the PTSD from which he suffers and will likely suffer for the rest of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512</w:t>
      </w:r>
      <w:r>
        <w:rPr>
          <w:rFonts w:ascii="arial" w:eastAsia="arial" w:hAnsi="arial" w:cs="arial"/>
          <w:color w:val="000000"/>
          <w:sz w:val="20"/>
          <w:lang w:val="en-US" w:eastAsia="en-US" w:bidi="ar-SA"/>
        </w:rPr>
        <w:t xml:space="preserve">  I also do not agree with Volvo's characterization of the awards in </w:t>
      </w:r>
      <w:r>
        <w:rPr>
          <w:rFonts w:ascii="arial" w:eastAsia="arial" w:hAnsi="arial" w:cs="arial"/>
          <w:i/>
          <w:color w:val="000000"/>
          <w:sz w:val="20"/>
          <w:lang w:val="en-US" w:eastAsia="en-US" w:bidi="ar-SA"/>
        </w:rPr>
        <w:t>Morena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Kim</w:t>
      </w:r>
      <w:r>
        <w:rPr>
          <w:rFonts w:ascii="arial" w:eastAsia="arial" w:hAnsi="arial" w:cs="arial"/>
          <w:color w:val="000000"/>
          <w:sz w:val="20"/>
          <w:lang w:val="en-US" w:eastAsia="en-US" w:bidi="ar-SA"/>
        </w:rPr>
        <w:t xml:space="preserve"> as representing the "high end of damages for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Felix v. Hearne</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2011 BCSC 1236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Felix</w:t>
      </w:r>
      <w:r>
        <w:rPr>
          <w:rFonts w:ascii="arial" w:eastAsia="arial" w:hAnsi="arial" w:cs="arial"/>
          <w:color w:val="000000"/>
          <w:sz w:val="20"/>
          <w:lang w:val="en-US" w:eastAsia="en-US" w:bidi="ar-SA"/>
        </w:rPr>
        <w:t>], Grist J. awarded a 44-year-old mother of two non-pecuniary damages of $200,000. She suffered a concussion and other physical injuries in a roll-over collision which caused severe headaches and loss of balance. She was diagnosed as suffering from PTSD and was no longer able to lead an active sporting life as a soccer player. Ms. Felix became reliant on her daughters to assist in keeping her home and was treated with anti-depressant medication as well as medication for sleeplessness. She had become reclusive and short-tempered and had withdrawn from contact with family and friends. Grist J. found that after six years there was only a modest hope for improvement in her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514</w:t>
      </w:r>
      <w:r>
        <w:rPr>
          <w:rFonts w:ascii="arial" w:eastAsia="arial" w:hAnsi="arial" w:cs="arial"/>
          <w:color w:val="000000"/>
          <w:sz w:val="20"/>
          <w:lang w:val="en-US" w:eastAsia="en-US" w:bidi="ar-SA"/>
        </w:rPr>
        <w:t xml:space="preserve">  While the award in </w:t>
      </w:r>
      <w:r>
        <w:rPr>
          <w:rFonts w:ascii="arial" w:eastAsia="arial" w:hAnsi="arial" w:cs="arial"/>
          <w:i/>
          <w:color w:val="000000"/>
          <w:sz w:val="20"/>
          <w:lang w:val="en-US" w:eastAsia="en-US" w:bidi="ar-SA"/>
        </w:rPr>
        <w:t>Felix</w:t>
      </w:r>
      <w:r>
        <w:rPr>
          <w:rFonts w:ascii="arial" w:eastAsia="arial" w:hAnsi="arial" w:cs="arial"/>
          <w:color w:val="000000"/>
          <w:sz w:val="20"/>
          <w:lang w:val="en-US" w:eastAsia="en-US" w:bidi="ar-SA"/>
        </w:rPr>
        <w:t xml:space="preserve"> involved consideration of significant physical pain and suffering in combination with PTSD the decision is of assistance in this case to the extent that the plaintiff was seriously disabled by her injuries from returning to the active vocational, social, family and emotional life she had enjoyed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515</w:t>
      </w:r>
      <w:r>
        <w:rPr>
          <w:rFonts w:ascii="arial" w:eastAsia="arial" w:hAnsi="arial" w:cs="arial"/>
          <w:color w:val="000000"/>
          <w:sz w:val="20"/>
          <w:lang w:val="en-US" w:eastAsia="en-US" w:bidi="ar-SA"/>
        </w:rPr>
        <w:t>  In this case, Mr. Hans was only 33 years old when he began to suffer the debilitating all-consuming psychological injuries caused by the collission that have now endured for almost seven years and which at their worst have manifested in three failed suicide attempts. There is little chance that Mr. Hans will ever recover socially, emotionally or mentally from the effects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516</w:t>
      </w:r>
      <w:r>
        <w:rPr>
          <w:rFonts w:ascii="arial" w:eastAsia="arial" w:hAnsi="arial" w:cs="arial"/>
          <w:color w:val="000000"/>
          <w:sz w:val="20"/>
          <w:lang w:val="en-US" w:eastAsia="en-US" w:bidi="ar-SA"/>
        </w:rPr>
        <w:t>  I agree with Mr. Mackoff's characterization of Mr. Hans' injuries as being near catastrophic when viewed from the perspective of what his life was before the collision, has been since then, and will be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517</w:t>
      </w:r>
      <w:r>
        <w:rPr>
          <w:rFonts w:ascii="arial" w:eastAsia="arial" w:hAnsi="arial" w:cs="arial"/>
          <w:color w:val="000000"/>
          <w:sz w:val="20"/>
          <w:lang w:val="en-US" w:eastAsia="en-US" w:bidi="ar-SA"/>
        </w:rPr>
        <w:t>  The characterization of the nature of Mr. Hans' psychological injuries as similar to that of someone who suffers a serious brain injury is also supported by the evidence of Dr. Passey who described PTSD as a brain disorder based on medical research that has identified areas of the brain implicated in the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518</w:t>
      </w:r>
      <w:r>
        <w:rPr>
          <w:rFonts w:ascii="arial" w:eastAsia="arial" w:hAnsi="arial" w:cs="arial"/>
          <w:color w:val="000000"/>
          <w:sz w:val="20"/>
          <w:lang w:val="en-US" w:eastAsia="en-US" w:bidi="ar-SA"/>
        </w:rPr>
        <w:t>  In that regard, Dr. Passey wrote at paras. 89 to 91 of his report dated August 17, 2015:</w:t>
      </w:r>
      <w:r>
        <w:rPr>
          <w:rFonts w:ascii="arial" w:eastAsia="arial" w:hAnsi="arial" w:cs="arial"/>
          <w:sz w:val="20"/>
          <w:lang w:val="en-US" w:eastAsia="en-US" w:bidi="ar-SA"/>
        </w:rPr>
        <w:cr/>
      </w:r>
    </w:p>
    <w:p>
      <w:pPr>
        <w:numPr>
          <w:numId w:val="2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The diagnosis of PTSD is not a nebulous hypothetical idea of brain dysfunction. There is now ample research evidence (such as references 6-11) that establishes changes in the brain associated with exposure to traumatic stressors that result in the observed symptoms with PTSD.</w:t>
      </w:r>
    </w:p>
    <w:p>
      <w:pPr>
        <w:numPr>
          <w:numId w:val="2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there is not a simple biochemical test or imaging test that can confirm a diagnosis of PTSD, there are changes that correspond to observed or reported symptoms and as such separates PTSD from any other anxiety disorder or psychiatric diagnosis. For instance, research (such as references 6 &amp; 10) often reports a decrease in hippocampal volume, which is where some types of memory, are stored. This corresponds with difficulty in establishing new short-term memory. There is a decrease in compounds such as cortisol (helps turn off the stress response) and brain derived neurotrophic factor (helps form new brain pathways and is involved with learning) while noradrenalin level (helps to implement fight or flight reflex, stress reaction, and involved in establishing vivid traumatic memories) is increased (reference 10).</w:t>
      </w:r>
    </w:p>
    <w:p>
      <w:pPr>
        <w:numPr>
          <w:numId w:val="2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Imaging studies of the brain (references 6, 7, 8, 9, &amp; 10) show that Broca's area (the brain speech centre) and the left prefrontal cortex (executive brain function, turns off fight or flight reflex, makes characteristic decisions, focus attention, etc.) have diminished metabolism when a person with PTSD is triggered. This corresponds to clinical observations that, when triggered, PTSD patients may have difficulty talking about what is happening and/or may have difficulty making characteristic and well informed decisions or being able to concentrate. Simultaneously the amygdala has increased metabolism indicating a heightened fight or flight reflex and thus increased irritability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519</w:t>
      </w:r>
      <w:r>
        <w:rPr>
          <w:rFonts w:ascii="arial" w:eastAsia="arial" w:hAnsi="arial" w:cs="arial"/>
          <w:color w:val="000000"/>
          <w:sz w:val="20"/>
          <w:lang w:val="en-US" w:eastAsia="en-US" w:bidi="ar-SA"/>
        </w:rPr>
        <w:t>  In my opinion to differentiate an all-consuming debilitating psychological injury such as that suffered by Mr. Hans from the psychologically devastating injuries suffered by those diagnosed with a traumatic brain injury would be artificial.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520</w:t>
      </w:r>
      <w:r>
        <w:rPr>
          <w:rFonts w:ascii="arial" w:eastAsia="arial" w:hAnsi="arial" w:cs="arial"/>
          <w:color w:val="000000"/>
          <w:sz w:val="20"/>
          <w:lang w:val="en-US" w:eastAsia="en-US" w:bidi="ar-SA"/>
        </w:rPr>
        <w:t xml:space="preserve">  As observed by Walker J. in </w:t>
      </w:r>
      <w:r>
        <w:rPr>
          <w:rFonts w:ascii="arial" w:eastAsia="arial" w:hAnsi="arial" w:cs="arial"/>
          <w:i/>
          <w:color w:val="000000"/>
          <w:sz w:val="20"/>
          <w:lang w:val="en-US" w:eastAsia="en-US" w:bidi="ar-SA"/>
        </w:rPr>
        <w:t>Sangra (Guardian ad litem of) v. Lima</w:t>
      </w:r>
      <w:r>
        <w:rPr>
          <w:rFonts w:ascii="arial" w:eastAsia="arial" w:hAnsi="arial" w:cs="arial"/>
          <w:color w:val="000000"/>
          <w:sz w:val="20"/>
          <w:lang w:val="en-US" w:eastAsia="en-US" w:bidi="ar-SA"/>
        </w:rPr>
        <w:t xml:space="preserve">, </w:t>
      </w:r>
      <w:hyperlink r:id="rId1201" w:history="1">
        <w:r>
          <w:rPr>
            <w:rFonts w:ascii="arial" w:eastAsia="arial" w:hAnsi="arial" w:cs="arial"/>
            <w:i/>
            <w:color w:val="0077CC"/>
            <w:sz w:val="20"/>
            <w:u w:val="single"/>
            <w:shd w:val="clear" w:color="auto" w:fill="FFFFFF"/>
            <w:lang w:val="en-US" w:eastAsia="en-US" w:bidi="ar-SA"/>
          </w:rPr>
          <w:t>2015 BCSC 2350</w:t>
        </w:r>
      </w:hyperlink>
      <w:r>
        <w:rPr>
          <w:rFonts w:ascii="arial" w:eastAsia="arial" w:hAnsi="arial" w:cs="arial"/>
          <w:color w:val="000000"/>
          <w:sz w:val="20"/>
          <w:lang w:val="en-US" w:eastAsia="en-US" w:bidi="ar-SA"/>
        </w:rPr>
        <w:t xml:space="preserve"> at para. 94, and also applicable to the injuries suffered by Mr. Hans: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with the defence submission that Mr. Sangra's injuries are not "catastrophic" but only in the limited sense that he is not a quadriplegic or paraplegic, in a vegetative state, or requires around the clock care. Otherwise, his injuries are, on the whole, close to catastrophic.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521</w:t>
      </w:r>
      <w:r>
        <w:rPr>
          <w:rFonts w:ascii="arial" w:eastAsia="arial" w:hAnsi="arial" w:cs="arial"/>
          <w:color w:val="000000"/>
          <w:sz w:val="20"/>
          <w:lang w:val="en-US" w:eastAsia="en-US" w:bidi="ar-SA"/>
        </w:rPr>
        <w:t>  In concluding that Mr. Sangra, the 85-year-old plaintiff was entitled to an award of $315,000 for non-pecuniary damages Walker J. also made the following findings which, to some extent, resemble the effects of Mr. Hans' injuries on his inability to enjoy life as he once did. At para. 93 Walker J.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defence submission that Mr. Sangra is able to interact socially with his family and friends is, with respect, overly-simplistic and ignores the evidence that his interaction is significantly limited both in quality and duration, and that it bears no resemblance to his pre-collision activities and function. In terms of his social interaction, Mr. Sangra is withdrawn in groups of more than one, and in one-on-one conversations, his participation is limited, the discussions are quite basic, and he is unable to last more than 20 minutes before he becomes frustrated and often suffers a headache.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522</w:t>
      </w:r>
      <w:r>
        <w:rPr>
          <w:rFonts w:ascii="arial" w:eastAsia="arial" w:hAnsi="arial" w:cs="arial"/>
          <w:color w:val="000000"/>
          <w:sz w:val="20"/>
          <w:lang w:val="en-US" w:eastAsia="en-US" w:bidi="ar-SA"/>
        </w:rPr>
        <w:t xml:space="preserve">  Counsel for Mr. Hans also referred me to the decisions of this court in </w:t>
      </w:r>
      <w:r>
        <w:rPr>
          <w:rFonts w:ascii="arial" w:eastAsia="arial" w:hAnsi="arial" w:cs="arial"/>
          <w:i/>
          <w:color w:val="000000"/>
          <w:sz w:val="20"/>
          <w:lang w:val="en-US" w:eastAsia="en-US" w:bidi="ar-SA"/>
        </w:rPr>
        <w:t>O'Connell (Litigation Guardian of) v. Yung,</w:t>
      </w:r>
      <w:r>
        <w:rPr>
          <w:rFonts w:ascii="arial" w:eastAsia="arial" w:hAnsi="arial" w:cs="arial"/>
          <w:color w:val="000000"/>
          <w:sz w:val="20"/>
          <w:lang w:val="en-US" w:eastAsia="en-US" w:bidi="ar-SA"/>
        </w:rPr>
        <w:t xml:space="preserve"> </w:t>
      </w:r>
      <w:hyperlink r:id="rId1202" w:history="1">
        <w:r>
          <w:rPr>
            <w:rFonts w:ascii="arial" w:eastAsia="arial" w:hAnsi="arial" w:cs="arial"/>
            <w:i/>
            <w:color w:val="0077CC"/>
            <w:sz w:val="20"/>
            <w:u w:val="single"/>
            <w:shd w:val="clear" w:color="auto" w:fill="FFFFFF"/>
            <w:lang w:val="en-US" w:eastAsia="en-US" w:bidi="ar-SA"/>
          </w:rPr>
          <w:t>2010 BCSC 1764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1203" w:history="1">
        <w:r>
          <w:rPr>
            <w:rFonts w:ascii="arial" w:eastAsia="arial" w:hAnsi="arial" w:cs="arial"/>
            <w:i/>
            <w:color w:val="0077CC"/>
            <w:sz w:val="20"/>
            <w:u w:val="single"/>
            <w:shd w:val="clear" w:color="auto" w:fill="FFFFFF"/>
            <w:lang w:val="en-US" w:eastAsia="en-US" w:bidi="ar-SA"/>
          </w:rPr>
          <w:t>2000 BCSC 360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Reilly</w:t>
      </w:r>
      <w:r>
        <w:rPr>
          <w:rFonts w:ascii="arial" w:eastAsia="arial" w:hAnsi="arial" w:cs="arial"/>
          <w:color w:val="000000"/>
          <w:sz w:val="20"/>
          <w:lang w:val="en-US" w:eastAsia="en-US" w:bidi="ar-SA"/>
        </w:rPr>
        <w:t>] for consideration in assessing the award for Mr. Hans'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 xml:space="preserve">, Fisher J. awarded the 58-year-old plaintiff $275,000 (which adjusted for inflation in 2016 would be approximately $300,000) who had suffered multiple fractures and a severe brain injury. She was hospitalized for five months but had made a good recovery from her physical injuries with some limitations and the possibility of further degenerative changes. Her brain injury left her cognitively impaired and her personality had changed profoundly. She required considerable personal attention from her husband that went beyond the supervision and guidance expected in a normal marital relationship. She did not fully appreciate the nature of her condition and could not live independently. On appeal ( </w:t>
      </w:r>
      <w:hyperlink r:id="rId70"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Fisher J.'s award for non-pecuniary damages was upheld but, as I will alter discuss, award made for the costs of Ms. O'Connell's supervisory future care was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Reilly</w:t>
      </w:r>
      <w:r>
        <w:rPr>
          <w:rFonts w:ascii="arial" w:eastAsia="arial" w:hAnsi="arial" w:cs="arial"/>
          <w:color w:val="000000"/>
          <w:sz w:val="20"/>
          <w:lang w:val="en-US" w:eastAsia="en-US" w:bidi="ar-SA"/>
        </w:rPr>
        <w:t xml:space="preserve">, Coultas J. awarded the plaintiff, a 29-year-old newly-called lawyer who had suffered a mild traumatic brain injury, $150,000 (adjusted for inflation to $210,000 in 2016). Mr. Reilly had been able to return to work for a short time but lacked analytical ability. He eventually ended up sorting mail but was generally self-sufficient in daily living and was able to continue learning. On appeal ( </w:t>
      </w:r>
      <w:hyperlink r:id="rId284"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that award for non-pecuniary damages was allowed but the award for future loss of income earning capacity was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525</w:t>
      </w:r>
      <w:r>
        <w:rPr>
          <w:rFonts w:ascii="arial" w:eastAsia="arial" w:hAnsi="arial" w:cs="arial"/>
          <w:color w:val="000000"/>
          <w:sz w:val="20"/>
          <w:lang w:val="en-US" w:eastAsia="en-US" w:bidi="ar-SA"/>
        </w:rPr>
        <w:t xml:space="preserve">  Although other cases are of some assistance in assessing an award of non-pecuniary damage it is an off-cited principle that no two cases are the same. Each person who endures a debilitating injury is unique and the nature of the injuries suffered by plaintiffs and their life circumstances will rarely be identical. See: </w:t>
      </w:r>
      <w:r>
        <w:rPr>
          <w:rFonts w:ascii="arial" w:eastAsia="arial" w:hAnsi="arial" w:cs="arial"/>
          <w:i/>
          <w:color w:val="000000"/>
          <w:sz w:val="20"/>
          <w:lang w:val="en-US" w:eastAsia="en-US" w:bidi="ar-SA"/>
        </w:rPr>
        <w:t>Schubert v. Knorr</w:t>
      </w:r>
      <w:r>
        <w:rPr>
          <w:rFonts w:ascii="arial" w:eastAsia="arial" w:hAnsi="arial" w:cs="arial"/>
          <w:color w:val="000000"/>
          <w:sz w:val="20"/>
          <w:lang w:val="en-US" w:eastAsia="en-US" w:bidi="ar-SA"/>
        </w:rPr>
        <w:t xml:space="preserve">, </w:t>
      </w:r>
      <w:hyperlink r:id="rId1204" w:history="1">
        <w:r>
          <w:rPr>
            <w:rFonts w:ascii="arial" w:eastAsia="arial" w:hAnsi="arial" w:cs="arial"/>
            <w:i/>
            <w:color w:val="0077CC"/>
            <w:sz w:val="20"/>
            <w:u w:val="single"/>
            <w:shd w:val="clear" w:color="auto" w:fill="FFFFFF"/>
            <w:lang w:val="en-US" w:eastAsia="en-US" w:bidi="ar-SA"/>
          </w:rPr>
          <w:t>2008 BCSC 939</w:t>
        </w:r>
      </w:hyperlink>
      <w:r>
        <w:rPr>
          <w:rFonts w:ascii="arial" w:eastAsia="arial" w:hAnsi="arial" w:cs="arial"/>
          <w:color w:val="000000"/>
          <w:sz w:val="20"/>
          <w:lang w:val="en-US" w:eastAsia="en-US" w:bidi="ar-SA"/>
        </w:rPr>
        <w:t xml:space="preserve"> as quoted in </w:t>
      </w:r>
      <w:r>
        <w:rPr>
          <w:rFonts w:ascii="arial" w:eastAsia="arial" w:hAnsi="arial" w:cs="arial"/>
          <w:i/>
          <w:color w:val="000000"/>
          <w:sz w:val="20"/>
          <w:lang w:val="en-US" w:eastAsia="en-US" w:bidi="ar-SA"/>
        </w:rPr>
        <w:t>Morena</w:t>
      </w:r>
      <w:r>
        <w:rPr>
          <w:rFonts w:ascii="arial" w:eastAsia="arial" w:hAnsi="arial" w:cs="arial"/>
          <w:color w:val="000000"/>
          <w:sz w:val="20"/>
          <w:lang w:val="en-US" w:eastAsia="en-US" w:bidi="ar-SA"/>
        </w:rPr>
        <w:t xml:space="preserve"> at para. 127.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526</w:t>
      </w:r>
      <w:r>
        <w:rPr>
          <w:rFonts w:ascii="arial" w:eastAsia="arial" w:hAnsi="arial" w:cs="arial"/>
          <w:color w:val="000000"/>
          <w:sz w:val="20"/>
          <w:lang w:val="en-US" w:eastAsia="en-US" w:bidi="ar-SA"/>
        </w:rPr>
        <w:t xml:space="preserve">  In this case, Mr. Hans has not suffered serious physical injury and to that extent the effect of his injuries on his physical enjoyment of life is less than that of the plaintiffs in </w:t>
      </w:r>
      <w:r>
        <w:rPr>
          <w:rFonts w:ascii="arial" w:eastAsia="arial" w:hAnsi="arial" w:cs="arial"/>
          <w:i/>
          <w:color w:val="000000"/>
          <w:sz w:val="20"/>
          <w:lang w:val="en-US" w:eastAsia="en-US" w:bidi="ar-SA"/>
        </w:rPr>
        <w:t>Morena, Felix, Sangra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 On the other hand, however, the effect of his psychological injuries on his enjoyment of life has been profound. In my view, it is greater than that suffered by Mr. Reilly and Ms. Felix and somewhat less than that suffered by Mr. Sangra and Ms. O'Connell.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527</w:t>
      </w:r>
      <w:r>
        <w:rPr>
          <w:rFonts w:ascii="arial" w:eastAsia="arial" w:hAnsi="arial" w:cs="arial"/>
          <w:color w:val="000000"/>
          <w:sz w:val="20"/>
          <w:lang w:val="en-US" w:eastAsia="en-US" w:bidi="ar-SA"/>
        </w:rPr>
        <w:t>  Given the relative ages of Mr. Sangra and Ms. O'Connell (85 and 58 years of age respectively) and similarly pessimistic prognoses for improvement, the fact that the loss suffered by Mr. Hans occurred when he was only 33 must be given substantial weight in assessing the appropriate award for his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528</w:t>
      </w:r>
      <w:r>
        <w:rPr>
          <w:rFonts w:ascii="arial" w:eastAsia="arial" w:hAnsi="arial" w:cs="arial"/>
          <w:color w:val="000000"/>
          <w:sz w:val="20"/>
          <w:lang w:val="en-US" w:eastAsia="en-US" w:bidi="ar-SA"/>
        </w:rPr>
        <w:t xml:space="preserve">  Considering that factor together with all of the other factors enumerated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to which I have alluded I have concluded that the appropriate award for Mr. Hans' past and future pain and suffering and loss of enjoyment of life is $265,000.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 The "In-Trust"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529</w:t>
      </w:r>
      <w:r>
        <w:rPr>
          <w:rFonts w:ascii="arial" w:eastAsia="arial" w:hAnsi="arial" w:cs="arial"/>
          <w:color w:val="000000"/>
          <w:sz w:val="20"/>
          <w:lang w:val="en-US" w:eastAsia="en-US" w:bidi="ar-SA"/>
        </w:rPr>
        <w:t>  Spouses or other family members who provide care or other services to an injured plaintiff are entitled to compensation for those services rendered over and above those what would be expected from the family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Dykeman v. Porohowski,</w:t>
      </w:r>
      <w:r>
        <w:rPr>
          <w:rFonts w:ascii="arial" w:eastAsia="arial" w:hAnsi="arial" w:cs="arial"/>
          <w:color w:val="000000"/>
          <w:sz w:val="20"/>
          <w:lang w:val="en-US" w:eastAsia="en-US" w:bidi="ar-SA"/>
        </w:rPr>
        <w:t xml:space="preserve"> </w:t>
      </w:r>
      <w:hyperlink r:id="rId1205" w:history="1">
        <w:r>
          <w:rPr>
            <w:rFonts w:ascii="arial" w:eastAsia="arial" w:hAnsi="arial" w:cs="arial"/>
            <w:i/>
            <w:color w:val="0077CC"/>
            <w:sz w:val="20"/>
            <w:u w:val="single"/>
            <w:shd w:val="clear" w:color="auto" w:fill="FFFFFF"/>
            <w:lang w:val="en-US" w:eastAsia="en-US" w:bidi="ar-SA"/>
          </w:rPr>
          <w:t>2010 BCCA 36</w:t>
        </w:r>
      </w:hyperlink>
      <w:r>
        <w:rPr>
          <w:rFonts w:ascii="arial" w:eastAsia="arial" w:hAnsi="arial" w:cs="arial"/>
          <w:color w:val="000000"/>
          <w:sz w:val="20"/>
          <w:lang w:val="en-US" w:eastAsia="en-US" w:bidi="ar-SA"/>
        </w:rPr>
        <w:t>, Newbury J.A. wrote at para. 28:</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Since </w:t>
      </w:r>
      <w:r>
        <w:rPr>
          <w:rFonts w:ascii="arial" w:eastAsia="arial" w:hAnsi="arial" w:cs="arial"/>
          <w:i/>
          <w:color w:val="000000"/>
          <w:sz w:val="20"/>
          <w:lang w:val="en-US" w:eastAsia="en-US" w:bidi="ar-SA"/>
        </w:rPr>
        <w:t>Kroeker</w:t>
      </w:r>
      <w:r>
        <w:rPr>
          <w:rFonts w:ascii="arial" w:eastAsia="arial" w:hAnsi="arial" w:cs="arial"/>
          <w:color w:val="000000"/>
          <w:sz w:val="20"/>
          <w:lang w:val="en-US" w:eastAsia="en-US" w:bidi="ar-SA"/>
        </w:rPr>
        <w:t xml:space="preserve">, </w:t>
      </w:r>
      <w:hyperlink r:id="rId423" w:history="1">
        <w:r>
          <w:rPr>
            <w:rFonts w:ascii="arial" w:eastAsia="arial" w:hAnsi="arial" w:cs="arial"/>
            <w:i/>
            <w:color w:val="0077CC"/>
            <w:sz w:val="20"/>
            <w:u w:val="single"/>
            <w:shd w:val="clear" w:color="auto" w:fill="FFFFFF"/>
            <w:lang w:val="en-US" w:eastAsia="en-US" w:bidi="ar-SA"/>
          </w:rPr>
          <w:t>[1995] B.C.J. No. 724</w:t>
        </w:r>
      </w:hyperlink>
      <w:r>
        <w:rPr>
          <w:rFonts w:ascii="arial" w:eastAsia="arial" w:hAnsi="arial" w:cs="arial"/>
          <w:color w:val="000000"/>
          <w:sz w:val="20"/>
          <w:lang w:val="en-US" w:eastAsia="en-US" w:bidi="ar-SA"/>
        </w:rPr>
        <w:t xml:space="preserve"> it has been settled law in this province that "housekeeping and other spousal services have economic value for which a claim by an injured party will lie even where those services are replaced gratuitously from within the family." In </w:t>
      </w:r>
      <w:r>
        <w:rPr>
          <w:rFonts w:ascii="arial" w:eastAsia="arial" w:hAnsi="arial" w:cs="arial"/>
          <w:i/>
          <w:color w:val="000000"/>
          <w:sz w:val="20"/>
          <w:lang w:val="en-US" w:eastAsia="en-US" w:bidi="ar-SA"/>
        </w:rPr>
        <w:t>Kroeker</w:t>
      </w:r>
      <w:r>
        <w:rPr>
          <w:rFonts w:ascii="arial" w:eastAsia="arial" w:hAnsi="arial" w:cs="arial"/>
          <w:color w:val="000000"/>
          <w:sz w:val="20"/>
          <w:lang w:val="en-US" w:eastAsia="en-US" w:bidi="ar-SA"/>
        </w:rPr>
        <w:t xml:space="preserve">, such recovery was allowed under the heading of 'loss of future ability to perform household tasks', but obviously, damages for loss of such ability </w:t>
      </w:r>
      <w:r>
        <w:rPr>
          <w:rFonts w:ascii="arial" w:eastAsia="arial" w:hAnsi="arial" w:cs="arial"/>
          <w:color w:val="000000"/>
          <w:sz w:val="20"/>
          <w:u w:val="single"/>
          <w:lang w:val="en-US" w:eastAsia="en-US" w:bidi="ar-SA"/>
        </w:rPr>
        <w:t>prior</w:t>
      </w:r>
      <w:r>
        <w:rPr>
          <w:rFonts w:ascii="arial" w:eastAsia="arial" w:hAnsi="arial" w:cs="arial"/>
          <w:color w:val="000000"/>
          <w:sz w:val="20"/>
          <w:lang w:val="en-US" w:eastAsia="en-US" w:bidi="ar-SA"/>
        </w:rPr>
        <w:t xml:space="preserve"> to trial may also be properly claimed and recovered: see, e.g.,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xml:space="preserve"> at paras, 43, 51-7,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Huddart J.A.; </w:t>
      </w:r>
      <w:r>
        <w:rPr>
          <w:rFonts w:ascii="arial" w:eastAsia="arial" w:hAnsi="arial" w:cs="arial"/>
          <w:i/>
          <w:color w:val="000000"/>
          <w:sz w:val="20"/>
          <w:lang w:val="en-US" w:eastAsia="en-US" w:bidi="ar-SA"/>
        </w:rPr>
        <w:t>West v. Cotton</w:t>
      </w:r>
      <w:r>
        <w:rPr>
          <w:rFonts w:ascii="arial" w:eastAsia="arial" w:hAnsi="arial" w:cs="arial"/>
          <w:color w:val="000000"/>
          <w:sz w:val="20"/>
          <w:lang w:val="en-US" w:eastAsia="en-US" w:bidi="ar-SA"/>
        </w:rPr>
        <w:t xml:space="preserve"> </w:t>
      </w:r>
      <w:hyperlink r:id="rId1206" w:history="1">
        <w:r>
          <w:rPr>
            <w:rFonts w:ascii="arial" w:eastAsia="arial" w:hAnsi="arial" w:cs="arial"/>
            <w:i/>
            <w:color w:val="0077CC"/>
            <w:sz w:val="20"/>
            <w:u w:val="single"/>
            <w:shd w:val="clear" w:color="auto" w:fill="FFFFFF"/>
            <w:lang w:val="en-US" w:eastAsia="en-US" w:bidi="ar-SA"/>
          </w:rPr>
          <w:t>(1995) 10 B.C.L.R. (3d) 73</w:t>
        </w:r>
      </w:hyperlink>
      <w:r>
        <w:rPr>
          <w:rFonts w:ascii="arial" w:eastAsia="arial" w:hAnsi="arial" w:cs="arial"/>
          <w:color w:val="000000"/>
          <w:sz w:val="20"/>
          <w:lang w:val="en-US" w:eastAsia="en-US" w:bidi="ar-SA"/>
        </w:rPr>
        <w:t xml:space="preserve"> (C.A.) at para. 25; and </w:t>
      </w:r>
      <w:r>
        <w:rPr>
          <w:rFonts w:ascii="arial" w:eastAsia="arial" w:hAnsi="arial" w:cs="arial"/>
          <w:i/>
          <w:color w:val="000000"/>
          <w:sz w:val="20"/>
          <w:lang w:val="en-US" w:eastAsia="en-US" w:bidi="ar-SA"/>
        </w:rPr>
        <w:t>Campbell v. Banman</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2009 BCCA 484</w:t>
        </w:r>
      </w:hyperlink>
      <w:r>
        <w:rPr>
          <w:rFonts w:ascii="arial" w:eastAsia="arial" w:hAnsi="arial" w:cs="arial"/>
          <w:color w:val="000000"/>
          <w:sz w:val="20"/>
          <w:lang w:val="en-US" w:eastAsia="en-US" w:bidi="ar-SA"/>
        </w:rPr>
        <w:t xml:space="preserve">. The reasoning in </w:t>
      </w:r>
      <w:r>
        <w:rPr>
          <w:rFonts w:ascii="arial" w:eastAsia="arial" w:hAnsi="arial" w:cs="arial"/>
          <w:i/>
          <w:color w:val="000000"/>
          <w:sz w:val="20"/>
          <w:lang w:val="en-US" w:eastAsia="en-US" w:bidi="ar-SA"/>
        </w:rPr>
        <w:t>Kroeker</w:t>
      </w:r>
      <w:r>
        <w:rPr>
          <w:rFonts w:ascii="arial" w:eastAsia="arial" w:hAnsi="arial" w:cs="arial"/>
          <w:color w:val="000000"/>
          <w:sz w:val="20"/>
          <w:lang w:val="en-US" w:eastAsia="en-US" w:bidi="ar-SA"/>
        </w:rPr>
        <w:t xml:space="preserve"> has been extended beyond "spousal" services to services rendered by other members of a family: see </w:t>
      </w:r>
      <w:r>
        <w:rPr>
          <w:rFonts w:ascii="arial" w:eastAsia="arial" w:hAnsi="arial" w:cs="arial"/>
          <w:i/>
          <w:color w:val="000000"/>
          <w:sz w:val="20"/>
          <w:lang w:val="en-US" w:eastAsia="en-US" w:bidi="ar-SA"/>
        </w:rPr>
        <w:t xml:space="preserve">Boren v. Vancouver Resource Society, </w:t>
      </w:r>
      <w:hyperlink r:id="rId1207" w:history="1">
        <w:r>
          <w:rPr>
            <w:rFonts w:ascii="arial" w:eastAsia="arial" w:hAnsi="arial" w:cs="arial"/>
            <w:i/>
            <w:color w:val="0077CC"/>
            <w:sz w:val="20"/>
            <w:u w:val="single"/>
            <w:shd w:val="clear" w:color="auto" w:fill="FFFFFF"/>
            <w:lang w:val="en-US" w:eastAsia="en-US" w:bidi="ar-SA"/>
          </w:rPr>
          <w:t>[2002] B.C.J. No. 1831</w:t>
        </w:r>
      </w:hyperlink>
      <w:r>
        <w:rPr>
          <w:rFonts w:ascii="arial" w:eastAsia="arial" w:hAnsi="arial" w:cs="arial"/>
          <w:i/>
          <w:color w:val="000000"/>
          <w:sz w:val="20"/>
          <w:lang w:val="en-US" w:eastAsia="en-US" w:bidi="ar-SA"/>
        </w:rPr>
        <w:t xml:space="preserve">; Dufault, </w:t>
      </w:r>
      <w:hyperlink r:id="rId1208" w:history="1">
        <w:r>
          <w:rPr>
            <w:rFonts w:ascii="arial" w:eastAsia="arial" w:hAnsi="arial" w:cs="arial"/>
            <w:i/>
            <w:color w:val="0077CC"/>
            <w:sz w:val="20"/>
            <w:u w:val="single"/>
            <w:shd w:val="clear" w:color="auto" w:fill="FFFFFF"/>
            <w:lang w:val="en-US" w:eastAsia="en-US" w:bidi="ar-SA"/>
          </w:rPr>
          <w:t>[2007] B.C.J. No. 252</w:t>
        </w:r>
      </w:hyperlink>
      <w:r>
        <w:rPr>
          <w:rFonts w:ascii="arial" w:eastAsia="arial" w:hAnsi="arial" w:cs="arial"/>
          <w:i/>
          <w:color w:val="000000"/>
          <w:sz w:val="20"/>
          <w:lang w:val="en-US" w:eastAsia="en-US" w:bidi="ar-SA"/>
        </w:rPr>
        <w:t>; McTavish v. MacGillivray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Bystedt v. Hay</w:t>
      </w:r>
      <w:r>
        <w:rPr>
          <w:rFonts w:ascii="arial" w:eastAsia="arial" w:hAnsi="arial" w:cs="arial"/>
          <w:color w:val="000000"/>
          <w:sz w:val="20"/>
          <w:lang w:val="en-US" w:eastAsia="en-US" w:bidi="ar-SA"/>
        </w:rPr>
        <w:t xml:space="preserve">, all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Such awards are colloquially referred to as "in trust" even though it is the plaintiff who recovers them, and British Columbia courts do not generally impose trust terms in their orders, regarding the loss as that of the plaintiff: see </w:t>
      </w:r>
      <w:r>
        <w:rPr>
          <w:rFonts w:ascii="arial" w:eastAsia="arial" w:hAnsi="arial" w:cs="arial"/>
          <w:i/>
          <w:color w:val="000000"/>
          <w:sz w:val="20"/>
          <w:lang w:val="en-US" w:eastAsia="en-US" w:bidi="ar-SA"/>
        </w:rPr>
        <w:t>Feng v. Graham</w:t>
      </w:r>
      <w:r>
        <w:rPr>
          <w:rFonts w:ascii="arial" w:eastAsia="arial" w:hAnsi="arial" w:cs="arial"/>
          <w:color w:val="000000"/>
          <w:sz w:val="20"/>
          <w:lang w:val="en-US" w:eastAsia="en-US" w:bidi="ar-SA"/>
        </w:rPr>
        <w:t xml:space="preserve"> </w:t>
      </w:r>
      <w:hyperlink r:id="rId1209" w:history="1">
        <w:r>
          <w:rPr>
            <w:rFonts w:ascii="arial" w:eastAsia="arial" w:hAnsi="arial" w:cs="arial"/>
            <w:i/>
            <w:color w:val="0077CC"/>
            <w:sz w:val="20"/>
            <w:u w:val="single"/>
            <w:shd w:val="clear" w:color="auto" w:fill="FFFFFF"/>
            <w:lang w:val="en-US" w:eastAsia="en-US" w:bidi="ar-SA"/>
          </w:rPr>
          <w:t>(1988) 25 B.C.L.R. (2d) 116</w:t>
        </w:r>
      </w:hyperlink>
      <w:r>
        <w:rPr>
          <w:rFonts w:ascii="arial" w:eastAsia="arial" w:hAnsi="arial" w:cs="arial"/>
          <w:color w:val="000000"/>
          <w:sz w:val="20"/>
          <w:lang w:val="en-US" w:eastAsia="en-US" w:bidi="ar-SA"/>
        </w:rPr>
        <w:t xml:space="preserve"> (C.A.) at 9-10</w:t>
      </w:r>
      <w:r>
        <w:rPr>
          <w:rFonts w:ascii="arial" w:eastAsia="arial" w:hAnsi="arial" w:cs="arial"/>
          <w:i/>
          <w:color w:val="000000"/>
          <w:sz w:val="20"/>
          <w:lang w:val="en-US" w:eastAsia="en-US" w:bidi="ar-SA"/>
        </w:rPr>
        <w:t>; McTavish, supra.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[Emphasis added in </w:t>
      </w:r>
      <w:r>
        <w:rPr>
          <w:rFonts w:ascii="arial" w:eastAsia="arial" w:hAnsi="arial" w:cs="arial"/>
          <w:i/>
          <w:color w:val="000000"/>
          <w:sz w:val="20"/>
          <w:lang w:val="en-US" w:eastAsia="en-US" w:bidi="ar-SA"/>
        </w:rPr>
        <w:t>Dykeman.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Bystedt (Guardian ad Litem of) v. Hay</w:t>
      </w:r>
      <w:r>
        <w:rPr>
          <w:rFonts w:ascii="arial" w:eastAsia="arial" w:hAnsi="arial" w:cs="arial"/>
          <w:color w:val="000000"/>
          <w:sz w:val="20"/>
          <w:lang w:val="en-US" w:eastAsia="en-US" w:bidi="ar-SA"/>
        </w:rPr>
        <w:t xml:space="preserve">, </w:t>
      </w:r>
      <w:hyperlink r:id="rId1210"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 xml:space="preserve"> (at para. 180) D. Smith J, as she then was, reviewed existing authorities governing the factors to be considered in the making of "in-trust" awards. She then offered the following summary of those factors:</w:t>
      </w:r>
      <w:r>
        <w:rPr>
          <w:rFonts w:ascii="arial" w:eastAsia="arial" w:hAnsi="arial" w:cs="arial"/>
          <w:sz w:val="20"/>
          <w:lang w:val="en-US" w:eastAsia="en-US" w:bidi="ar-SA"/>
        </w:rPr>
        <w:cr/>
      </w:r>
    </w:p>
    <w:p>
      <w:pPr>
        <w:numPr>
          <w:numId w:val="2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services provided must replace services necessary for the care of the plaintiff as a result of a plaintiff's injuries;</w:t>
      </w:r>
    </w:p>
    <w:p>
      <w:pPr>
        <w:numPr>
          <w:numId w:val="2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services are rendered by a family member, they must be over and above what would be expected from the family relationship (here, the normal care of an uninjured child);</w:t>
      </w:r>
    </w:p>
    <w:p>
      <w:pPr>
        <w:numPr>
          <w:numId w:val="2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maximum value of such services is the cost of obtaining the services outside the family;</w:t>
      </w:r>
    </w:p>
    <w:p>
      <w:pPr>
        <w:numPr>
          <w:numId w:val="2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opportunity cost to the care-giving family member is lower than the cost of obtaining the services independently, the court will award the lower amount;</w:t>
      </w:r>
    </w:p>
    <w:p>
      <w:pPr>
        <w:numPr>
          <w:numId w:val="2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quantification should reflect the true and reasonable value of the services performed taking into account the time, quality and nature of those services. In this regard, the damages should reflect the wage of a substitute caregiver. There should not be a discounting or undervaluation of such services because of the nature of the relationship; and,</w:t>
      </w:r>
    </w:p>
    <w:p>
      <w:pPr>
        <w:numPr>
          <w:numId w:val="2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family members providing the services need not forego other income and there need not be payment for the services rendered.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532</w:t>
      </w:r>
      <w:r>
        <w:rPr>
          <w:rFonts w:ascii="arial" w:eastAsia="arial" w:hAnsi="arial" w:cs="arial"/>
          <w:color w:val="000000"/>
          <w:sz w:val="20"/>
          <w:lang w:val="en-US" w:eastAsia="en-US" w:bidi="ar-SA"/>
        </w:rPr>
        <w:t>  The evidence establishes that Mrs. Hans has since the collision and far more so after Mr. Hans' first suicide attempt in October of 2011, undertaken virtually all of the household work and parental responsibilities that Mr. Hans used to share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533</w:t>
      </w:r>
      <w:r>
        <w:rPr>
          <w:rFonts w:ascii="arial" w:eastAsia="arial" w:hAnsi="arial" w:cs="arial"/>
          <w:color w:val="000000"/>
          <w:sz w:val="20"/>
          <w:lang w:val="en-US" w:eastAsia="en-US" w:bidi="ar-SA"/>
        </w:rPr>
        <w:t>  After Mr. Hans' release from hospital after his first suicide attempt, in addition to those household and parental tasks Mrs. Hans undertook the monitoring of Mr. Hans' taking of medications, more intense supervision of his personal hygiene as well as supervision of all other aspects of his daily existence in an attempt to prevent further suicidal behaviour and otherwise see to his well-being.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534</w:t>
      </w:r>
      <w:r>
        <w:rPr>
          <w:rFonts w:ascii="arial" w:eastAsia="arial" w:hAnsi="arial" w:cs="arial"/>
          <w:color w:val="000000"/>
          <w:sz w:val="20"/>
          <w:lang w:val="en-US" w:eastAsia="en-US" w:bidi="ar-SA"/>
        </w:rPr>
        <w:t>  The medical evidence I will consider in more detail when discussing Mr. Hans' future care needs includes the opinions of Drs. Dhillon, Thinda, Harrad and Passey that Mr. Hans needs "constant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535</w:t>
      </w:r>
      <w:r>
        <w:rPr>
          <w:rFonts w:ascii="arial" w:eastAsia="arial" w:hAnsi="arial" w:cs="arial"/>
          <w:color w:val="000000"/>
          <w:sz w:val="20"/>
          <w:lang w:val="en-US" w:eastAsia="en-US" w:bidi="ar-SA"/>
        </w:rPr>
        <w:t>  Since his first suicide attempt Mr. Hans' supervision has been undertaken by Mrs. Hans with such considerable assistance from Parmjit Hans that it could in substance also have been the subject of separate in-trust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536</w:t>
      </w:r>
      <w:r>
        <w:rPr>
          <w:rFonts w:ascii="arial" w:eastAsia="arial" w:hAnsi="arial" w:cs="arial"/>
          <w:color w:val="000000"/>
          <w:sz w:val="20"/>
          <w:lang w:val="en-US" w:eastAsia="en-US" w:bidi="ar-SA"/>
        </w:rPr>
        <w:t>  When the family's financial situation mandated that Mrs. Hans had to work so that they could eat she took jobs that allowed her to maximize her time at home with Mr. Hans or to be in constant telephone communication with him. She also arranged with Ms. Bilan, her downstairs neighbour, to assist with ensuring that Mr. Hans was not left totally alone for protracted periods of time if Mrs. Hans, their children, Parmjit Hans or other friends were not able to be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537</w:t>
      </w:r>
      <w:r>
        <w:rPr>
          <w:rFonts w:ascii="arial" w:eastAsia="arial" w:hAnsi="arial" w:cs="arial"/>
          <w:color w:val="000000"/>
          <w:sz w:val="20"/>
          <w:lang w:val="en-US" w:eastAsia="en-US" w:bidi="ar-SA"/>
        </w:rPr>
        <w:t>  I accept Mrs. Hans' evidence that she is able to sleep only about 4 and one half to five hours per night so that she can do all that she now does to ensure that tasks that otherwise would be shared with Mr. Hans are done, provide the care and supervision Mr. Hans needs and work to the extent she is 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538</w:t>
      </w:r>
      <w:r>
        <w:rPr>
          <w:rFonts w:ascii="arial" w:eastAsia="arial" w:hAnsi="arial" w:cs="arial"/>
          <w:color w:val="000000"/>
          <w:sz w:val="20"/>
          <w:lang w:val="en-US" w:eastAsia="en-US" w:bidi="ar-SA"/>
        </w:rPr>
        <w:t>  There is no question that the care and service Mrs. Hans has provided to Mr. Hans since the collision were made necessary by the injuries suffered by him in the collision and that both have been far beyond what would be expected from the marital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539</w:t>
      </w:r>
      <w:r>
        <w:rPr>
          <w:rFonts w:ascii="arial" w:eastAsia="arial" w:hAnsi="arial" w:cs="arial"/>
          <w:color w:val="000000"/>
          <w:sz w:val="20"/>
          <w:lang w:val="en-US" w:eastAsia="en-US" w:bidi="ar-SA"/>
        </w:rPr>
        <w:t>  Quantification of the appropriate compensation for Mrs. Hans' care of Mr. Hans and services rendered by her must attempt to measure the reasonable value of those services based on the time involved in performing them as well as the costs that would have been incurred had a third party caregiver or worker been paid to provide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540</w:t>
      </w:r>
      <w:r>
        <w:rPr>
          <w:rFonts w:ascii="arial" w:eastAsia="arial" w:hAnsi="arial" w:cs="arial"/>
          <w:color w:val="000000"/>
          <w:sz w:val="20"/>
          <w:lang w:val="en-US" w:eastAsia="en-US" w:bidi="ar-SA"/>
        </w:rPr>
        <w:t>  In a case like this, where there is also a claim for past wage loss for both plaintiffs, care must, however, also be taken not to make an in-trust award that would provide double compensation for Mrs. Hans'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541</w:t>
      </w:r>
      <w:r>
        <w:rPr>
          <w:rFonts w:ascii="arial" w:eastAsia="arial" w:hAnsi="arial" w:cs="arial"/>
          <w:color w:val="000000"/>
          <w:sz w:val="20"/>
          <w:lang w:val="en-US" w:eastAsia="en-US" w:bidi="ar-SA"/>
        </w:rPr>
        <w:t>  Counsel for the plaintiffs submitted that an appropriate in-trust award would be $285,000.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542</w:t>
      </w:r>
      <w:r>
        <w:rPr>
          <w:rFonts w:ascii="arial" w:eastAsia="arial" w:hAnsi="arial" w:cs="arial"/>
          <w:color w:val="000000"/>
          <w:sz w:val="20"/>
          <w:lang w:val="en-US" w:eastAsia="en-US" w:bidi="ar-SA"/>
        </w:rPr>
        <w:t>  Counsel for Volvo made no submission as to quantum other than to suggest that if I concluded that any award should be made it should be modest and also reflect those times when Mr. Hans was hospitalized or in India for extended visits when care was not provided by Mrs. Hans.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543</w:t>
      </w:r>
      <w:r>
        <w:rPr>
          <w:rFonts w:ascii="arial" w:eastAsia="arial" w:hAnsi="arial" w:cs="arial"/>
          <w:color w:val="000000"/>
          <w:sz w:val="20"/>
          <w:lang w:val="en-US" w:eastAsia="en-US" w:bidi="ar-SA"/>
        </w:rPr>
        <w:t>  In determining the appropriate in-trust award in this case I have erred on the side of caution bearing in mind that, generally speaking, in-trust awards should be modest but must also reflect the totality of the circumstances in which they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544</w:t>
      </w:r>
      <w:r>
        <w:rPr>
          <w:rFonts w:ascii="arial" w:eastAsia="arial" w:hAnsi="arial" w:cs="arial"/>
          <w:color w:val="000000"/>
          <w:sz w:val="20"/>
          <w:lang w:val="en-US" w:eastAsia="en-US" w:bidi="ar-SA"/>
        </w:rPr>
        <w:t>  I have also considered the fact that plaintiffs were unable to provide detailed evidence about the precise number of hours Mrs. Hans has devoted to those household and child caring tasks which would otherwise have been undertaken by Mr. Hans but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545</w:t>
      </w:r>
      <w:r>
        <w:rPr>
          <w:rFonts w:ascii="arial" w:eastAsia="arial" w:hAnsi="arial" w:cs="arial"/>
          <w:color w:val="000000"/>
          <w:sz w:val="20"/>
          <w:lang w:val="en-US" w:eastAsia="en-US" w:bidi="ar-SA"/>
        </w:rPr>
        <w:t>  That is the case also concerning the hours spent in Mrs. Hans' care and virtually constant supervision of Mr. Hans made necessary by his psychological injuries and recommended by his treating physicians.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546</w:t>
      </w:r>
      <w:r>
        <w:rPr>
          <w:rFonts w:ascii="arial" w:eastAsia="arial" w:hAnsi="arial" w:cs="arial"/>
          <w:color w:val="000000"/>
          <w:sz w:val="20"/>
          <w:lang w:val="en-US" w:eastAsia="en-US" w:bidi="ar-SA"/>
        </w:rPr>
        <w:t>  It is, however, not surprising that over a period of almost seven years since the collision and the extent to which Mr. Hans' injuries have dominated and dramatically changed not only his life but also those of Mrs. Hans and their children that time records detailing Mrs. Hans' efforts in taking over both parental roles and also becoming a caregiver to a disabled adult have not been kept. It would have been an impossible task to do so and wholly out of keeping with the selflessness with which Mrs. Hans has approached the situation forced upon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547</w:t>
      </w:r>
      <w:r>
        <w:rPr>
          <w:rFonts w:ascii="arial" w:eastAsia="arial" w:hAnsi="arial" w:cs="arial"/>
          <w:color w:val="000000"/>
          <w:sz w:val="20"/>
          <w:lang w:val="en-US" w:eastAsia="en-US" w:bidi="ar-SA"/>
        </w:rPr>
        <w:t>  In those circumstances the best the Court can do is assess the quantum of the appropriate in-trust claims that are grounded in the evidence by being as fair as possible not only to the plaintiffs but also to Volvo which caused the harm which required the providing of the services rendered.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548</w:t>
      </w:r>
      <w:r>
        <w:rPr>
          <w:rFonts w:ascii="arial" w:eastAsia="arial" w:hAnsi="arial" w:cs="arial"/>
          <w:color w:val="000000"/>
          <w:sz w:val="20"/>
          <w:lang w:val="en-US" w:eastAsia="en-US" w:bidi="ar-SA"/>
        </w:rPr>
        <w:t>  With those concerns in mind I have concluded that Mrs. Hans should be compensated for the care of and services she provided to Mr. Hans beyond that what normally would be expected of a spouse assessed as:</w:t>
      </w:r>
      <w:r>
        <w:rPr>
          <w:rFonts w:ascii="arial" w:eastAsia="arial" w:hAnsi="arial" w:cs="arial"/>
          <w:sz w:val="20"/>
          <w:lang w:val="en-US" w:eastAsia="en-US" w:bidi="ar-SA"/>
        </w:rPr>
        <w:cr/>
      </w:r>
    </w:p>
    <w:p>
      <w:pPr>
        <w:numPr>
          <w:numId w:val="2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30 hours per month (approximately 1 hour per day) from January 31, 2009 to September 30, 2011 (32 months x 30 = 960 hours); and</w:t>
      </w:r>
    </w:p>
    <w:p>
      <w:pPr>
        <w:numPr>
          <w:numId w:val="2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120 hours per month (approximately 4 hours per day) from October 2011 to the date of this judgment (57 months x 120 = 6,840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549</w:t>
      </w:r>
      <w:r>
        <w:rPr>
          <w:rFonts w:ascii="arial" w:eastAsia="arial" w:hAnsi="arial" w:cs="arial"/>
          <w:color w:val="000000"/>
          <w:sz w:val="20"/>
          <w:lang w:val="en-US" w:eastAsia="en-US" w:bidi="ar-SA"/>
        </w:rPr>
        <w:t>  From that total amount of 7,800 hours must be deducted approximately 10 months (1,200 hours) for the time Mr. Hans was hospitalized (approximately 3.3 months) and while he was in India in 2013 and 2014 (roughly 6 to 7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550</w:t>
      </w:r>
      <w:r>
        <w:rPr>
          <w:rFonts w:ascii="arial" w:eastAsia="arial" w:hAnsi="arial" w:cs="arial"/>
          <w:color w:val="000000"/>
          <w:sz w:val="20"/>
          <w:lang w:val="en-US" w:eastAsia="en-US" w:bidi="ar-SA"/>
        </w:rPr>
        <w:t>  In total, therefore, she should be compensated based on a total of 6,600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551</w:t>
      </w:r>
      <w:r>
        <w:rPr>
          <w:rFonts w:ascii="arial" w:eastAsia="arial" w:hAnsi="arial" w:cs="arial"/>
          <w:color w:val="000000"/>
          <w:sz w:val="20"/>
          <w:lang w:val="en-US" w:eastAsia="en-US" w:bidi="ar-SA"/>
        </w:rPr>
        <w:t>  In reaching that total I have not included any compensation for gratuitous services provided by Parmjit Hans and Ms. Bilan.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552</w:t>
      </w:r>
      <w:r>
        <w:rPr>
          <w:rFonts w:ascii="arial" w:eastAsia="arial" w:hAnsi="arial" w:cs="arial"/>
          <w:color w:val="000000"/>
          <w:sz w:val="20"/>
          <w:lang w:val="en-US" w:eastAsia="en-US" w:bidi="ar-SA"/>
        </w:rPr>
        <w:t>  I have also concluded that Mrs. Hans should be compensated for the hours I have assessed based on a rate of $25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553</w:t>
      </w:r>
      <w:r>
        <w:rPr>
          <w:rFonts w:ascii="arial" w:eastAsia="arial" w:hAnsi="arial" w:cs="arial"/>
          <w:color w:val="000000"/>
          <w:sz w:val="20"/>
          <w:lang w:val="en-US" w:eastAsia="en-US" w:bidi="ar-SA"/>
        </w:rPr>
        <w:t>  I have determined that compensation at a rate of $25 per hour is appropriate because:</w:t>
      </w:r>
      <w:r>
        <w:rPr>
          <w:rFonts w:ascii="arial" w:eastAsia="arial" w:hAnsi="arial" w:cs="arial"/>
          <w:sz w:val="20"/>
          <w:lang w:val="en-US" w:eastAsia="en-US" w:bidi="ar-SA"/>
        </w:rPr>
        <w:cr/>
      </w:r>
    </w:p>
    <w:p>
      <w:pPr>
        <w:numPr>
          <w:numId w:val="2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establishes that when working as a dispatcher since the collision when able to do so, because of Parmjit Hans' assistance and the accommodations of her employer, Mrs. Hans has been paid approximately $25 per hour; and</w:t>
      </w:r>
    </w:p>
    <w:p>
      <w:pPr>
        <w:numPr>
          <w:numId w:val="2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the plaintiffs' cost of future care expert, Ms. Sholeh Salehi, which I will later discuss in more detail, establishes that the hourly rate for the hiring of a caregiver is in the range of $25 to $28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554</w:t>
      </w:r>
      <w:r>
        <w:rPr>
          <w:rFonts w:ascii="arial" w:eastAsia="arial" w:hAnsi="arial" w:cs="arial"/>
          <w:color w:val="000000"/>
          <w:sz w:val="20"/>
          <w:lang w:val="en-US" w:eastAsia="en-US" w:bidi="ar-SA"/>
        </w:rPr>
        <w:t>  Applying a rate of $25 per hour to the time I have assessed as being the basis for a reasonable award I find that the appropriate in-trust award in this case for Mrs. Hans' compensable efforts on behalf of Mr. Hans is $165,000.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555</w:t>
      </w:r>
      <w:r>
        <w:rPr>
          <w:rFonts w:ascii="arial" w:eastAsia="arial" w:hAnsi="arial" w:cs="arial"/>
          <w:color w:val="000000"/>
          <w:sz w:val="20"/>
          <w:lang w:val="en-US" w:eastAsia="en-US" w:bidi="ar-SA"/>
        </w:rPr>
        <w:t xml:space="preserve">  While that amount is relatively high for an in-trust claim, it is similar in amount to the $150,000 award made by Fisher J. in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 xml:space="preserve"> (upheld by the Court of Appeal) for the plaintiff husband's dedicated care of his injured spouse in circumstances very much like those in this case. There, like in this case, it was dangerous for the plaintiff to be left alone for extended periods of time. That in-trust award was also for a period of three years rather than the approximately 4.5 years of the extraordinary efforts of Mrs. Hans since Mr. Hans' first suicide attempt.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 Cost of Care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556</w:t>
      </w:r>
      <w:r>
        <w:rPr>
          <w:rFonts w:ascii="arial" w:eastAsia="arial" w:hAnsi="arial" w:cs="arial"/>
          <w:color w:val="000000"/>
          <w:sz w:val="20"/>
          <w:lang w:val="en-US" w:eastAsia="en-US" w:bidi="ar-SA"/>
        </w:rPr>
        <w:t xml:space="preserve">  As I have previously noted, during the trial of this action and the related action of the Province against Volvo under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by an agreement made between Volvo and the Province, the cost of Mr. Hans' past care was resolved in the amount of $198,868.75 with attribution of any responsibility of Volvo for that amount being left to the determination of the liability issues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557</w:t>
      </w:r>
      <w:r>
        <w:rPr>
          <w:rFonts w:ascii="arial" w:eastAsia="arial" w:hAnsi="arial" w:cs="arial"/>
          <w:color w:val="000000"/>
          <w:sz w:val="20"/>
          <w:lang w:val="en-US" w:eastAsia="en-US" w:bidi="ar-SA"/>
        </w:rPr>
        <w:t>  By reason of my conclusions on liability, I accordingly find that Volvo is responsible to pay the Province $198,868.75 in compensation for Mr. Hans' care costs incurred prior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558</w:t>
      </w:r>
      <w:r>
        <w:rPr>
          <w:rFonts w:ascii="arial" w:eastAsia="arial" w:hAnsi="arial" w:cs="arial"/>
          <w:color w:val="000000"/>
          <w:sz w:val="20"/>
          <w:lang w:val="en-US" w:eastAsia="en-US" w:bidi="ar-SA"/>
        </w:rPr>
        <w:t>  Before addressing Mr. Hans' cost of future care claims I must first address the submission advanced by Volvo that the settlement of Mr. Hans' past care claims with the Province bars Mr. Hans from recovering the costs of his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559</w:t>
      </w:r>
      <w:r>
        <w:rPr>
          <w:rFonts w:ascii="arial" w:eastAsia="arial" w:hAnsi="arial" w:cs="arial"/>
          <w:color w:val="000000"/>
          <w:sz w:val="20"/>
          <w:lang w:val="en-US" w:eastAsia="en-US" w:bidi="ar-SA"/>
        </w:rPr>
        <w:t>  Counsel for Volvo provided no authority for that proposition and I am satisfied that it is misconceived.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560</w:t>
      </w:r>
      <w:r>
        <w:rPr>
          <w:rFonts w:ascii="arial" w:eastAsia="arial" w:hAnsi="arial" w:cs="arial"/>
          <w:color w:val="000000"/>
          <w:sz w:val="20"/>
          <w:lang w:val="en-US" w:eastAsia="en-US" w:bidi="ar-SA"/>
        </w:rPr>
        <w:t xml:space="preserve">  The Province chose to settle a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xml:space="preserve"> subrogated claim that was, at least in part, disputed by Volvo by reason of alleged limitation period issues that, if successful, could have prevented any recovery by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561</w:t>
      </w:r>
      <w:r>
        <w:rPr>
          <w:rFonts w:ascii="arial" w:eastAsia="arial" w:hAnsi="arial" w:cs="arial"/>
          <w:color w:val="000000"/>
          <w:sz w:val="20"/>
          <w:lang w:val="en-US" w:eastAsia="en-US" w:bidi="ar-SA"/>
        </w:rPr>
        <w:t>  It is also noteworthy that the past cost of care settlement included approximately $153,500 in hospitalization costs for which Mr. Hans makes no such future claim and also included no past claim for the cost of supervisory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562</w:t>
      </w:r>
      <w:r>
        <w:rPr>
          <w:rFonts w:ascii="arial" w:eastAsia="arial" w:hAnsi="arial" w:cs="arial"/>
          <w:color w:val="000000"/>
          <w:sz w:val="20"/>
          <w:lang w:val="en-US" w:eastAsia="en-US" w:bidi="ar-SA"/>
        </w:rPr>
        <w:t xml:space="preserve">  In settling the past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xml:space="preserve"> claims the Province has precluded itself from also seeking recovery from Volvo for any of the future care costs that will be incurred by Mr. Hans for which the Province would otherwise have had a subrogated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563</w:t>
      </w:r>
      <w:r>
        <w:rPr>
          <w:rFonts w:ascii="arial" w:eastAsia="arial" w:hAnsi="arial" w:cs="arial"/>
          <w:color w:val="000000"/>
          <w:sz w:val="20"/>
          <w:lang w:val="en-US" w:eastAsia="en-US" w:bidi="ar-SA"/>
        </w:rPr>
        <w:t>  That settlement does not compromise Mr. Hans' future care claims.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 Cost of Care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564</w:t>
      </w:r>
      <w:r>
        <w:rPr>
          <w:rFonts w:ascii="arial" w:eastAsia="arial" w:hAnsi="arial" w:cs="arial"/>
          <w:color w:val="000000"/>
          <w:sz w:val="20"/>
          <w:lang w:val="en-US" w:eastAsia="en-US" w:bidi="ar-SA"/>
        </w:rPr>
        <w:t>  The cost of future care claim advanced by the plaintiffs is in some respects based on Mr. Hans' costs of health care incurred before the trial (primarily pharmacological costs and psychiatric costs) which are anticipated to continue largely unabated by improvement in Mr. Hans' psychological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565</w:t>
      </w:r>
      <w:r>
        <w:rPr>
          <w:rFonts w:ascii="arial" w:eastAsia="arial" w:hAnsi="arial" w:cs="arial"/>
          <w:color w:val="000000"/>
          <w:sz w:val="20"/>
          <w:lang w:val="en-US" w:eastAsia="en-US" w:bidi="ar-SA"/>
        </w:rPr>
        <w:t>  There are, however, additional future care claims that must be also addressed, including, but not limited to claims that are in many respects reflective of the care and supervision of Mr. Hans performed by Mrs. Hans prior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 xml:space="preserve"> our Court of Appeal stated at paras. 55 and 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The law is settled as to the appropriate approach to be taken in assessing future care costs. In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paras. 21-22, </w:t>
      </w:r>
      <w:hyperlink r:id="rId71" w:history="1">
        <w:r>
          <w:rPr>
            <w:rFonts w:ascii="arial" w:eastAsia="arial" w:hAnsi="arial" w:cs="arial"/>
            <w:i/>
            <w:color w:val="0077CC"/>
            <w:sz w:val="20"/>
            <w:u w:val="single"/>
            <w:shd w:val="clear" w:color="auto" w:fill="FFFFFF"/>
            <w:lang w:val="en-US" w:eastAsia="en-US" w:bidi="ar-SA"/>
          </w:rPr>
          <w:t>[2002] 1 S.C.R. 205</w:t>
        </w:r>
      </w:hyperlink>
      <w:r>
        <w:rPr>
          <w:rFonts w:ascii="arial" w:eastAsia="arial" w:hAnsi="arial" w:cs="arial"/>
          <w:color w:val="000000"/>
          <w:sz w:val="20"/>
          <w:lang w:val="en-US" w:eastAsia="en-US" w:bidi="ar-SA"/>
        </w:rPr>
        <w:t>, referred to by the trial judge, the Court articulated the test: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Damages for cost of future care are a matter of prediction. No one knows the future. Yet the rule that damages must be assessed once and for all at the time of trial (subject to modification on appeal) requires courts to peer into the future and fix the damages for future care as best they can. </w:t>
      </w:r>
      <w:r>
        <w:rPr>
          <w:rFonts w:ascii="arial" w:eastAsia="arial" w:hAnsi="arial" w:cs="arial"/>
          <w:color w:val="000000"/>
          <w:sz w:val="20"/>
          <w:u w:val="single"/>
          <w:lang w:val="en-US" w:eastAsia="en-US" w:bidi="ar-SA"/>
        </w:rPr>
        <w:t>In doing so, courts rely on the evidence as to what care is likely to be in the injured person's best interest.</w:t>
      </w:r>
      <w:r>
        <w:rPr>
          <w:rFonts w:ascii="arial" w:eastAsia="arial" w:hAnsi="arial" w:cs="arial"/>
          <w:color w:val="000000"/>
          <w:sz w:val="20"/>
          <w:lang w:val="en-US" w:eastAsia="en-US" w:bidi="ar-SA"/>
        </w:rPr>
        <w:t xml:space="preserve"> Then they calculate the present cost of providing that care and may make an adjustment for the contingency that the future may differ from what the evidence at trial indicates.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w:t>
      </w:r>
      <w:r>
        <w:rPr>
          <w:rFonts w:ascii="arial" w:eastAsia="arial" w:hAnsi="arial" w:cs="arial"/>
          <w:color w:val="000000"/>
          <w:sz w:val="20"/>
          <w:u w:val="single"/>
          <w:lang w:val="en-US" w:eastAsia="en-US" w:bidi="ar-SA"/>
        </w:rPr>
        <w:t>The resulting award may be said to reflect the reasonable or normal expectations of what the injured person will require.</w:t>
      </w:r>
      <w:r>
        <w:rPr>
          <w:rFonts w:ascii="arial" w:eastAsia="arial" w:hAnsi="arial" w:cs="arial"/>
          <w:color w:val="000000"/>
          <w:sz w:val="20"/>
          <w:lang w:val="en-US" w:eastAsia="en-US" w:bidi="ar-SA"/>
        </w:rPr>
        <w:t xml:space="preserve"> Jane Stapleton, "The Normal Expectancies Measure in Tort Damages" (1997), 113 </w:t>
      </w:r>
      <w:r>
        <w:rPr>
          <w:rFonts w:ascii="arial" w:eastAsia="arial" w:hAnsi="arial" w:cs="arial"/>
          <w:i/>
          <w:color w:val="000000"/>
          <w:sz w:val="20"/>
          <w:lang w:val="en-US" w:eastAsia="en-US" w:bidi="ar-SA"/>
        </w:rPr>
        <w:t>L.Q.R</w:t>
      </w:r>
      <w:r>
        <w:rPr>
          <w:rFonts w:ascii="arial" w:eastAsia="arial" w:hAnsi="arial" w:cs="arial"/>
          <w:color w:val="000000"/>
          <w:sz w:val="20"/>
          <w:lang w:val="en-US" w:eastAsia="en-US" w:bidi="ar-SA"/>
        </w:rPr>
        <w:t xml:space="preserve">. 257, thus suggests, at pp. 257-58, that the tort measure of compensatory damages may be described as the "'normal expectancies' measure", a term which "more clearly describes the aim of awards of compensatory damages in tort: namely, to re-position the plaintiff to the destination he would normally have reached ... had it not been for the tort". </w:t>
      </w:r>
      <w:r>
        <w:rPr>
          <w:rFonts w:ascii="arial" w:eastAsia="arial" w:hAnsi="arial" w:cs="arial"/>
          <w:color w:val="000000"/>
          <w:sz w:val="20"/>
          <w:u w:val="single"/>
          <w:lang w:val="en-US" w:eastAsia="en-US" w:bidi="ar-SA"/>
        </w:rPr>
        <w:t>The measure is objective, based on the evidence.</w:t>
      </w:r>
      <w:r>
        <w:rPr>
          <w:rFonts w:ascii="arial" w:eastAsia="arial" w:hAnsi="arial" w:cs="arial"/>
          <w:color w:val="000000"/>
          <w:sz w:val="20"/>
          <w:lang w:val="en-US" w:eastAsia="en-US" w:bidi="ar-SA"/>
        </w:rPr>
        <w:t xml:space="preserve"> This method produces a result fair to both the claimant and the defendant. The claimant receives damages for future losses, as best they can be ascertained. The defendant is required to compensate for those losses. To award less than what may </w:t>
      </w:r>
      <w:r>
        <w:rPr>
          <w:rFonts w:ascii="arial" w:eastAsia="arial" w:hAnsi="arial" w:cs="arial"/>
          <w:color w:val="000000"/>
          <w:sz w:val="20"/>
          <w:u w:val="single"/>
          <w:lang w:val="en-US" w:eastAsia="en-US" w:bidi="ar-SA"/>
        </w:rPr>
        <w:t>reasonably be expected to be required</w:t>
      </w:r>
      <w:r>
        <w:rPr>
          <w:rFonts w:ascii="arial" w:eastAsia="arial" w:hAnsi="arial" w:cs="arial"/>
          <w:color w:val="000000"/>
          <w:sz w:val="20"/>
          <w:lang w:val="en-US" w:eastAsia="en-US" w:bidi="ar-SA"/>
        </w:rPr>
        <w:t xml:space="preserve"> is to give the plaintiff too little and unfairly advantage the defendant. To award more is to give the plaintiff a windfall and require the defendant to pay more than is fair.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[Emphasis added in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Further, as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makes clear, "[a] future or hypothetical possibility will be taken into consideration as long as it is a real and substantial possibility and not mere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Zawadzki,</w:t>
      </w:r>
      <w:r>
        <w:rPr>
          <w:rFonts w:ascii="arial" w:eastAsia="arial" w:hAnsi="arial" w:cs="arial"/>
          <w:color w:val="000000"/>
          <w:sz w:val="20"/>
          <w:lang w:val="en-US" w:eastAsia="en-US" w:bidi="ar-SA"/>
        </w:rPr>
        <w:t xml:space="preserve"> Voith J. further summarized the approach to be taken in assessing cost of future care claims as follows at paras. 209 to 210: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[209] A future care claim should be assessed by asking what expenses would be incurred by a reasonable person to obtain medically recommended treatment. In </w:t>
      </w:r>
      <w:r>
        <w:rPr>
          <w:rFonts w:ascii="arial" w:eastAsia="arial" w:hAnsi="arial" w:cs="arial"/>
          <w:i/>
          <w:color w:val="000000"/>
          <w:sz w:val="20"/>
          <w:lang w:val="en-US" w:eastAsia="en-US" w:bidi="ar-SA"/>
        </w:rPr>
        <w:t>Bystedt v. Hay</w:t>
      </w:r>
      <w:r>
        <w:rPr>
          <w:rFonts w:ascii="arial" w:eastAsia="arial" w:hAnsi="arial" w:cs="arial"/>
          <w:color w:val="000000"/>
          <w:sz w:val="20"/>
          <w:lang w:val="en-US" w:eastAsia="en-US" w:bidi="ar-SA"/>
        </w:rPr>
        <w:t xml:space="preserve">, </w:t>
      </w:r>
      <w:hyperlink r:id="rId1210"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 Madam Justice D. Smith observed: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[163] Thus, the claim must be supported by evidence that establishes the proposed care is what a reasonable person of ample means would provide in order to meet what the plaintiff "reasonably needs to expend for the purpose of making good the loss"... It must also be based on an objective test of what is moderate and fair to both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[210] Full compensation as explained in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240-242 and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paras. 180 and 199 (S.C.) requires that there should be medical justification for a cost of future care expense and that the expense must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568</w:t>
      </w:r>
      <w:r>
        <w:rPr>
          <w:rFonts w:ascii="arial" w:eastAsia="arial" w:hAnsi="arial" w:cs="arial"/>
          <w:color w:val="000000"/>
          <w:sz w:val="20"/>
          <w:lang w:val="en-US" w:eastAsia="en-US" w:bidi="ar-SA"/>
        </w:rPr>
        <w:t>  The plaintiffs have submitted that the assessment of Mr. Hans' cost of future care should be based upon the recommendations of Ms. Sholeh Salehi, who was qualified as an expert in Occupational Therapy. Those recommendations are found in her supplemental report dated August 21,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569</w:t>
      </w:r>
      <w:r>
        <w:rPr>
          <w:rFonts w:ascii="arial" w:eastAsia="arial" w:hAnsi="arial" w:cs="arial"/>
          <w:color w:val="000000"/>
          <w:sz w:val="20"/>
          <w:lang w:val="en-US" w:eastAsia="en-US" w:bidi="ar-SA"/>
        </w:rPr>
        <w:t>  The plaintiffs also rely on the expert evidence of an economist, Mr. Robert Carson, who has extrapolated the costs of the various aspects of the recommended care for those periods of time over which Ms. Salehi has opined that the provision of such care is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570</w:t>
      </w:r>
      <w:r>
        <w:rPr>
          <w:rFonts w:ascii="arial" w:eastAsia="arial" w:hAnsi="arial" w:cs="arial"/>
          <w:color w:val="000000"/>
          <w:sz w:val="20"/>
          <w:lang w:val="en-US" w:eastAsia="en-US" w:bidi="ar-SA"/>
        </w:rPr>
        <w:t xml:space="preserve">  I will assess each of Ms. Salehi's recommendations having regard to the medical evidence and bearing in mind those assessment principles addressed in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Zawadzki</w:t>
      </w:r>
      <w:r>
        <w:rPr>
          <w:rFonts w:ascii="arial" w:eastAsia="arial" w:hAnsi="arial" w:cs="arial"/>
          <w:color w:val="000000"/>
          <w:sz w:val="20"/>
          <w:lang w:val="en-US" w:eastAsia="en-US" w:bidi="ar-SA"/>
        </w:rPr>
        <w:t xml:space="preserve"> to which I have referred.</w:t>
      </w:r>
      <w:r>
        <w:rPr>
          <w:rFonts w:ascii="arial" w:eastAsia="arial" w:hAnsi="arial" w:cs="arial"/>
          <w:sz w:val="20"/>
          <w:lang w:val="en-US" w:eastAsia="en-US" w:bidi="ar-SA"/>
        </w:rPr>
        <w:cr/>
      </w:r>
    </w:p>
    <w:p>
      <w:pPr>
        <w:numPr>
          <w:numId w:val="28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571</w:t>
      </w:r>
      <w:r>
        <w:rPr>
          <w:rFonts w:ascii="arial" w:eastAsia="arial" w:hAnsi="arial" w:cs="arial"/>
          <w:color w:val="000000"/>
          <w:sz w:val="20"/>
          <w:lang w:val="en-US" w:eastAsia="en-US" w:bidi="ar-SA"/>
        </w:rPr>
        <w:t>  Ms. Salehi recommended continuation of Mr. Hans' present medications, as prescribed by Dr. Harrad and detailed earlier in these reasons, at a total cost of $2,733.12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572</w:t>
      </w:r>
      <w:r>
        <w:rPr>
          <w:rFonts w:ascii="arial" w:eastAsia="arial" w:hAnsi="arial" w:cs="arial"/>
          <w:color w:val="000000"/>
          <w:sz w:val="20"/>
          <w:lang w:val="en-US" w:eastAsia="en-US" w:bidi="ar-SA"/>
        </w:rPr>
        <w:t>  The medical evidence supports that recommendation and establishes that such extensive pharmacological intervention has in the past been necessary to attempt to ameliorate to the extent possible the effects of Mr. Hans' psychological injuries caused by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573</w:t>
      </w:r>
      <w:r>
        <w:rPr>
          <w:rFonts w:ascii="arial" w:eastAsia="arial" w:hAnsi="arial" w:cs="arial"/>
          <w:color w:val="000000"/>
          <w:sz w:val="20"/>
          <w:lang w:val="en-US" w:eastAsia="en-US" w:bidi="ar-SA"/>
        </w:rPr>
        <w:t>  Dr. Harrad testified that similar costs will continue and also testified that he is considering referring Mr. Hans to a specialist for further pharmaceutical assistance in an attempt to improve Mr. Hans' functioning. He did not, however, provide specifics of the costs that might be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574</w:t>
      </w:r>
      <w:r>
        <w:rPr>
          <w:rFonts w:ascii="arial" w:eastAsia="arial" w:hAnsi="arial" w:cs="arial"/>
          <w:color w:val="000000"/>
          <w:sz w:val="20"/>
          <w:lang w:val="en-US" w:eastAsia="en-US" w:bidi="ar-SA"/>
        </w:rPr>
        <w:t>  I find that there is no foreseeable likelihood that the present medicinal regime or one akin to it will not be necessary for the balance of Mr. Hans' life. The net present value of that yearly cost of $2,733.12 as calculated by Mr. Carson is $75,632.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575</w:t>
      </w:r>
      <w:r>
        <w:rPr>
          <w:rFonts w:ascii="arial" w:eastAsia="arial" w:hAnsi="arial" w:cs="arial"/>
          <w:color w:val="000000"/>
          <w:sz w:val="20"/>
          <w:lang w:val="en-US" w:eastAsia="en-US" w:bidi="ar-SA"/>
        </w:rPr>
        <w:t>  I will reduce that award to $75,000 to account for the slight variation in Mr. Carson's calculations arising from the date for which he performed them (November of 2015) and the date of trial.</w:t>
      </w:r>
      <w:r>
        <w:rPr>
          <w:rFonts w:ascii="arial" w:eastAsia="arial" w:hAnsi="arial" w:cs="arial"/>
          <w:sz w:val="20"/>
          <w:lang w:val="en-US" w:eastAsia="en-US" w:bidi="ar-SA"/>
        </w:rPr>
        <w:cr/>
      </w:r>
    </w:p>
    <w:p>
      <w:pPr>
        <w:numPr>
          <w:numId w:val="28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Rehabilitation Therapies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576</w:t>
      </w:r>
      <w:r>
        <w:rPr>
          <w:rFonts w:ascii="arial" w:eastAsia="arial" w:hAnsi="arial" w:cs="arial"/>
          <w:color w:val="000000"/>
          <w:sz w:val="20"/>
          <w:lang w:val="en-US" w:eastAsia="en-US" w:bidi="ar-SA"/>
        </w:rPr>
        <w:t>  Ms. Salehi recommended that Mr. Hans' future care include psychological services, occupational therapy intervention and consultation, a structured exercise program with a kinesiologist and the use of a rehabilitation assistant.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577</w:t>
      </w:r>
      <w:r>
        <w:rPr>
          <w:rFonts w:ascii="arial" w:eastAsia="arial" w:hAnsi="arial" w:cs="arial"/>
          <w:color w:val="000000"/>
          <w:sz w:val="20"/>
          <w:lang w:val="en-US" w:eastAsia="en-US" w:bidi="ar-SA"/>
        </w:rPr>
        <w:t>  Other than the necessity for Mr. Hans to continue to receive extensive psychological services, I am not satisfied that the evidence establishes that Ms. Salehi's recommended rehabilitation therapies are medically necessary or that in the circumstances the costs associated with them are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578</w:t>
      </w:r>
      <w:r>
        <w:rPr>
          <w:rFonts w:ascii="arial" w:eastAsia="arial" w:hAnsi="arial" w:cs="arial"/>
          <w:color w:val="000000"/>
          <w:sz w:val="20"/>
          <w:lang w:val="en-US" w:eastAsia="en-US" w:bidi="ar-SA"/>
        </w:rPr>
        <w:t>  The evidence establishes that Mr. Hans is a reluctant participant in activities outside of the home without coaxing.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579</w:t>
      </w:r>
      <w:r>
        <w:rPr>
          <w:rFonts w:ascii="arial" w:eastAsia="arial" w:hAnsi="arial" w:cs="arial"/>
          <w:color w:val="000000"/>
          <w:sz w:val="20"/>
          <w:lang w:val="en-US" w:eastAsia="en-US" w:bidi="ar-SA"/>
        </w:rPr>
        <w:t>  While I recognize that Dr. Thinda has suggested that Mr. Hans should improve his overall physical condition, the observation that he should do so was made in 2012 and has not been acted upon by Mr. Hans other than with respect to long walks (as recommended by Dr. Harrad) which he now takes, usually with the coaxing of Parmjit Hans.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580</w:t>
      </w:r>
      <w:r>
        <w:rPr>
          <w:rFonts w:ascii="arial" w:eastAsia="arial" w:hAnsi="arial" w:cs="arial"/>
          <w:color w:val="000000"/>
          <w:sz w:val="20"/>
          <w:lang w:val="en-US" w:eastAsia="en-US" w:bidi="ar-SA"/>
        </w:rPr>
        <w:t>  Although Mr. Hans' failure to accept a more structured exercise program or become involved in the type of occupational therapy suggested by Ms. Salehi may in part have been due to financial constraints, I am not satisfied that the kinds of structured programs now suggested by her are reasonably necessary or would be acted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581</w:t>
      </w:r>
      <w:r>
        <w:rPr>
          <w:rFonts w:ascii="arial" w:eastAsia="arial" w:hAnsi="arial" w:cs="arial"/>
          <w:color w:val="000000"/>
          <w:sz w:val="20"/>
          <w:lang w:val="en-US" w:eastAsia="en-US" w:bidi="ar-SA"/>
        </w:rPr>
        <w:t>  In my opinion, Mr. Hans will continue to be best assisted by a care worker who, as I will later discuss, can help him perform many functions that are necessary for his future well-being without those functions being compartmentalized into special services to limited advantage.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582</w:t>
      </w:r>
      <w:r>
        <w:rPr>
          <w:rFonts w:ascii="arial" w:eastAsia="arial" w:hAnsi="arial" w:cs="arial"/>
          <w:color w:val="000000"/>
          <w:sz w:val="20"/>
          <w:lang w:val="en-US" w:eastAsia="en-US" w:bidi="ar-SA"/>
        </w:rPr>
        <w:t>  The medical evidence does, however, overwhelmingly support the need for Mr. Hans to continue to receive a high level of psychological intervention to attempt to ameliorate or control the effects of his all-pervasive psychological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583</w:t>
      </w:r>
      <w:r>
        <w:rPr>
          <w:rFonts w:ascii="arial" w:eastAsia="arial" w:hAnsi="arial" w:cs="arial"/>
          <w:color w:val="000000"/>
          <w:sz w:val="20"/>
          <w:lang w:val="en-US" w:eastAsia="en-US" w:bidi="ar-SA"/>
        </w:rPr>
        <w:t>  Except for the two trips to India taken in 2013 and 2014, with Dr. Harrad's approval, Mr. Hans has attended upon Dr. Harrad weekly for individual psychiatric counselling since his last suicide attempt in August 2012. Although that counselling together with the significant medication regime upon which Dr. Harrad has placed Mr. Hans has played a part in preventing any further known suicide attempts, Dr. Harrad testified that Mr. Hans' suicidal ideation remains much as it was. It also remains Dr. Harrad's opinion that Mr. Hans will have to deal with his psychiatric illness for the rest of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584</w:t>
      </w:r>
      <w:r>
        <w:rPr>
          <w:rFonts w:ascii="arial" w:eastAsia="arial" w:hAnsi="arial" w:cs="arial"/>
          <w:color w:val="000000"/>
          <w:sz w:val="20"/>
          <w:lang w:val="en-US" w:eastAsia="en-US" w:bidi="ar-SA"/>
        </w:rPr>
        <w:t>  Dr. Passey offered the opinion in 2015 that Mr. Hans would benefit from further psychological counselling for at least one more year and that more would likely be needed. Given Dr. Harrad's involvement to date with such limited success I am of the view that Dr. Passey's assessment of the need for a further 48 sessions, with likely more being required the next year, is very conservative. It is also based upon the potential success of other psychological therapies that have not yet been successfully implemented.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585</w:t>
      </w:r>
      <w:r>
        <w:rPr>
          <w:rFonts w:ascii="arial" w:eastAsia="arial" w:hAnsi="arial" w:cs="arial"/>
          <w:color w:val="000000"/>
          <w:sz w:val="20"/>
          <w:lang w:val="en-US" w:eastAsia="en-US" w:bidi="ar-SA"/>
        </w:rPr>
        <w:t>  Ms. Salehi has recommended that Mr. Hans continue to receive psychiatric counselling based upon 48 sessions in year 1, followed by 24 in year 2, and 12 sessions in the third year. I generally agree with that recommendation but find that it also may be medically insufficient because of my concern about alternative therapies being of assistance in the future when they have failed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586</w:t>
      </w:r>
      <w:r>
        <w:rPr>
          <w:rFonts w:ascii="arial" w:eastAsia="arial" w:hAnsi="arial" w:cs="arial"/>
          <w:color w:val="000000"/>
          <w:sz w:val="20"/>
          <w:lang w:val="en-US" w:eastAsia="en-US" w:bidi="ar-SA"/>
        </w:rPr>
        <w:t>  To the number of sessions suggested by Ms. Salehi I will accordingly add another 36 sessions in total from year 4 onward for use as necessary which, in my view, accords more appropriately with Dr. Harrad's past intervention which I believe is still the best indicator of Mr. Hans' future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587</w:t>
      </w:r>
      <w:r>
        <w:rPr>
          <w:rFonts w:ascii="arial" w:eastAsia="arial" w:hAnsi="arial" w:cs="arial"/>
          <w:color w:val="000000"/>
          <w:sz w:val="20"/>
          <w:lang w:val="en-US" w:eastAsia="en-US" w:bidi="ar-SA"/>
        </w:rPr>
        <w:t>  I will accordingly make allowance for 120 sessions. In arriving at that total I have specifically made allowance for some future trips to India to the extent that they would otherwise reduce the number of sessions that might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588</w:t>
      </w:r>
      <w:r>
        <w:rPr>
          <w:rFonts w:ascii="arial" w:eastAsia="arial" w:hAnsi="arial" w:cs="arial"/>
          <w:color w:val="000000"/>
          <w:sz w:val="20"/>
          <w:lang w:val="en-US" w:eastAsia="en-US" w:bidi="ar-SA"/>
        </w:rPr>
        <w:t>  Based upon the established rate of $190 per hour, the net present value of that award is approximately $22,800 which I will round down to $22,000 because the last 36 sessions may be used over many years rather than in any specific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589</w:t>
      </w:r>
      <w:r>
        <w:rPr>
          <w:rFonts w:ascii="arial" w:eastAsia="arial" w:hAnsi="arial" w:cs="arial"/>
          <w:color w:val="000000"/>
          <w:sz w:val="20"/>
          <w:lang w:val="en-US" w:eastAsia="en-US" w:bidi="ar-SA"/>
        </w:rPr>
        <w:t>  I do not find sufficient evidentiary support to allow compensation for other possible psychiatric interventions that may be able to assist Mr. Hans but which have to date proven to be unsuccessful.</w:t>
      </w:r>
      <w:r>
        <w:rPr>
          <w:rFonts w:ascii="arial" w:eastAsia="arial" w:hAnsi="arial" w:cs="arial"/>
          <w:sz w:val="20"/>
          <w:lang w:val="en-US" w:eastAsia="en-US" w:bidi="ar-SA"/>
        </w:rPr>
        <w:cr/>
      </w:r>
    </w:p>
    <w:p>
      <w:pPr>
        <w:numPr>
          <w:numId w:val="29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Constant (24 hour) Supervision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590</w:t>
      </w:r>
      <w:r>
        <w:rPr>
          <w:rFonts w:ascii="arial" w:eastAsia="arial" w:hAnsi="arial" w:cs="arial"/>
          <w:color w:val="000000"/>
          <w:sz w:val="20"/>
          <w:lang w:val="en-US" w:eastAsia="en-US" w:bidi="ar-SA"/>
        </w:rPr>
        <w:t>  In his report dated April 24, 2013 (as quoted above at para. 179), Dr. Harrad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Due to the nature and severity of Mr. Hans' psychiatric illness, he is not stable to be employed at any job. He is not a suitable candidate at this time to be considered participating in vocational rehabilitation program. His progress is very, very slow. </w:t>
      </w:r>
      <w:r>
        <w:rPr>
          <w:rFonts w:ascii="arial" w:eastAsia="arial" w:hAnsi="arial" w:cs="arial"/>
          <w:color w:val="000000"/>
          <w:sz w:val="20"/>
          <w:u w:val="single"/>
          <w:lang w:val="en-US" w:eastAsia="en-US" w:bidi="ar-SA"/>
        </w:rPr>
        <w:t>He needs 24 hour supervision by family members to protect him from suicide attempts. It will take a few years to stabilize and bring Mr. Hans' psychiatric disorder in remission</w:t>
      </w:r>
      <w:r>
        <w:rPr>
          <w:rFonts w:ascii="arial" w:eastAsia="arial" w:hAnsi="arial" w:cs="arial"/>
          <w:color w:val="000000"/>
          <w:sz w:val="20"/>
          <w:lang w:val="en-US" w:eastAsia="en-US" w:bidi="ar-SA"/>
        </w:rPr>
        <w:t xml:space="preserve">. Even if Mr. Hans is stabilized, it will be risky and impossible for him to be employed as a truck driver. His prognosis is poor. </w:t>
      </w:r>
      <w:r>
        <w:rPr>
          <w:rFonts w:ascii="arial" w:eastAsia="arial" w:hAnsi="arial" w:cs="arial"/>
          <w:color w:val="000000"/>
          <w:sz w:val="20"/>
          <w:u w:val="single"/>
          <w:lang w:val="en-US" w:eastAsia="en-US" w:bidi="ar-SA"/>
        </w:rPr>
        <w:t>Mr. Hans will remain at high risk of attempting suicide</w:t>
      </w:r>
      <w:r>
        <w:rPr>
          <w:rFonts w:ascii="arial" w:eastAsia="arial" w:hAnsi="arial" w:cs="arial"/>
          <w:color w:val="000000"/>
          <w:sz w:val="20"/>
          <w:lang w:val="en-US" w:eastAsia="en-US" w:bidi="ar-SA"/>
        </w:rPr>
        <w:t xml:space="preserve"> mainly due to his psychiatric illness and ongoing litigation against Volvo and Yanke Group of Companies. </w:t>
      </w:r>
      <w:r>
        <w:rPr>
          <w:rFonts w:ascii="arial" w:eastAsia="arial" w:hAnsi="arial" w:cs="arial"/>
          <w:color w:val="000000"/>
          <w:sz w:val="20"/>
          <w:u w:val="single"/>
          <w:lang w:val="en-US" w:eastAsia="en-US" w:bidi="ar-SA"/>
        </w:rPr>
        <w:t>Mr. Hans will have to live with this lifelong psychiatric illness and to be maintained on medication for the rest of his life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591</w:t>
      </w:r>
      <w:r>
        <w:rPr>
          <w:rFonts w:ascii="arial" w:eastAsia="arial" w:hAnsi="arial" w:cs="arial"/>
          <w:color w:val="000000"/>
          <w:sz w:val="20"/>
          <w:lang w:val="en-US" w:eastAsia="en-US" w:bidi="ar-SA"/>
        </w:rPr>
        <w:t>  At trial, Dr. Harrad testified that after more than three years of almost weekly psychiatric intervention Mr. Hans had made little progress. His psychiatric illnesses are not in remission. Mr. Hans remains at a high risk for attempting suicide and constant supervision remains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592</w:t>
      </w:r>
      <w:r>
        <w:rPr>
          <w:rFonts w:ascii="arial" w:eastAsia="arial" w:hAnsi="arial" w:cs="arial"/>
          <w:color w:val="000000"/>
          <w:sz w:val="20"/>
          <w:lang w:val="en-US" w:eastAsia="en-US" w:bidi="ar-SA"/>
        </w:rPr>
        <w:t>  Dr. Passey testified that unless psychiatric intervention can effectively treat Mr. Hans' psychological injuries to the extent that he can participate in and receive the benefit of what he called "talking therapies", his prognosis for improvement is very poor. In discussing the types of interventions that could be of potential assistance Dr. Passey suggested that specialized pharmacological intervention might assist Mr. Hans to achieve a level of cognition which could allow him to benefit from therapies such as cognitive behavioural therapy. He also testified that as a last resort ECT or electro-shock therapy could be employed to attempt to improve Mr. Hans' cognition so that he might be able to engage in "talking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593</w:t>
      </w:r>
      <w:r>
        <w:rPr>
          <w:rFonts w:ascii="arial" w:eastAsia="arial" w:hAnsi="arial" w:cs="arial"/>
          <w:color w:val="000000"/>
          <w:sz w:val="20"/>
          <w:lang w:val="en-US" w:eastAsia="en-US" w:bidi="ar-SA"/>
        </w:rPr>
        <w:t>  Dr. Passey also testified, however, that unless such interventions were successful the only real means of protecting Mr. Hans from committing suicide because of his psychological injuries would be supervision on an almost 24 hour basis. He also testified that ideally such supervision would engage a care component that would require a Punjabi speaking caregiver under the direction of a psychologist with experience in treating PTSD to enable Mr. Hans to gain the most possible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594</w:t>
      </w:r>
      <w:r>
        <w:rPr>
          <w:rFonts w:ascii="arial" w:eastAsia="arial" w:hAnsi="arial" w:cs="arial"/>
          <w:color w:val="000000"/>
          <w:sz w:val="20"/>
          <w:lang w:val="en-US" w:eastAsia="en-US" w:bidi="ar-SA"/>
        </w:rPr>
        <w:t>  Under cross-examination by counsel for Volvo Dr. Passey agreed that the fact that Mr. Hans had not attempted suicide since September of 2012 was a positive sign, but also testified that it was not the best predictor of the likelihood of Mr. Hans not again attempting suicide due to his continuing suicidal ideation and its potential activation by stressors.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595</w:t>
      </w:r>
      <w:r>
        <w:rPr>
          <w:rFonts w:ascii="arial" w:eastAsia="arial" w:hAnsi="arial" w:cs="arial"/>
          <w:color w:val="000000"/>
          <w:sz w:val="20"/>
          <w:lang w:val="en-US" w:eastAsia="en-US" w:bidi="ar-SA"/>
        </w:rPr>
        <w:t>  In her cost of future care report Ms. Salehi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Due to Mr. Hans' suicidal ideation and suicide attempts, both Dr. Passey and Dr. Harrad have recommended that he have 24-hour supervision. To date, this support has been provided by friends and family members. For a period of time during 2012, Mrs. Hans hired a family friend to stay with them and help her out with the care of Mr. Hans as she was experiencing burnout. However, this arrangement lasted for a few months and due to personality and financial issues, she had to discontinue this arrangement. Since then she has continued to seek help from friends and family with this task. Due to ongoing suicidal ideation and in order for Mr. Hans to continue living in his own home (which is culturally appropriate) without having the burden of care on Mrs. Hans, Mr. Hans' needs would be best served by hiring workers through a health care agency, that are more familiar with psychological issues, and which has nursing services and supervision programs in place for their care aides. The cost of 24-hour care is $230- $250 per day plus GST. Statutory holidays would be charged at 1.5 times the per diem rate. As quoted by Bayshore Home Health and WeCare. It is recommended that he receive this service to age 75, as he can move into assisted care at that point if he continues to need 24-hour supervision.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596</w:t>
      </w:r>
      <w:r>
        <w:rPr>
          <w:rFonts w:ascii="arial" w:eastAsia="arial" w:hAnsi="arial" w:cs="arial"/>
          <w:color w:val="000000"/>
          <w:sz w:val="20"/>
          <w:lang w:val="en-US" w:eastAsia="en-US" w:bidi="ar-SA"/>
        </w:rPr>
        <w:t>  According to Ms. Salehi's report, the yearly cost for the provision of that level of constant supervision and care would be from $81,420 to 88,520 plus GST. The net present value of those costs to age 75 would be from $2,017,573 to $2,193,014 plus GST.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597</w:t>
      </w:r>
      <w:r>
        <w:rPr>
          <w:rFonts w:ascii="arial" w:eastAsia="arial" w:hAnsi="arial" w:cs="arial"/>
          <w:color w:val="000000"/>
          <w:sz w:val="20"/>
          <w:lang w:val="en-US" w:eastAsia="en-US" w:bidi="ar-SA"/>
        </w:rPr>
        <w:t>  Under cross-examination Ms. Salehi also, somewhat surprisingly, disclosed that while the cost of providing 24 hour care on which her recommendations are based would be from $230 to $250 per day the cost of providing such services for only 8 to 10 hours per day would be still higher at $250 to $280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598</w:t>
      </w:r>
      <w:r>
        <w:rPr>
          <w:rFonts w:ascii="arial" w:eastAsia="arial" w:hAnsi="arial" w:cs="arial"/>
          <w:color w:val="000000"/>
          <w:sz w:val="20"/>
          <w:lang w:val="en-US" w:eastAsia="en-US" w:bidi="ar-SA"/>
        </w:rPr>
        <w:t>  Volvo submitted that "there is simply no basis for making any award for the cost of monitoring Mr. Hans".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599</w:t>
      </w:r>
      <w:r>
        <w:rPr>
          <w:rFonts w:ascii="arial" w:eastAsia="arial" w:hAnsi="arial" w:cs="arial"/>
          <w:color w:val="000000"/>
          <w:sz w:val="20"/>
          <w:lang w:val="en-US" w:eastAsia="en-US" w:bidi="ar-SA"/>
        </w:rPr>
        <w:t>  In making that submission Volvo relied upon the video surveillance evidence and the evidence of Dr. Solomons which I have discussed in detail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600</w:t>
      </w:r>
      <w:r>
        <w:rPr>
          <w:rFonts w:ascii="arial" w:eastAsia="arial" w:hAnsi="arial" w:cs="arial"/>
          <w:color w:val="000000"/>
          <w:sz w:val="20"/>
          <w:lang w:val="en-US" w:eastAsia="en-US" w:bidi="ar-SA"/>
        </w:rPr>
        <w:t>  Volvo also relied on the fact that Mr. Hans had been able to travel to India twice for extended periods without constant supervision and the fact that he has not attempted to commit suicide since the fall of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601</w:t>
      </w:r>
      <w:r>
        <w:rPr>
          <w:rFonts w:ascii="arial" w:eastAsia="arial" w:hAnsi="arial" w:cs="arial"/>
          <w:color w:val="000000"/>
          <w:sz w:val="20"/>
          <w:lang w:val="en-US" w:eastAsia="en-US" w:bidi="ar-SA"/>
        </w:rPr>
        <w:t>  Volvo submits that those trips to India as well as the four year absence of suicide attempts undermine the medical opinions of Drs. Harrad and Passey to such an extent that no award for future supervision is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602</w:t>
      </w:r>
      <w:r>
        <w:rPr>
          <w:rFonts w:ascii="arial" w:eastAsia="arial" w:hAnsi="arial" w:cs="arial"/>
          <w:color w:val="000000"/>
          <w:sz w:val="20"/>
          <w:lang w:val="en-US" w:eastAsia="en-US" w:bidi="ar-SA"/>
        </w:rPr>
        <w:t>  I have previously rejected Volvo's submissions concerning the video surveillance and Dr. Solomons' opinions, and find that neither support the submission that no future supervision of Mr. Hans is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603</w:t>
      </w:r>
      <w:r>
        <w:rPr>
          <w:rFonts w:ascii="arial" w:eastAsia="arial" w:hAnsi="arial" w:cs="arial"/>
          <w:color w:val="000000"/>
          <w:sz w:val="20"/>
          <w:lang w:val="en-US" w:eastAsia="en-US" w:bidi="ar-SA"/>
        </w:rPr>
        <w:t>  I have also previously discussed in some detail the extent to which the trips to India, while not directly supervised by Mrs. Hans, were indirectly supervised by her together with Mr. Hans' ability able to call upon the assistance of his relatives in the village if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604</w:t>
      </w:r>
      <w:r>
        <w:rPr>
          <w:rFonts w:ascii="arial" w:eastAsia="arial" w:hAnsi="arial" w:cs="arial"/>
          <w:color w:val="000000"/>
          <w:sz w:val="20"/>
          <w:lang w:val="en-US" w:eastAsia="en-US" w:bidi="ar-SA"/>
        </w:rPr>
        <w:t>  I also once again note the therapeutic value attached to those trips as testified by Dr. Harrad, who approved of the trips but also testified that he still considers future close supervision of Mr. Hans to be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605</w:t>
      </w:r>
      <w:r>
        <w:rPr>
          <w:rFonts w:ascii="arial" w:eastAsia="arial" w:hAnsi="arial" w:cs="arial"/>
          <w:color w:val="000000"/>
          <w:sz w:val="20"/>
          <w:lang w:val="en-US" w:eastAsia="en-US" w:bidi="ar-SA"/>
        </w:rPr>
        <w:t>  Concerning Volvo's submission that the absence of suicide attempts since the fall of 2012 should result in the conclusion that constant supervision is no longer necessary, I accept Dr. Passey's opinion that while the lack of active attempts is a positive sign, it is not the best predictor of future likelihood because of Mr. Hans' continuing suicidal ideation and its potential activation by stressors.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606</w:t>
      </w:r>
      <w:r>
        <w:rPr>
          <w:rFonts w:ascii="arial" w:eastAsia="arial" w:hAnsi="arial" w:cs="arial"/>
          <w:color w:val="000000"/>
          <w:sz w:val="20"/>
          <w:lang w:val="en-US" w:eastAsia="en-US" w:bidi="ar-SA"/>
        </w:rPr>
        <w:t>  It must, of course, also be noted that although supervision of Mr. Hans since September of 2012 has not been as constant as now recommended by Ms. Salehi, it has been nearly so by reason of the dedication of Mrs. Hans and Parmjit Hans as well as the efforts of others, including Ashleen Hans, other family friends and Ms. Bilan.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607</w:t>
      </w:r>
      <w:r>
        <w:rPr>
          <w:rFonts w:ascii="arial" w:eastAsia="arial" w:hAnsi="arial" w:cs="arial"/>
          <w:color w:val="000000"/>
          <w:sz w:val="20"/>
          <w:lang w:val="en-US" w:eastAsia="en-US" w:bidi="ar-SA"/>
        </w:rPr>
        <w:t>  If it were possible to require Mrs. Hans, Parmjit Hans and others to continue that so far successful level of care and supervision, I would agree that the risks requiring constant supervision identified by Drs. Harrad and Passey could be significantly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608</w:t>
      </w:r>
      <w:r>
        <w:rPr>
          <w:rFonts w:ascii="arial" w:eastAsia="arial" w:hAnsi="arial" w:cs="arial"/>
          <w:color w:val="000000"/>
          <w:sz w:val="20"/>
          <w:lang w:val="en-US" w:eastAsia="en-US" w:bidi="ar-SA"/>
        </w:rPr>
        <w:t>  Also, if I were confident that possible psychiatric intervention identified by Dr. Passey might improve Mr. Hans' cognitive functioning to a level where he could benefit significantly from behavioural therapy, I would be more inclined to accept a level of care less than that recommended by Dr. Passey and Dr. Harrad.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609</w:t>
      </w:r>
      <w:r>
        <w:rPr>
          <w:rFonts w:ascii="arial" w:eastAsia="arial" w:hAnsi="arial" w:cs="arial"/>
          <w:color w:val="000000"/>
          <w:sz w:val="20"/>
          <w:lang w:val="en-US" w:eastAsia="en-US" w:bidi="ar-SA"/>
        </w:rPr>
        <w:t>  I cannot, however, require Mrs. Hans to continue to do what she has done so selflessly for almost seven years. While I have no doubt that she will continue to do as much as can be reasonably required of her, there is no certainty that the marriage will endure forever. Also, Mrs. Hans is required to remain in the workforce on a full time basis which will make her less available or able to carry on as she has done in the past. Her failure to do so would constitute a lack of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610</w:t>
      </w:r>
      <w:r>
        <w:rPr>
          <w:rFonts w:ascii="arial" w:eastAsia="arial" w:hAnsi="arial" w:cs="arial"/>
          <w:color w:val="000000"/>
          <w:sz w:val="20"/>
          <w:lang w:val="en-US" w:eastAsia="en-US" w:bidi="ar-SA"/>
        </w:rPr>
        <w:t>  Similarly, while Parmjit Hans' devotion to the assistance of Mr. Hans has been selfless and remarkable he cannot be compelled to continue doing all that he has done. Parmjit Hans also is employed and while his efforts have been untiring they have been almost entirely gratuitously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611</w:t>
      </w:r>
      <w:r>
        <w:rPr>
          <w:rFonts w:ascii="arial" w:eastAsia="arial" w:hAnsi="arial" w:cs="arial"/>
          <w:color w:val="000000"/>
          <w:sz w:val="20"/>
          <w:lang w:val="en-US" w:eastAsia="en-US" w:bidi="ar-SA"/>
        </w:rPr>
        <w:t>  I also do not have confidence that any as yet unsuccessful or untried psychological intervention will so improve Mr. Hans' mental functioning that almost constant supervision will not be necessary. While I am hopeful that it could do so, the failure of the past many years of psychiatric and pharmacological intervention to improve his condition and the total inability of Mr. Hans to participate in cognitive behaviour therapy with Dr. Suhail lead me to conclude that the prospect of significant improvement is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612</w:t>
      </w:r>
      <w:r>
        <w:rPr>
          <w:rFonts w:ascii="arial" w:eastAsia="arial" w:hAnsi="arial" w:cs="arial"/>
          <w:color w:val="000000"/>
          <w:sz w:val="20"/>
          <w:lang w:val="en-US" w:eastAsia="en-US" w:bidi="ar-SA"/>
        </w:rPr>
        <w:t>  If the cost of supervisory care recommended by Ms. Salehi was less costly, if provided on an 8 to 10 hour per day basis rather than for 24 hours, I would have considered the potential cost savings for a less constant supervisory regime.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613</w:t>
      </w:r>
      <w:r>
        <w:rPr>
          <w:rFonts w:ascii="arial" w:eastAsia="arial" w:hAnsi="arial" w:cs="arial"/>
          <w:color w:val="000000"/>
          <w:sz w:val="20"/>
          <w:lang w:val="en-US" w:eastAsia="en-US" w:bidi="ar-SA"/>
        </w:rPr>
        <w:t>  Also, if there was evidence that Parmjit Hans would undertake to do what he has done in the past for a level compensation that would replace his income from employment, I would have considered such an arrangement to be a reasonable alternative notwithstanding it would not offer the professional assistance comprised in the supervision regimes suggested by Dr. Passey or Ms. Salehi.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614</w:t>
      </w:r>
      <w:r>
        <w:rPr>
          <w:rFonts w:ascii="arial" w:eastAsia="arial" w:hAnsi="arial" w:cs="arial"/>
          <w:color w:val="000000"/>
          <w:sz w:val="20"/>
          <w:lang w:val="en-US" w:eastAsia="en-US" w:bidi="ar-SA"/>
        </w:rPr>
        <w:t>  I do not, as suggested by Volvo, accept that if supervision is necessary, it can be made compensated for on a basis similar to that in which Parmjit Hans was paid $1,000 per month as well as room and board. That was a one-time, short-term arrangement with a close dedicated friend. It does not serve as a basis for a cost of future care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615</w:t>
      </w:r>
      <w:r>
        <w:rPr>
          <w:rFonts w:ascii="arial" w:eastAsia="arial" w:hAnsi="arial" w:cs="arial"/>
          <w:color w:val="000000"/>
          <w:sz w:val="20"/>
          <w:lang w:val="en-US" w:eastAsia="en-US" w:bidi="ar-SA"/>
        </w:rPr>
        <w:t>  If, faced with Drs. Harrad and Passey's opinions concerning the medical need for almost constant supervision and Ms. Salehi's costing of that service in expert opinions delivered well before trial, Volvo was of the opinion that a less costly and still appropriate basis of compensation for Mr. Hans' proven medical needs was available, such evidence ought to have been adduced.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616</w:t>
      </w:r>
      <w:r>
        <w:rPr>
          <w:rFonts w:ascii="arial" w:eastAsia="arial" w:hAnsi="arial" w:cs="arial"/>
          <w:color w:val="000000"/>
          <w:sz w:val="20"/>
          <w:lang w:val="en-US" w:eastAsia="en-US" w:bidi="ar-SA"/>
        </w:rPr>
        <w:t>  I am satisfied that although other less expensive and perhaps appropriate means of providing Mr. Hans with the care and supervision he needs may be available, it would be at best speculative for me to make any award that is not grounded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617</w:t>
      </w:r>
      <w:r>
        <w:rPr>
          <w:rFonts w:ascii="arial" w:eastAsia="arial" w:hAnsi="arial" w:cs="arial"/>
          <w:color w:val="000000"/>
          <w:sz w:val="20"/>
          <w:lang w:val="en-US" w:eastAsia="en-US" w:bidi="ar-SA"/>
        </w:rPr>
        <w:t xml:space="preserve">  The Supreme Court of Canada's articulation of the approach to be taken in assessing future care cost stated in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paras. 21 and 22 quoted above in the Court of Appeal's decision in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 xml:space="preserve"> emphasises that:</w:t>
      </w:r>
      <w:r>
        <w:rPr>
          <w:rFonts w:ascii="arial" w:eastAsia="arial" w:hAnsi="arial" w:cs="arial"/>
          <w:sz w:val="20"/>
          <w:lang w:val="en-US" w:eastAsia="en-US" w:bidi="ar-SA"/>
        </w:rPr>
        <w:cr/>
      </w:r>
    </w:p>
    <w:p>
      <w:pPr>
        <w:numPr>
          <w:numId w:val="2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must be assessed once and for all at the time of trial;</w:t>
      </w:r>
    </w:p>
    <w:p>
      <w:pPr>
        <w:numPr>
          <w:numId w:val="2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assessing damages for future care costs the court </w:t>
      </w:r>
      <w:r>
        <w:rPr>
          <w:rFonts w:ascii="arial" w:eastAsia="arial" w:hAnsi="arial" w:cs="arial"/>
          <w:color w:val="000000"/>
          <w:sz w:val="20"/>
          <w:u w:val="single"/>
          <w:lang w:val="en-US" w:eastAsia="en-US" w:bidi="ar-SA"/>
        </w:rPr>
        <w:t>must rely on the evidence</w:t>
      </w:r>
      <w:r>
        <w:rPr>
          <w:rFonts w:ascii="arial" w:eastAsia="arial" w:hAnsi="arial" w:cs="arial"/>
          <w:color w:val="000000"/>
          <w:sz w:val="20"/>
          <w:lang w:val="en-US" w:eastAsia="en-US" w:bidi="ar-SA"/>
        </w:rPr>
        <w:t xml:space="preserve"> as to what care is likely to be in the injured person's best interests;</w:t>
      </w:r>
    </w:p>
    <w:p>
      <w:pPr>
        <w:numPr>
          <w:numId w:val="2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measure of damages is objective </w:t>
      </w:r>
      <w:r>
        <w:rPr>
          <w:rFonts w:ascii="arial" w:eastAsia="arial" w:hAnsi="arial" w:cs="arial"/>
          <w:color w:val="000000"/>
          <w:sz w:val="20"/>
          <w:u w:val="single"/>
          <w:lang w:val="en-US" w:eastAsia="en-US" w:bidi="ar-SA"/>
        </w:rPr>
        <w:t>based on the evidence;</w:t>
      </w:r>
    </w:p>
    <w:p>
      <w:pPr>
        <w:numPr>
          <w:numId w:val="2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Adjustments can be made for the contingency that the future may differ from what the evidence at trial indicates.</w:t>
      </w:r>
    </w:p>
    <w:p>
      <w:pPr>
        <w:numPr>
          <w:numId w:val="2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To award less than what may reasonably be expected to be required is to give the plaintiff too little and unfairly advantage the defendant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618</w:t>
      </w:r>
      <w:r>
        <w:rPr>
          <w:rFonts w:ascii="arial" w:eastAsia="arial" w:hAnsi="arial" w:cs="arial"/>
          <w:color w:val="000000"/>
          <w:sz w:val="20"/>
          <w:lang w:val="en-US" w:eastAsia="en-US" w:bidi="ar-SA"/>
        </w:rPr>
        <w:t>  In the absence of cogent evidence that there is a viable alternative means of reasonably meeting Mr. Hans' proven future reasonable medical needs, I have decided that I should accept the cost of future supervisory care recommended by Ms. Salehi.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619</w:t>
      </w:r>
      <w:r>
        <w:rPr>
          <w:rFonts w:ascii="arial" w:eastAsia="arial" w:hAnsi="arial" w:cs="arial"/>
          <w:color w:val="000000"/>
          <w:sz w:val="20"/>
          <w:lang w:val="en-US" w:eastAsia="en-US" w:bidi="ar-SA"/>
        </w:rPr>
        <w:t>  I have, however, concluded that although Dr. Passey's evidence that as yet untried psychological intervention may improve Mr. Hans' condition does not give me confidence that his level of need for constant supervision will be reduced, it is a potentially possible contingent factor that should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620</w:t>
      </w:r>
      <w:r>
        <w:rPr>
          <w:rFonts w:ascii="arial" w:eastAsia="arial" w:hAnsi="arial" w:cs="arial"/>
          <w:color w:val="000000"/>
          <w:sz w:val="20"/>
          <w:lang w:val="en-US" w:eastAsia="en-US" w:bidi="ar-SA"/>
        </w:rPr>
        <w:t>  I have, additionally concluded that some reduction in the costs of Mr. Hans future care should be made for the contingent possibility that he will in future attend in India for approximately two to three months in some years where he will not likely require such extensive paid supervision.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621</w:t>
      </w:r>
      <w:r>
        <w:rPr>
          <w:rFonts w:ascii="arial" w:eastAsia="arial" w:hAnsi="arial" w:cs="arial"/>
          <w:color w:val="000000"/>
          <w:sz w:val="20"/>
          <w:lang w:val="en-US" w:eastAsia="en-US" w:bidi="ar-SA"/>
        </w:rPr>
        <w:t>  I have concluded that an approximately 20% reduction to account for both contingencies should be made to the mid-point (approximately $2,105,000) of Ms. Salehi's recommended cost of Mr. Hans' future care and supervision to age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622</w:t>
      </w:r>
      <w:r>
        <w:rPr>
          <w:rFonts w:ascii="arial" w:eastAsia="arial" w:hAnsi="arial" w:cs="arial"/>
          <w:color w:val="000000"/>
          <w:sz w:val="20"/>
          <w:lang w:val="en-US" w:eastAsia="en-US" w:bidi="ar-SA"/>
        </w:rPr>
        <w:t>  In result, I find that Mr. Hans is entitled to an award of $1,684,000 for the cost of his future care and supervision.</w:t>
      </w:r>
      <w:r>
        <w:rPr>
          <w:rFonts w:ascii="arial" w:eastAsia="arial" w:hAnsi="arial" w:cs="arial"/>
          <w:sz w:val="20"/>
          <w:lang w:val="en-US" w:eastAsia="en-US" w:bidi="ar-SA"/>
        </w:rPr>
        <w:cr/>
      </w:r>
    </w:p>
    <w:p>
      <w:pPr>
        <w:numPr>
          <w:numId w:val="29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Home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623</w:t>
      </w:r>
      <w:r>
        <w:rPr>
          <w:rFonts w:ascii="arial" w:eastAsia="arial" w:hAnsi="arial" w:cs="arial"/>
          <w:color w:val="000000"/>
          <w:sz w:val="20"/>
          <w:lang w:val="en-US" w:eastAsia="en-US" w:bidi="ar-SA"/>
        </w:rPr>
        <w:t>  Ms. Salehi has recommended that Mr. Hans be awarded costs of future care for lawn and yard maintenance as well as home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624</w:t>
      </w:r>
      <w:r>
        <w:rPr>
          <w:rFonts w:ascii="arial" w:eastAsia="arial" w:hAnsi="arial" w:cs="arial"/>
          <w:color w:val="000000"/>
          <w:sz w:val="20"/>
          <w:lang w:val="en-US" w:eastAsia="en-US" w:bidi="ar-SA"/>
        </w:rPr>
        <w:t>  The costs associated to those recommendations are from approximately $4,800 to $6,000 per year for yard and lawn maintenance and between approximately $2,100 and $2,900 for home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625</w:t>
      </w:r>
      <w:r>
        <w:rPr>
          <w:rFonts w:ascii="arial" w:eastAsia="arial" w:hAnsi="arial" w:cs="arial"/>
          <w:color w:val="000000"/>
          <w:sz w:val="20"/>
          <w:lang w:val="en-US" w:eastAsia="en-US" w:bidi="ar-SA"/>
        </w:rPr>
        <w:t>  Other than Ms. Salehi's suggestions that those costs arise from Mr. Hans' lack of motivation and depression there is little evidence of medical support or necessity for such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626</w:t>
      </w:r>
      <w:r>
        <w:rPr>
          <w:rFonts w:ascii="arial" w:eastAsia="arial" w:hAnsi="arial" w:cs="arial"/>
          <w:color w:val="000000"/>
          <w:sz w:val="20"/>
          <w:lang w:val="en-US" w:eastAsia="en-US" w:bidi="ar-SA"/>
        </w:rPr>
        <w:t>  I do not doubt that Mr. Hans' psychological injuries have resulted in his failing to perform the yard and household tasks that he once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627</w:t>
      </w:r>
      <w:r>
        <w:rPr>
          <w:rFonts w:ascii="arial" w:eastAsia="arial" w:hAnsi="arial" w:cs="arial"/>
          <w:color w:val="000000"/>
          <w:sz w:val="20"/>
          <w:lang w:val="en-US" w:eastAsia="en-US" w:bidi="ar-SA"/>
        </w:rPr>
        <w:t>  I also, however, note Dr. Thinda's opinion that Mr. Hans should become more physically active and the evidence of Mrs. Hans and Parmjit Hans that Mr. Hans has, recently with coaxing, begun to walk more regularly.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628</w:t>
      </w:r>
      <w:r>
        <w:rPr>
          <w:rFonts w:ascii="arial" w:eastAsia="arial" w:hAnsi="arial" w:cs="arial"/>
          <w:color w:val="000000"/>
          <w:sz w:val="20"/>
          <w:lang w:val="en-US" w:eastAsia="en-US" w:bidi="ar-SA"/>
        </w:rPr>
        <w:t>  In those circumstances, I find that the awards for further psychiatric counselling I have made, as well as those for his ongoing care and supervision should help to improve upon Mr. Hans' lack of motivation.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629</w:t>
      </w:r>
      <w:r>
        <w:rPr>
          <w:rFonts w:ascii="arial" w:eastAsia="arial" w:hAnsi="arial" w:cs="arial"/>
          <w:color w:val="000000"/>
          <w:sz w:val="20"/>
          <w:lang w:val="en-US" w:eastAsia="en-US" w:bidi="ar-SA"/>
        </w:rPr>
        <w:t>  Supervisory care of the type and substance recommended by Ms. Salehi and awarded by me should also improve Mr. Hans' willingness to undertake household tasks as well as his overall physical capabilities and level of fitness.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630</w:t>
      </w:r>
      <w:r>
        <w:rPr>
          <w:rFonts w:ascii="arial" w:eastAsia="arial" w:hAnsi="arial" w:cs="arial"/>
          <w:color w:val="000000"/>
          <w:sz w:val="20"/>
          <w:lang w:val="en-US" w:eastAsia="en-US" w:bidi="ar-SA"/>
        </w:rPr>
        <w:t>  In all of those circumstances I am satisfied that no awards for future care for lawn and yard maintenance or home maintenance are medically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631</w:t>
      </w:r>
      <w:r>
        <w:rPr>
          <w:rFonts w:ascii="arial" w:eastAsia="arial" w:hAnsi="arial" w:cs="arial"/>
          <w:color w:val="000000"/>
          <w:sz w:val="20"/>
          <w:lang w:val="en-US" w:eastAsia="en-US" w:bidi="ar-SA"/>
        </w:rPr>
        <w:t>  In summary, I make the following awards for the cost of Mr. Hans' future care:</w:t>
      </w:r>
      <w:r>
        <w:rPr>
          <w:rFonts w:ascii="arial" w:eastAsia="arial" w:hAnsi="arial" w:cs="arial"/>
          <w:sz w:val="20"/>
          <w:lang w:val="en-US" w:eastAsia="en-US" w:bidi="ar-SA"/>
        </w:rPr>
        <w:cr/>
      </w:r>
    </w:p>
    <w:p>
      <w:pPr>
        <w:numPr>
          <w:numId w:val="2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Medications: $75,000</w:t>
      </w:r>
    </w:p>
    <w:p>
      <w:pPr>
        <w:numPr>
          <w:numId w:val="2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services: $22,000</w:t>
      </w:r>
    </w:p>
    <w:p>
      <w:pPr>
        <w:numPr>
          <w:numId w:val="2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Care and supervision: $1,684,000.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TOTAL: $1,781,000</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632</w:t>
      </w:r>
      <w:r>
        <w:rPr>
          <w:rFonts w:ascii="arial" w:eastAsia="arial" w:hAnsi="arial" w:cs="arial"/>
          <w:color w:val="000000"/>
          <w:sz w:val="20"/>
          <w:lang w:val="en-US" w:eastAsia="en-US" w:bidi="ar-SA"/>
        </w:rPr>
        <w:t xml:space="preserve">  The plaintiffs' claims for both their past and future income losses arising as a consequence of Volvo's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both legally and factually complex.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633</w:t>
      </w:r>
      <w:r>
        <w:rPr>
          <w:rFonts w:ascii="arial" w:eastAsia="arial" w:hAnsi="arial" w:cs="arial"/>
          <w:color w:val="000000"/>
          <w:sz w:val="20"/>
          <w:lang w:val="en-US" w:eastAsia="en-US" w:bidi="ar-SA"/>
        </w:rPr>
        <w:t>  That complexity arises because Mr. and Mrs. Hans worked as a team in the nature of a true equal partnership in their income earning endeavours as self- employed long haul truck drivers. That team and its ability to earn income as a team has been irreparably damaged by the consequences of the collision and the psychological injuries to Mr. Hans caused by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634</w:t>
      </w:r>
      <w:r>
        <w:rPr>
          <w:rFonts w:ascii="arial" w:eastAsia="arial" w:hAnsi="arial" w:cs="arial"/>
          <w:color w:val="000000"/>
          <w:sz w:val="20"/>
          <w:lang w:val="en-US" w:eastAsia="en-US" w:bidi="ar-SA"/>
        </w:rPr>
        <w:t>  The plaintiffs' claims are further complicated by the existence of Mr. and Mrs. Hans' plans to expand their business interests by operating, through Sai Transport Inc., a small flat-bed long haul trucking company of their own by adding five additional owner-operated trucks over a period of five years to work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635</w:t>
      </w:r>
      <w:r>
        <w:rPr>
          <w:rFonts w:ascii="arial" w:eastAsia="arial" w:hAnsi="arial" w:cs="arial"/>
          <w:color w:val="000000"/>
          <w:sz w:val="20"/>
          <w:lang w:val="en-US" w:eastAsia="en-US" w:bidi="ar-SA"/>
        </w:rPr>
        <w:t>  In that plan, Mr. Hans would have continued to operate the Hans' vehicle, as a part of the fleet as its own profit centre, and would have performed the physical work needed to accommodate the use of the other owner-operators. Mrs. Hans would have undertaken primary responsibility for securing loads for operators, making routing arrangements to maximize revenues, dispatching and providing office support to drivers, arranging permits and insurance coverage, and bookkeeping.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636</w:t>
      </w:r>
      <w:r>
        <w:rPr>
          <w:rFonts w:ascii="arial" w:eastAsia="arial" w:hAnsi="arial" w:cs="arial"/>
          <w:color w:val="000000"/>
          <w:sz w:val="20"/>
          <w:lang w:val="en-US" w:eastAsia="en-US" w:bidi="ar-SA"/>
        </w:rPr>
        <w:t>  I will in these reasons refer to that business expansion plan as the "Sai Trucking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637</w:t>
      </w:r>
      <w:r>
        <w:rPr>
          <w:rFonts w:ascii="arial" w:eastAsia="arial" w:hAnsi="arial" w:cs="arial"/>
          <w:color w:val="000000"/>
          <w:sz w:val="20"/>
          <w:lang w:val="en-US" w:eastAsia="en-US" w:bidi="ar-SA"/>
        </w:rPr>
        <w:t>  The complicating factors I have identified arise both in relation to the plaintiffs' claims for past loss of income earning capacity and future loss of income earning capacity because of the plaintiffs' evidence that they intended to commence the Sai Trucking Venture about one year after the collision and intended to add one driver per year until the total of at least five was reached in year five.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638</w:t>
      </w:r>
      <w:r>
        <w:rPr>
          <w:rFonts w:ascii="arial" w:eastAsia="arial" w:hAnsi="arial" w:cs="arial"/>
          <w:color w:val="000000"/>
          <w:sz w:val="20"/>
          <w:lang w:val="en-US" w:eastAsia="en-US" w:bidi="ar-SA"/>
        </w:rPr>
        <w:t>  The plaintiffs adduced the expert evidence of a Chartered Accountant, Mr. Perry Munton, in support of their business projections from which they extrapolate substantial past and future losses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639</w:t>
      </w:r>
      <w:r>
        <w:rPr>
          <w:rFonts w:ascii="arial" w:eastAsia="arial" w:hAnsi="arial" w:cs="arial"/>
          <w:color w:val="000000"/>
          <w:sz w:val="20"/>
          <w:lang w:val="en-US" w:eastAsia="en-US" w:bidi="ar-SA"/>
        </w:rPr>
        <w:t>  Counsel for the plaintiffs has submitted that a net past loss of earning capacity of $690,000 is supportable by the totality of the evidence. He has also submitted that the evidence supports a future loss of income earning capacity of $3,833,000.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640</w:t>
      </w:r>
      <w:r>
        <w:rPr>
          <w:rFonts w:ascii="arial" w:eastAsia="arial" w:hAnsi="arial" w:cs="arial"/>
          <w:color w:val="000000"/>
          <w:sz w:val="20"/>
          <w:lang w:val="en-US" w:eastAsia="en-US" w:bidi="ar-SA"/>
        </w:rPr>
        <w:t>  Volvo suggests that far lower awards are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641</w:t>
      </w:r>
      <w:r>
        <w:rPr>
          <w:rFonts w:ascii="arial" w:eastAsia="arial" w:hAnsi="arial" w:cs="arial"/>
          <w:color w:val="000000"/>
          <w:sz w:val="20"/>
          <w:lang w:val="en-US" w:eastAsia="en-US" w:bidi="ar-SA"/>
        </w:rPr>
        <w:t>  Counsel for Volvo has submitted that if Mr. Hans is entitled to any loss of earnings the award should (subject to issues of mitigation which I will later address) be assessed based upon past earnings losses of between approximately $30,000 and $35,000 per year (totaling $210,000 to $245,000) less appropriate income tax deductions and that any future income loss should also be based on similar yearly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642</w:t>
      </w:r>
      <w:r>
        <w:rPr>
          <w:rFonts w:ascii="arial" w:eastAsia="arial" w:hAnsi="arial" w:cs="arial"/>
          <w:color w:val="000000"/>
          <w:sz w:val="20"/>
          <w:lang w:val="en-US" w:eastAsia="en-US" w:bidi="ar-SA"/>
        </w:rPr>
        <w:t>  Based upon the yearly amounts suggested by Volvo, if Mr. Hans worked to age 65, he would suffer future income losses assessed on an income stream basis of approximately $750,000 to $875,000 with those amounts being reduced to reflect the net present value of such an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643</w:t>
      </w:r>
      <w:r>
        <w:rPr>
          <w:rFonts w:ascii="arial" w:eastAsia="arial" w:hAnsi="arial" w:cs="arial"/>
          <w:color w:val="000000"/>
          <w:sz w:val="20"/>
          <w:lang w:val="en-US" w:eastAsia="en-US" w:bidi="ar-SA"/>
        </w:rPr>
        <w:t>  In making those submissions, Volvo:</w:t>
      </w:r>
      <w:r>
        <w:rPr>
          <w:rFonts w:ascii="arial" w:eastAsia="arial" w:hAnsi="arial" w:cs="arial"/>
          <w:sz w:val="20"/>
          <w:lang w:val="en-US" w:eastAsia="en-US" w:bidi="ar-SA"/>
        </w:rPr>
        <w:cr/>
      </w:r>
    </w:p>
    <w:p>
      <w:pPr>
        <w:numPr>
          <w:numId w:val="3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accepts the proposition that Mr. Hans' losses should be based upon one-half of the income that the "team" comprised of Mr. and Mrs. Hans earned in the years prior to the collision calculated by reference to the income tax returns filed by Mr. Hans (adjusted to the extent Volvo says is necessary to reflect actual earned income earned by the plaintiffs in their trucking business); but</w:t>
      </w:r>
    </w:p>
    <w:p>
      <w:pPr>
        <w:numPr>
          <w:numId w:val="3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denies that either Mr. or Mrs. Hans should be awarded any loss of past or future income earning capacity related to the proposed Sai Trucking Venture, because it is speculative.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644</w:t>
      </w:r>
      <w:r>
        <w:rPr>
          <w:rFonts w:ascii="arial" w:eastAsia="arial" w:hAnsi="arial" w:cs="arial"/>
          <w:color w:val="000000"/>
          <w:sz w:val="20"/>
          <w:lang w:val="en-US" w:eastAsia="en-US" w:bidi="ar-SA"/>
        </w:rPr>
        <w:t>  I will discuss my assessment of the plaintiffs' damages for loss of past and future income earning capacity by considering:</w:t>
      </w:r>
      <w:r>
        <w:rPr>
          <w:rFonts w:ascii="arial" w:eastAsia="arial" w:hAnsi="arial" w:cs="arial"/>
          <w:sz w:val="20"/>
          <w:lang w:val="en-US" w:eastAsia="en-US" w:bidi="ar-SA"/>
        </w:rPr>
        <w:cr/>
      </w:r>
    </w:p>
    <w:p>
      <w:pPr>
        <w:numPr>
          <w:numId w:val="3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principles to be applied in assessing losses of earning capacity;</w:t>
      </w:r>
    </w:p>
    <w:p>
      <w:pPr>
        <w:numPr>
          <w:numId w:val="3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of the "team" approach to assessment of damages in this case;</w:t>
      </w:r>
    </w:p>
    <w:p>
      <w:pPr>
        <w:numPr>
          <w:numId w:val="3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past yearly income earned by the plaintiffs before the collision, which should be used in assessing their past and future losses of income earning capacity; and</w:t>
      </w:r>
    </w:p>
    <w:p>
      <w:pPr>
        <w:numPr>
          <w:numId w:val="3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if at all, the plaintiffs have established that the Sai Trucking Venture should be considered in assessing either their past or future losses of income earning capacity, or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645</w:t>
      </w:r>
      <w:r>
        <w:rPr>
          <w:rFonts w:ascii="arial" w:eastAsia="arial" w:hAnsi="arial" w:cs="arial"/>
          <w:color w:val="000000"/>
          <w:sz w:val="20"/>
          <w:lang w:val="en-US" w:eastAsia="en-US" w:bidi="ar-SA"/>
        </w:rPr>
        <w:t>  I will then determine the awards to be made to each of the plaintiffs for their:</w:t>
      </w:r>
      <w:r>
        <w:rPr>
          <w:rFonts w:ascii="arial" w:eastAsia="arial" w:hAnsi="arial" w:cs="arial"/>
          <w:sz w:val="20"/>
          <w:lang w:val="en-US" w:eastAsia="en-US" w:bidi="ar-SA"/>
        </w:rPr>
        <w:cr/>
      </w:r>
    </w:p>
    <w:p>
      <w:pPr>
        <w:numPr>
          <w:numId w:val="3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income earning capacity after deduction of any amounts earned from the date of the collision until the date of trial;</w:t>
      </w:r>
    </w:p>
    <w:p>
      <w:pPr>
        <w:numPr>
          <w:numId w:val="3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losses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646</w:t>
      </w:r>
      <w:r>
        <w:rPr>
          <w:rFonts w:ascii="arial" w:eastAsia="arial" w:hAnsi="arial" w:cs="arial"/>
          <w:color w:val="000000"/>
          <w:sz w:val="20"/>
          <w:lang w:val="en-US" w:eastAsia="en-US" w:bidi="ar-SA"/>
        </w:rPr>
        <w:t>  As part of these assessments I will also consider issues of mitigation raised by Volvo and the extent to which any proven lack of mitigation must reduce any otherwise appropriate awards.</w:t>
      </w:r>
      <w:r>
        <w:rPr>
          <w:rFonts w:ascii="arial" w:eastAsia="arial" w:hAnsi="arial" w:cs="arial"/>
          <w:sz w:val="20"/>
          <w:lang w:val="en-US" w:eastAsia="en-US" w:bidi="ar-SA"/>
        </w:rPr>
        <w:cr/>
      </w:r>
    </w:p>
    <w:p>
      <w:pPr>
        <w:numPr>
          <w:numId w:val="30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Principles Applicable to Assessment of Damages for Loss of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our Court of Appeal settled the question of how claims for impaired earning capacity can be addressed. After a long discussion and review of different approaches that had been applied in past cases, Garson J.A. stated for the Court at para. 32:</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[2007] B.C.J. No. 499</w:t>
        </w:r>
      </w:hyperlink>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[2008] B.C.J. No. 48</w:t>
        </w:r>
      </w:hyperlink>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[2010] B.C.J. No. 168</w:t>
        </w:r>
      </w:hyperlink>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A plaintiff may indeed be able to prove that there is a substantial possibility of a future loss of income despite having returned to his or her usual employment. 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color w:val="000000"/>
          <w:sz w:val="20"/>
          <w:lang w:val="en-US" w:eastAsia="en-US" w:bidi="ar-SA"/>
        </w:rPr>
        <w:t xml:space="preserve">.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an inability to perform an occupation that is not a realistic alternative occupation is not proof of a future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the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648</w:t>
      </w:r>
      <w:r>
        <w:rPr>
          <w:rFonts w:ascii="arial" w:eastAsia="arial" w:hAnsi="arial" w:cs="arial"/>
          <w:color w:val="000000"/>
          <w:sz w:val="20"/>
          <w:lang w:val="en-US" w:eastAsia="en-US" w:bidi="ar-SA"/>
        </w:rPr>
        <w:t xml:space="preserve">  An issue has arisen in this case concerning whether that "real and substantial possibility" burden, addressed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applies only with respect to future loss of earning capacity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649</w:t>
      </w:r>
      <w:r>
        <w:rPr>
          <w:rFonts w:ascii="arial" w:eastAsia="arial" w:hAnsi="arial" w:cs="arial"/>
          <w:color w:val="000000"/>
          <w:sz w:val="20"/>
          <w:lang w:val="en-US" w:eastAsia="en-US" w:bidi="ar-SA"/>
        </w:rPr>
        <w:t xml:space="preserve">  That issue arises because in </w:t>
      </w:r>
      <w:r>
        <w:rPr>
          <w:rFonts w:ascii="arial" w:eastAsia="arial" w:hAnsi="arial" w:cs="arial"/>
          <w:i/>
          <w:color w:val="000000"/>
          <w:sz w:val="20"/>
          <w:lang w:val="en-US" w:eastAsia="en-US" w:bidi="ar-SA"/>
        </w:rPr>
        <w:t>Reynolds v. M. Sanghera and Sons Trucking Ltd</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2015 BCCA 232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Reynolds</w:t>
      </w:r>
      <w:r>
        <w:rPr>
          <w:rFonts w:ascii="arial" w:eastAsia="arial" w:hAnsi="arial" w:cs="arial"/>
          <w:color w:val="000000"/>
          <w:sz w:val="20"/>
          <w:lang w:val="en-US" w:eastAsia="en-US" w:bidi="ar-SA"/>
        </w:rPr>
        <w:t>], the Court of Appeal stated at para. 15:</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burden of proof for past loss of earning capacity is proof on a balance of probabilities. </w:t>
      </w:r>
      <w:r>
        <w:rPr>
          <w:rFonts w:ascii="arial" w:eastAsia="arial" w:hAnsi="arial" w:cs="arial"/>
          <w:color w:val="000000"/>
          <w:sz w:val="20"/>
          <w:u w:val="single"/>
          <w:lang w:val="en-US" w:eastAsia="en-US" w:bidi="ar-SA"/>
        </w:rPr>
        <w:t>It is a different burden of proof than that required to show future loss of earning capacity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650</w:t>
      </w:r>
      <w:r>
        <w:rPr>
          <w:rFonts w:ascii="arial" w:eastAsia="arial" w:hAnsi="arial" w:cs="arial"/>
          <w:color w:val="000000"/>
          <w:sz w:val="20"/>
          <w:lang w:val="en-US" w:eastAsia="en-US" w:bidi="ar-SA"/>
        </w:rPr>
        <w:t xml:space="preserve">  My review of the authorities leads me to conclude that the referenced quotation from </w:t>
      </w:r>
      <w:r>
        <w:rPr>
          <w:rFonts w:ascii="arial" w:eastAsia="arial" w:hAnsi="arial" w:cs="arial"/>
          <w:i/>
          <w:color w:val="000000"/>
          <w:sz w:val="20"/>
          <w:lang w:val="en-US" w:eastAsia="en-US" w:bidi="ar-SA"/>
        </w:rPr>
        <w:t>Reynolds</w:t>
      </w:r>
      <w:r>
        <w:rPr>
          <w:rFonts w:ascii="arial" w:eastAsia="arial" w:hAnsi="arial" w:cs="arial"/>
          <w:color w:val="000000"/>
          <w:sz w:val="20"/>
          <w:lang w:val="en-US" w:eastAsia="en-US" w:bidi="ar-SA"/>
        </w:rPr>
        <w:t xml:space="preserve"> is an overly broad statement when what is at issue is "future events leading to a loss of income" that could have occurred between the date an injury was suffered and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651</w:t>
      </w:r>
      <w:r>
        <w:rPr>
          <w:rFonts w:ascii="arial" w:eastAsia="arial" w:hAnsi="arial" w:cs="arial"/>
          <w:color w:val="000000"/>
          <w:sz w:val="20"/>
          <w:lang w:val="en-US" w:eastAsia="en-US" w:bidi="ar-SA"/>
        </w:rPr>
        <w:t>  I reach those conclusions for the following reasons:</w:t>
      </w:r>
      <w:r>
        <w:rPr>
          <w:rFonts w:ascii="arial" w:eastAsia="arial" w:hAnsi="arial" w:cs="arial"/>
          <w:sz w:val="20"/>
          <w:lang w:val="en-US" w:eastAsia="en-US" w:bidi="ar-SA"/>
        </w:rPr>
        <w:cr/>
      </w:r>
    </w:p>
    <w:p>
      <w:pPr>
        <w:numPr>
          <w:numId w:val="3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Rowe</w:t>
      </w:r>
      <w:r>
        <w:rPr>
          <w:rFonts w:ascii="arial" w:eastAsia="arial" w:hAnsi="arial" w:cs="arial"/>
          <w:color w:val="000000"/>
          <w:sz w:val="20"/>
          <w:lang w:val="en-US" w:eastAsia="en-US" w:bidi="ar-SA"/>
        </w:rPr>
        <w:t xml:space="preserve">], K. Smith J.A. (for the Court) after considering the judgment of the Supreme Court of Canada in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M.B.</w:t>
      </w:r>
      <w:r>
        <w:rPr>
          <w:rFonts w:ascii="arial" w:eastAsia="arial" w:hAnsi="arial" w:cs="arial"/>
          <w:color w:val="000000"/>
          <w:sz w:val="20"/>
          <w:lang w:val="en-US" w:eastAsia="en-US" w:bidi="ar-SA"/>
        </w:rPr>
        <w:t>], wrote at paras. 27 to 31:</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The Chief Justice said [in </w:t>
      </w:r>
      <w:r>
        <w:rPr>
          <w:rFonts w:ascii="arial" w:eastAsia="arial" w:hAnsi="arial" w:cs="arial"/>
          <w:i/>
          <w:color w:val="000000"/>
          <w:sz w:val="20"/>
          <w:lang w:val="en-US" w:eastAsia="en-US" w:bidi="ar-SA"/>
        </w:rPr>
        <w:t>M.B.</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There is considerable case law establishing that an award for loss of earning capacity is intended to compensate for the loss of an </w:t>
      </w:r>
      <w:r>
        <w:rPr>
          <w:rFonts w:ascii="arial" w:eastAsia="arial" w:hAnsi="arial" w:cs="arial"/>
          <w:color w:val="000000"/>
          <w:sz w:val="20"/>
          <w:u w:val="single"/>
          <w:lang w:val="en-US" w:eastAsia="en-US" w:bidi="ar-SA"/>
        </w:rPr>
        <w:t>asset</w:t>
      </w:r>
      <w:r>
        <w:rPr>
          <w:rFonts w:ascii="arial" w:eastAsia="arial" w:hAnsi="arial" w:cs="arial"/>
          <w:color w:val="000000"/>
          <w:sz w:val="20"/>
          <w:lang w:val="en-US" w:eastAsia="en-US" w:bidi="ar-SA"/>
        </w:rPr>
        <w:t xml:space="preserve">, the capacity to earn. In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p. 251, Dickson J. (as he then was), following </w:t>
      </w:r>
      <w:r>
        <w:rPr>
          <w:rFonts w:ascii="arial" w:eastAsia="arial" w:hAnsi="arial" w:cs="arial"/>
          <w:i/>
          <w:color w:val="000000"/>
          <w:sz w:val="20"/>
          <w:lang w:val="en-US" w:eastAsia="en-US" w:bidi="ar-SA"/>
        </w:rPr>
        <w:t>Jennings v. Cronsberry</w:t>
      </w:r>
      <w:r>
        <w:rPr>
          <w:rFonts w:ascii="arial" w:eastAsia="arial" w:hAnsi="arial" w:cs="arial"/>
          <w:color w:val="000000"/>
          <w:sz w:val="20"/>
          <w:lang w:val="en-US" w:eastAsia="en-US" w:bidi="ar-SA"/>
        </w:rPr>
        <w:t xml:space="preserve">, </w:t>
      </w:r>
      <w:hyperlink r:id="rId1211" w:history="1">
        <w:r>
          <w:rPr>
            <w:rFonts w:ascii="arial" w:eastAsia="arial" w:hAnsi="arial" w:cs="arial"/>
            <w:i/>
            <w:color w:val="0077CC"/>
            <w:sz w:val="20"/>
            <w:u w:val="single"/>
            <w:shd w:val="clear" w:color="auto" w:fill="FFFFFF"/>
            <w:lang w:val="en-US" w:eastAsia="en-US" w:bidi="ar-SA"/>
          </w:rPr>
          <w:t>[1966] S.C.R. 532</w:t>
        </w:r>
      </w:hyperlink>
      <w:r>
        <w:rPr>
          <w:rFonts w:ascii="arial" w:eastAsia="arial" w:hAnsi="arial" w:cs="arial"/>
          <w:color w:val="000000"/>
          <w:sz w:val="20"/>
          <w:lang w:val="en-US" w:eastAsia="en-US" w:bidi="ar-SA"/>
        </w:rPr>
        <w:t>, stated that:</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loss of earnings but, rather, loss of earning capacity for which compensation must be made: </w:t>
      </w:r>
      <w:r>
        <w:rPr>
          <w:rFonts w:ascii="arial" w:eastAsia="arial" w:hAnsi="arial" w:cs="arial"/>
          <w:i/>
          <w:color w:val="000000"/>
          <w:sz w:val="20"/>
          <w:lang w:val="en-US" w:eastAsia="en-US" w:bidi="ar-SA"/>
        </w:rPr>
        <w:t>The Queen v. Jennings, supra</w:t>
      </w:r>
      <w:r>
        <w:rPr>
          <w:rFonts w:ascii="arial" w:eastAsia="arial" w:hAnsi="arial" w:cs="arial"/>
          <w:color w:val="000000"/>
          <w:sz w:val="20"/>
          <w:lang w:val="en-US" w:eastAsia="en-US" w:bidi="ar-SA"/>
        </w:rPr>
        <w:t>. A capital asset has been lost: what was its value?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Subsequent decisions have followed this approach: see </w:t>
      </w:r>
      <w:r>
        <w:rPr>
          <w:rFonts w:ascii="arial" w:eastAsia="arial" w:hAnsi="arial" w:cs="arial"/>
          <w:i/>
          <w:color w:val="000000"/>
          <w:sz w:val="20"/>
          <w:lang w:val="en-US" w:eastAsia="en-US" w:bidi="ar-SA"/>
        </w:rPr>
        <w:t>Earnshaw v. Despins</w:t>
      </w:r>
      <w:r>
        <w:rPr>
          <w:rFonts w:ascii="arial" w:eastAsia="arial" w:hAnsi="arial" w:cs="arial"/>
          <w:color w:val="000000"/>
          <w:sz w:val="20"/>
          <w:lang w:val="en-US" w:eastAsia="en-US" w:bidi="ar-SA"/>
        </w:rPr>
        <w:t xml:space="preserve"> </w:t>
      </w:r>
      <w:hyperlink r:id="rId1212" w:history="1">
        <w:r>
          <w:rPr>
            <w:rFonts w:ascii="arial" w:eastAsia="arial" w:hAnsi="arial" w:cs="arial"/>
            <w:i/>
            <w:color w:val="0077CC"/>
            <w:sz w:val="20"/>
            <w:u w:val="single"/>
            <w:shd w:val="clear" w:color="auto" w:fill="FFFFFF"/>
            <w:lang w:val="en-US" w:eastAsia="en-US" w:bidi="ar-SA"/>
          </w:rPr>
          <w:t>(1990), 45 B.C.L.R. (2d) 380</w:t>
        </w:r>
      </w:hyperlink>
      <w:r>
        <w:rPr>
          <w:rFonts w:ascii="arial" w:eastAsia="arial" w:hAnsi="arial" w:cs="arial"/>
          <w:color w:val="000000"/>
          <w:sz w:val="20"/>
          <w:lang w:val="en-US" w:eastAsia="en-US" w:bidi="ar-SA"/>
        </w:rPr>
        <w:t xml:space="preserve"> (C.A.), at p. 399; </w:t>
      </w:r>
      <w:r>
        <w:rPr>
          <w:rFonts w:ascii="arial" w:eastAsia="arial" w:hAnsi="arial" w:cs="arial"/>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555"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(C.A.), at p. 59;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at para. 27. As Finch J.A. noted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these cases "all treat a person's capacity to earn income as a capital asset, whose value may be lost or impaired by injury".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[Emphasis in </w:t>
      </w:r>
      <w:r>
        <w:rPr>
          <w:rFonts w:ascii="arial" w:eastAsia="arial" w:hAnsi="arial" w:cs="arial"/>
          <w:i/>
          <w:color w:val="000000"/>
          <w:sz w:val="20"/>
          <w:lang w:val="en-US" w:eastAsia="en-US" w:bidi="ar-SA"/>
        </w:rPr>
        <w:t>M.B.</w:t>
      </w:r>
      <w:r>
        <w:rPr>
          <w:rFonts w:ascii="arial" w:eastAsia="arial" w:hAnsi="arial" w:cs="arial"/>
          <w:color w:val="000000"/>
          <w:sz w:val="20"/>
          <w:lang w:val="en-US" w:eastAsia="en-US" w:bidi="ar-SA"/>
        </w:rPr>
        <w:t>]</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[28] On the question of the appropriate valuation of the lost asset, the Chief Justice turned to academic commentary: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As Cooper-Stephenson notes,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[Kenneth D. Cooper-Stephenson,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xml:space="preserve">, 2nd ed. (Scarborough, Ont.: Carswell, 1996)] at p. 138, damages under this head are universally quantified on the basis of what the plaintiff </w:t>
      </w:r>
      <w:r>
        <w:rPr>
          <w:rFonts w:ascii="arial" w:eastAsia="arial" w:hAnsi="arial" w:cs="arial"/>
          <w:color w:val="000000"/>
          <w:sz w:val="20"/>
          <w:u w:val="single"/>
          <w:lang w:val="en-US" w:eastAsia="en-US" w:bidi="ar-SA"/>
        </w:rPr>
        <w:t>would have earned</w:t>
      </w:r>
      <w:r>
        <w:rPr>
          <w:rFonts w:ascii="arial" w:eastAsia="arial" w:hAnsi="arial" w:cs="arial"/>
          <w:color w:val="000000"/>
          <w:sz w:val="20"/>
          <w:lang w:val="en-US" w:eastAsia="en-US" w:bidi="ar-SA"/>
        </w:rPr>
        <w:t>, had the injury not occurred.</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far as concerns lost income, the courts fluctuate between the notion of "loss of earnings" and "loss of earning capacity", not for the most part intending any aspect of the substance of an assessment to depend on the particular wording, since damages are universally quantified on the basis of what the plaintiff </w:t>
      </w:r>
      <w:r>
        <w:rPr>
          <w:rFonts w:ascii="arial" w:eastAsia="arial" w:hAnsi="arial" w:cs="arial"/>
          <w:i/>
          <w:color w:val="000000"/>
          <w:sz w:val="20"/>
          <w:lang w:val="en-US" w:eastAsia="en-US" w:bidi="ar-SA"/>
        </w:rPr>
        <w:t>would have</w:t>
      </w:r>
      <w:r>
        <w:rPr>
          <w:rFonts w:ascii="arial" w:eastAsia="arial" w:hAnsi="arial" w:cs="arial"/>
          <w:color w:val="000000"/>
          <w:sz w:val="20"/>
          <w:lang w:val="en-US" w:eastAsia="en-US" w:bidi="ar-SA"/>
        </w:rPr>
        <w:t xml:space="preserve">, not what he or she </w:t>
      </w:r>
      <w:r>
        <w:rPr>
          <w:rFonts w:ascii="arial" w:eastAsia="arial" w:hAnsi="arial" w:cs="arial"/>
          <w:i/>
          <w:color w:val="000000"/>
          <w:sz w:val="20"/>
          <w:lang w:val="en-US" w:eastAsia="en-US" w:bidi="ar-SA"/>
        </w:rPr>
        <w:t>could have</w:t>
      </w:r>
      <w:r>
        <w:rPr>
          <w:rFonts w:ascii="arial" w:eastAsia="arial" w:hAnsi="arial" w:cs="arial"/>
          <w:color w:val="000000"/>
          <w:sz w:val="20"/>
          <w:lang w:val="en-US" w:eastAsia="en-US" w:bidi="ar-SA"/>
        </w:rPr>
        <w:t>, earned absent the injury.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[Emphasis in </w:t>
      </w:r>
      <w:r>
        <w:rPr>
          <w:rFonts w:ascii="arial" w:eastAsia="arial" w:hAnsi="arial" w:cs="arial"/>
          <w:i/>
          <w:color w:val="000000"/>
          <w:sz w:val="20"/>
          <w:lang w:val="en-US" w:eastAsia="en-US" w:bidi="ar-SA"/>
        </w:rPr>
        <w:t>M.B.</w:t>
      </w: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[29] She concluded,</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These damages are not, then, based on a fixed value that has been assigned to an abstract capacity to earn. Rather, </w:t>
      </w:r>
      <w:r>
        <w:rPr>
          <w:rFonts w:ascii="arial" w:eastAsia="arial" w:hAnsi="arial" w:cs="arial"/>
          <w:color w:val="000000"/>
          <w:sz w:val="20"/>
          <w:u w:val="single"/>
          <w:lang w:val="en-US" w:eastAsia="en-US" w:bidi="ar-SA"/>
        </w:rPr>
        <w:t>the value of a particular plaintiff's capacity to earn is equivalent to the value of the earnings that she or he would have received over time, had the tort not been committed</w:t>
      </w:r>
      <w:r>
        <w:rPr>
          <w:rFonts w:ascii="arial" w:eastAsia="arial" w:hAnsi="arial" w:cs="arial"/>
          <w:color w:val="000000"/>
          <w:sz w:val="20"/>
          <w:lang w:val="en-US" w:eastAsia="en-US" w:bidi="ar-SA"/>
        </w:rPr>
        <w:t>. It follows that the loss of this value - the loss that the plaintiff has sustained, and that the damage award is intended to compensate for - should be treated as a loss sustained over time, rather than as a loss incurred entirely at the time that the tort was committed.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[Emphasis in </w:t>
      </w:r>
      <w:r>
        <w:rPr>
          <w:rFonts w:ascii="arial" w:eastAsia="arial" w:hAnsi="arial" w:cs="arial"/>
          <w:i/>
          <w:color w:val="000000"/>
          <w:sz w:val="20"/>
          <w:lang w:val="en-US" w:eastAsia="en-US" w:bidi="ar-SA"/>
        </w:rPr>
        <w:t>Rowe.</w:t>
      </w:r>
      <w:r>
        <w:rPr>
          <w:rFonts w:ascii="arial" w:eastAsia="arial" w:hAnsi="arial" w:cs="arial"/>
          <w:color w:val="000000"/>
          <w:sz w:val="20"/>
          <w:lang w:val="en-US" w:eastAsia="en-US" w:bidi="ar-SA"/>
        </w:rPr>
        <w:t>]</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[30] Thus, in my view, a claim for what is often described as "past loss of income" is actually a claim for loss of earning capacity; that is, a claim for the loss of the value of the work that the injured plaintiff would have performed but was unable to perform because of the injury.</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Evidence of this value may take many forms. As was said by Kenneth D. Cooper-Stephenson in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2nd ed. (Scarborough, Ont.: Carswell, 1996) at 205-06,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essence of the task under this head of damages is to award compensation for any pecuniary loss which will result from an inability to work. "Loss of the value of work" is the substance of the claim -- loss of the value of any work the plaintiff would have done but for the accident but now will be unable to do. </w:t>
      </w:r>
      <w:r>
        <w:rPr>
          <w:rFonts w:ascii="arial" w:eastAsia="arial" w:hAnsi="arial" w:cs="arial"/>
          <w:color w:val="000000"/>
          <w:sz w:val="20"/>
          <w:u w:val="single"/>
          <w:lang w:val="en-US" w:eastAsia="en-US" w:bidi="ar-SA"/>
        </w:rPr>
        <w:t>The loss framed in this way may be measured in different ways</w:t>
      </w:r>
      <w:r>
        <w:rPr>
          <w:rFonts w:ascii="arial" w:eastAsia="arial" w:hAnsi="arial" w:cs="arial"/>
          <w:color w:val="000000"/>
          <w:sz w:val="20"/>
          <w:lang w:val="en-US" w:eastAsia="en-US" w:bidi="ar-SA"/>
        </w:rPr>
        <w:t xml:space="preserve">. Sometimes it will be measured by reference to the </w:t>
      </w:r>
      <w:r>
        <w:rPr>
          <w:rFonts w:ascii="arial" w:eastAsia="arial" w:hAnsi="arial" w:cs="arial"/>
          <w:i/>
          <w:color w:val="000000"/>
          <w:sz w:val="20"/>
          <w:lang w:val="en-US" w:eastAsia="en-US" w:bidi="ar-SA"/>
        </w:rPr>
        <w:t>actual earnings</w:t>
      </w:r>
      <w:r>
        <w:rPr>
          <w:rFonts w:ascii="arial" w:eastAsia="arial" w:hAnsi="arial" w:cs="arial"/>
          <w:color w:val="000000"/>
          <w:sz w:val="20"/>
          <w:lang w:val="en-US" w:eastAsia="en-US" w:bidi="ar-SA"/>
        </w:rPr>
        <w:t xml:space="preserve"> the plaintiff would have received; sometimes by a </w:t>
      </w:r>
      <w:r>
        <w:rPr>
          <w:rFonts w:ascii="arial" w:eastAsia="arial" w:hAnsi="arial" w:cs="arial"/>
          <w:i/>
          <w:color w:val="000000"/>
          <w:sz w:val="20"/>
          <w:lang w:val="en-US" w:eastAsia="en-US" w:bidi="ar-SA"/>
        </w:rPr>
        <w:t>replacement cost evaluation of tasks</w:t>
      </w:r>
      <w:r>
        <w:rPr>
          <w:rFonts w:ascii="arial" w:eastAsia="arial" w:hAnsi="arial" w:cs="arial"/>
          <w:color w:val="000000"/>
          <w:sz w:val="20"/>
          <w:lang w:val="en-US" w:eastAsia="en-US" w:bidi="ar-SA"/>
        </w:rPr>
        <w:t xml:space="preserve"> which the plaintiff will now be unable to perform; sometimes by an assessment of reduced </w:t>
      </w:r>
      <w:r>
        <w:rPr>
          <w:rFonts w:ascii="arial" w:eastAsia="arial" w:hAnsi="arial" w:cs="arial"/>
          <w:i/>
          <w:color w:val="000000"/>
          <w:sz w:val="20"/>
          <w:lang w:val="en-US" w:eastAsia="en-US" w:bidi="ar-SA"/>
        </w:rPr>
        <w:t>company profits</w:t>
      </w:r>
      <w:r>
        <w:rPr>
          <w:rFonts w:ascii="arial" w:eastAsia="arial" w:hAnsi="arial" w:cs="arial"/>
          <w:color w:val="000000"/>
          <w:sz w:val="20"/>
          <w:lang w:val="en-US" w:eastAsia="en-US" w:bidi="ar-SA"/>
        </w:rPr>
        <w:t xml:space="preserve">; and sometimes by the amount of secondary income lost, such as </w:t>
      </w:r>
      <w:r>
        <w:rPr>
          <w:rFonts w:ascii="arial" w:eastAsia="arial" w:hAnsi="arial" w:cs="arial"/>
          <w:i/>
          <w:color w:val="000000"/>
          <w:sz w:val="20"/>
          <w:lang w:val="en-US" w:eastAsia="en-US" w:bidi="ar-SA"/>
        </w:rPr>
        <w:t>shared family income</w:t>
      </w: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[Underscoring emphasis in </w:t>
      </w:r>
      <w:r>
        <w:rPr>
          <w:rFonts w:ascii="arial" w:eastAsia="arial" w:hAnsi="arial" w:cs="arial"/>
          <w:i/>
          <w:color w:val="000000"/>
          <w:sz w:val="20"/>
          <w:lang w:val="en-US" w:eastAsia="en-US" w:bidi="ar-SA"/>
        </w:rPr>
        <w:t>Rowe.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3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no distinction was drawn between the principles to be applied in assessing past loss of earning capacity and future loss of earning capacity;</w:t>
      </w:r>
    </w:p>
    <w:p>
      <w:pPr>
        <w:numPr>
          <w:numId w:val="3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Similarly, in the appeal in </w:t>
      </w:r>
      <w:r>
        <w:rPr>
          <w:rFonts w:ascii="arial" w:eastAsia="arial" w:hAnsi="arial" w:cs="arial"/>
          <w:i/>
          <w:color w:val="000000"/>
          <w:sz w:val="20"/>
          <w:lang w:val="en-US" w:eastAsia="en-US" w:bidi="ar-SA"/>
        </w:rPr>
        <w:t>Reilly</w:t>
      </w:r>
      <w:r>
        <w:rPr>
          <w:rFonts w:ascii="arial" w:eastAsia="arial" w:hAnsi="arial" w:cs="arial"/>
          <w:color w:val="000000"/>
          <w:sz w:val="20"/>
          <w:lang w:val="en-US" w:eastAsia="en-US" w:bidi="ar-SA"/>
        </w:rPr>
        <w:t xml:space="preserve"> ( </w:t>
      </w:r>
      <w:hyperlink r:id="rId284"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without differentiating between assessment of past and future income loss, the majority of the Court of Appeal wrote at paras. 100 to 101:</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[100] An award for loss of earning capacity presents particular difficulties. As Dickson J. (as he then was) said, in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251:</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must now gaze more deeply into the crystal ball. What sort of a career would the accident victim have had? What were his prospects and potential prior to the accident? It is not loss of earnings but, rather, loss of earning capacity for which compensation must be made: </w:t>
      </w:r>
      <w:r>
        <w:rPr>
          <w:rFonts w:ascii="arial" w:eastAsia="arial" w:hAnsi="arial" w:cs="arial"/>
          <w:i/>
          <w:color w:val="000000"/>
          <w:sz w:val="20"/>
          <w:lang w:val="en-US" w:eastAsia="en-US" w:bidi="ar-SA"/>
        </w:rPr>
        <w:t>The Queen v. Jennings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 capital asset has been lost: what was its value?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[101] 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(2001), 84 B.C.L.R. (3d) 158</w:t>
        </w:r>
      </w:hyperlink>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79. In adjusting for contingencies, the remarks of Dickson J. in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253, are a useful guide: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in many respects, these contingencies implicitly are already contained in an assessment of the projected average level of earnings of the injured person, for one must assume that this figure is a projection with respect to the real world of work, vicissitudes and all. Second, not all contingencies are adverse ... Finally, in modern society there are many public and private schemes which cushion the individual against adverse contingencies. </w:t>
      </w:r>
      <w:r>
        <w:rPr>
          <w:rFonts w:ascii="arial" w:eastAsia="arial" w:hAnsi="arial" w:cs="arial"/>
          <w:color w:val="000000"/>
          <w:sz w:val="20"/>
          <w:u w:val="single"/>
          <w:lang w:val="en-US" w:eastAsia="en-US" w:bidi="ar-SA"/>
        </w:rPr>
        <w:t>Clearly, the percentage deduction which is proper will depend on the facts of the individual case, particularly the nature of the plaintiff's occupation, but generally it will be small</w:t>
      </w:r>
      <w:r>
        <w:rPr>
          <w:rFonts w:ascii="arial" w:eastAsia="arial" w:hAnsi="arial" w:cs="arial"/>
          <w:color w:val="000000"/>
          <w:sz w:val="20"/>
          <w:lang w:val="en-US" w:eastAsia="en-US" w:bidi="ar-SA"/>
        </w:rPr>
        <w:t xml:space="preserve">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[emphasis added in </w:t>
      </w:r>
      <w:r>
        <w:rPr>
          <w:rFonts w:ascii="arial" w:eastAsia="arial" w:hAnsi="arial" w:cs="arial"/>
          <w:i/>
          <w:color w:val="000000"/>
          <w:sz w:val="20"/>
          <w:lang w:val="en-US" w:eastAsia="en-US" w:bidi="ar-SA"/>
        </w:rPr>
        <w:t>Reilly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3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w:t>
      </w:r>
      <w:r>
        <w:rPr>
          <w:rFonts w:ascii="arial" w:eastAsia="arial" w:hAnsi="arial" w:cs="arial"/>
          <w:color w:val="000000"/>
          <w:sz w:val="20"/>
          <w:lang w:val="en-US" w:eastAsia="en-US" w:bidi="ar-SA"/>
        </w:rPr>
        <w:t>], the Court of Appeal also considered the submission that the trial judge had erred in assessing damages for loss income. At paras. 44 to 45 Tysoe J.A. (for the Court) wrote:</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[44] As to past wage loss in particular, Mr. Lines observes the trial judge first globally assessed his loss by reference to the amounts he accepted as the lower end of achievable earnings for a heavy duty mechanic, and then discounted it by nearly 20 percent.</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Did the judge err in the award for past wage loss as contended by the appellants?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[2004] B.C.J. No. 2509</w:t>
        </w:r>
      </w:hyperlink>
      <w:r>
        <w:rPr>
          <w:rFonts w:ascii="arial" w:eastAsia="arial" w:hAnsi="arial" w:cs="arial"/>
          <w:color w:val="000000"/>
          <w:sz w:val="20"/>
          <w:lang w:val="en-US" w:eastAsia="en-US" w:bidi="ar-SA"/>
        </w:rPr>
        <w:t xml:space="preserve"> Madam Justice Rowles discussed at length the correct approach that should be brought to a </w:t>
      </w:r>
      <w:r>
        <w:rPr>
          <w:rFonts w:ascii="arial" w:eastAsia="arial" w:hAnsi="arial" w:cs="arial"/>
          <w:color w:val="000000"/>
          <w:sz w:val="20"/>
          <w:u w:val="single"/>
          <w:lang w:val="en-US" w:eastAsia="en-US" w:bidi="ar-SA"/>
        </w:rPr>
        <w:t>hypothetical past wage loss claim</w:t>
      </w:r>
      <w:r>
        <w:rPr>
          <w:rFonts w:ascii="arial" w:eastAsia="arial" w:hAnsi="arial" w:cs="arial"/>
          <w:color w:val="000000"/>
          <w:sz w:val="20"/>
          <w:lang w:val="en-US" w:eastAsia="en-US" w:bidi="ar-SA"/>
        </w:rPr>
        <w:t>. She said, noting the distinction between proof of actual events and proof of hypothetical events, and having referred to the significant cases of the Supreme Court of Canada and this Court on the subject at para. 29:</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u w:val="single"/>
          <w:lang w:val="en-US" w:eastAsia="en-US" w:bidi="ar-SA"/>
        </w:rPr>
        <w:t>... What would have happened in the past but for the injury is not more "knowable" than what will happen in the future and therefore it is appropriate to assess the likelihood of hypothetical and future events rather than applying the balance of probabilities test that is applied with respect to past actual events</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numPr>
          <w:numId w:val="3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Tysoe J.A. then considered the Courts' earlier decision in </w:t>
      </w:r>
      <w:r>
        <w:rPr>
          <w:rFonts w:ascii="arial" w:eastAsia="arial" w:hAnsi="arial" w:cs="arial"/>
          <w:i/>
          <w:color w:val="000000"/>
          <w:sz w:val="20"/>
          <w:lang w:val="en-US" w:eastAsia="en-US" w:bidi="ar-SA"/>
        </w:rPr>
        <w:t>Reilly</w:t>
      </w:r>
      <w:r>
        <w:rPr>
          <w:rFonts w:ascii="arial" w:eastAsia="arial" w:hAnsi="arial" w:cs="arial"/>
          <w:color w:val="000000"/>
          <w:sz w:val="20"/>
          <w:lang w:val="en-US" w:eastAsia="en-US" w:bidi="ar-SA"/>
        </w:rPr>
        <w:t xml:space="preserve"> and stated at para 49:</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[49] ... given the stated conclusions of the trial judge in para. 219 Mr. Lines "would have become a heavy duty mechanic or working towards obtaining the first class papers of a marine engineer" and at para. 223 he "would have become a marine engineer", the reasons for judgment do not demonstrate the hypothetical nature of the attainment of a trades qualification. In other words, it appears to me the trial judge wrongly treated the ultimate attainment of a trades qualification as a certainty and failed to take account of the possibility Mr. Lines would not attain this goal at all. This failure is significant to the award for past wage loss as failure to embark upon the training, or to progress along the qualification path, would have a substantial impact upon the earnings Mr. Lines could have earned in the interval between the accident and the trial.</w:t>
      </w:r>
    </w:p>
    <w:p>
      <w:pPr>
        <w:numPr>
          <w:numId w:val="3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determining that there was sufficient evidence for the Court of Appeal to determine the appropriate quantum of damages without remitting the matter to this court Tysoe J.A. concluded, with respect to past income loss, at para. 53 that:</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[53] Given the trial judge's stated view of Mr. Lines' past achievements and potential for remunerative employment absent injury, I consider we must take the view there was </w:t>
      </w:r>
      <w:r>
        <w:rPr>
          <w:rFonts w:ascii="arial" w:eastAsia="arial" w:hAnsi="arial" w:cs="arial"/>
          <w:color w:val="000000"/>
          <w:sz w:val="20"/>
          <w:u w:val="single"/>
          <w:lang w:val="en-US" w:eastAsia="en-US" w:bidi="ar-SA"/>
        </w:rPr>
        <w:t>a relatively high likelihood</w:t>
      </w:r>
      <w:r>
        <w:rPr>
          <w:rFonts w:ascii="arial" w:eastAsia="arial" w:hAnsi="arial" w:cs="arial"/>
          <w:color w:val="000000"/>
          <w:sz w:val="20"/>
          <w:lang w:val="en-US" w:eastAsia="en-US" w:bidi="ar-SA"/>
        </w:rPr>
        <w:t xml:space="preserve"> that, but for the injuries, Mr. Lines would have achieved his goal. I would put that </w:t>
      </w:r>
      <w:r>
        <w:rPr>
          <w:rFonts w:ascii="arial" w:eastAsia="arial" w:hAnsi="arial" w:cs="arial"/>
          <w:color w:val="000000"/>
          <w:sz w:val="20"/>
          <w:u w:val="single"/>
          <w:lang w:val="en-US" w:eastAsia="en-US" w:bidi="ar-SA"/>
        </w:rPr>
        <w:t>degree of likelihood</w:t>
      </w:r>
      <w:r>
        <w:rPr>
          <w:rFonts w:ascii="arial" w:eastAsia="arial" w:hAnsi="arial" w:cs="arial"/>
          <w:color w:val="000000"/>
          <w:sz w:val="20"/>
          <w:lang w:val="en-US" w:eastAsia="en-US" w:bidi="ar-SA"/>
        </w:rPr>
        <w:t xml:space="preserve"> at 85 percent, and discount the award for past loss of earnings to reflect that potential. In other words, I would adjust the past wage award to $340,000.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numPr>
          <w:numId w:val="3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in </w:t>
      </w:r>
      <w:r>
        <w:rPr>
          <w:rFonts w:ascii="arial" w:eastAsia="arial" w:hAnsi="arial" w:cs="arial"/>
          <w:i/>
          <w:color w:val="000000"/>
          <w:sz w:val="20"/>
          <w:lang w:val="en-US" w:eastAsia="en-US" w:bidi="ar-SA"/>
        </w:rPr>
        <w:t>Reynolds</w:t>
      </w:r>
      <w:r>
        <w:rPr>
          <w:rFonts w:ascii="arial" w:eastAsia="arial" w:hAnsi="arial" w:cs="arial"/>
          <w:color w:val="000000"/>
          <w:sz w:val="20"/>
          <w:lang w:val="en-US" w:eastAsia="en-US" w:bidi="ar-SA"/>
        </w:rPr>
        <w:t xml:space="preserve"> the Court of Appeal referred to </w:t>
      </w:r>
      <w:r>
        <w:rPr>
          <w:rFonts w:ascii="arial" w:eastAsia="arial" w:hAnsi="arial" w:cs="arial"/>
          <w:i/>
          <w:color w:val="000000"/>
          <w:sz w:val="20"/>
          <w:lang w:val="en-US" w:eastAsia="en-US" w:bidi="ar-SA"/>
        </w:rPr>
        <w:t>Lines</w:t>
      </w:r>
      <w:r>
        <w:rPr>
          <w:rFonts w:ascii="arial" w:eastAsia="arial" w:hAnsi="arial" w:cs="arial"/>
          <w:color w:val="000000"/>
          <w:sz w:val="20"/>
          <w:lang w:val="en-US" w:eastAsia="en-US" w:bidi="ar-SA"/>
        </w:rPr>
        <w:t xml:space="preserve"> on the issue of the scope of appellate review of damage assessment, it did not advert to the "real and substantial possibilities" principle, applied by Tysoe J.A. in </w:t>
      </w:r>
      <w:r>
        <w:rPr>
          <w:rFonts w:ascii="arial" w:eastAsia="arial" w:hAnsi="arial" w:cs="arial"/>
          <w:i/>
          <w:color w:val="000000"/>
          <w:sz w:val="20"/>
          <w:lang w:val="en-US" w:eastAsia="en-US" w:bidi="ar-SA"/>
        </w:rPr>
        <w:t>Lines</w:t>
      </w:r>
      <w:r>
        <w:rPr>
          <w:rFonts w:ascii="arial" w:eastAsia="arial" w:hAnsi="arial" w:cs="arial"/>
          <w:color w:val="000000"/>
          <w:sz w:val="20"/>
          <w:lang w:val="en-US" w:eastAsia="en-US" w:bidi="ar-SA"/>
        </w:rPr>
        <w:t>, in assessing both past and future income loss claims which both required consideration of hypothetical or future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652</w:t>
      </w:r>
      <w:r>
        <w:rPr>
          <w:rFonts w:ascii="arial" w:eastAsia="arial" w:hAnsi="arial" w:cs="arial"/>
          <w:color w:val="000000"/>
          <w:sz w:val="20"/>
          <w:lang w:val="en-US" w:eastAsia="en-US" w:bidi="ar-SA"/>
        </w:rPr>
        <w:t xml:space="preserve">  For all of those reasons, I do not accept that, without specific discussion of the principles engaged, the Court of Appeal in </w:t>
      </w:r>
      <w:r>
        <w:rPr>
          <w:rFonts w:ascii="arial" w:eastAsia="arial" w:hAnsi="arial" w:cs="arial"/>
          <w:i/>
          <w:color w:val="000000"/>
          <w:sz w:val="20"/>
          <w:lang w:val="en-US" w:eastAsia="en-US" w:bidi="ar-SA"/>
        </w:rPr>
        <w:t>Reynolds</w:t>
      </w:r>
      <w:r>
        <w:rPr>
          <w:rFonts w:ascii="arial" w:eastAsia="arial" w:hAnsi="arial" w:cs="arial"/>
          <w:color w:val="000000"/>
          <w:sz w:val="20"/>
          <w:lang w:val="en-US" w:eastAsia="en-US" w:bidi="ar-SA"/>
        </w:rPr>
        <w:t xml:space="preserve"> purported to over-rule its previous decisions in </w:t>
      </w:r>
      <w:r>
        <w:rPr>
          <w:rFonts w:ascii="arial" w:eastAsia="arial" w:hAnsi="arial" w:cs="arial"/>
          <w:i/>
          <w:color w:val="000000"/>
          <w:sz w:val="20"/>
          <w:lang w:val="en-US" w:eastAsia="en-US" w:bidi="ar-SA"/>
        </w:rPr>
        <w:t>Rowe, Reilly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Lines</w:t>
      </w:r>
      <w:r>
        <w:rPr>
          <w:rFonts w:ascii="arial" w:eastAsia="arial" w:hAnsi="arial" w:cs="arial"/>
          <w:color w:val="000000"/>
          <w:sz w:val="20"/>
          <w:lang w:val="en-US" w:eastAsia="en-US" w:bidi="ar-SA"/>
        </w:rPr>
        <w:t xml:space="preserve"> and the consideration of the Supreme Court of Canada's decisions upon which they were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653</w:t>
      </w:r>
      <w:r>
        <w:rPr>
          <w:rFonts w:ascii="arial" w:eastAsia="arial" w:hAnsi="arial" w:cs="arial"/>
          <w:color w:val="000000"/>
          <w:sz w:val="20"/>
          <w:lang w:val="en-US" w:eastAsia="en-US" w:bidi="ar-SA"/>
        </w:rPr>
        <w:t xml:space="preserve">  I am accordingly satisfied that </w:t>
      </w:r>
      <w:r>
        <w:rPr>
          <w:rFonts w:ascii="arial" w:eastAsia="arial" w:hAnsi="arial" w:cs="arial"/>
          <w:i/>
          <w:color w:val="000000"/>
          <w:sz w:val="20"/>
          <w:lang w:val="en-US" w:eastAsia="en-US" w:bidi="ar-SA"/>
        </w:rPr>
        <w:t>Reynolds</w:t>
      </w:r>
      <w:r>
        <w:rPr>
          <w:rFonts w:ascii="arial" w:eastAsia="arial" w:hAnsi="arial" w:cs="arial"/>
          <w:color w:val="000000"/>
          <w:sz w:val="20"/>
          <w:lang w:val="en-US" w:eastAsia="en-US" w:bidi="ar-SA"/>
        </w:rPr>
        <w:t xml:space="preserve"> should be read as requiring proof of past income loss on a balance of probabilities only with respect to actual or past events, not hypothetical 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654</w:t>
      </w:r>
      <w:r>
        <w:rPr>
          <w:rFonts w:ascii="arial" w:eastAsia="arial" w:hAnsi="arial" w:cs="arial"/>
          <w:color w:val="000000"/>
          <w:sz w:val="20"/>
          <w:lang w:val="en-US" w:eastAsia="en-US" w:bidi="ar-SA"/>
        </w:rPr>
        <w:t xml:space="preserve">  I accordingly conclude that when an assessment of past income loss requires consideration of events that did not occur, but could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tortfeasor, it is not necessary for the plaintiff to establish on a balance of probabilities that the event would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655</w:t>
      </w:r>
      <w:r>
        <w:rPr>
          <w:rFonts w:ascii="arial" w:eastAsia="arial" w:hAnsi="arial" w:cs="arial"/>
          <w:color w:val="000000"/>
          <w:sz w:val="20"/>
          <w:lang w:val="en-US" w:eastAsia="en-US" w:bidi="ar-SA"/>
        </w:rPr>
        <w:t>  What a plaintiff must establish is a real and substantial possibility that a hypothetical event led to an income loss. If that real and substantial possibility is established, determination of the measure of damages must then include an assessment of the likelihood of the event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656</w:t>
      </w:r>
      <w:r>
        <w:rPr>
          <w:rFonts w:ascii="arial" w:eastAsia="arial" w:hAnsi="arial" w:cs="arial"/>
          <w:color w:val="000000"/>
          <w:sz w:val="20"/>
          <w:lang w:val="en-US" w:eastAsia="en-US" w:bidi="ar-SA"/>
        </w:rPr>
        <w:t>  The burden of establishing a "real and substantial possibility" that a hypothetical future event may lead to a loss of both past and future earning capacity is important in this case due to the Sai Trucking Venture claim, which forms part of both the past and future income earning capacity claims advanced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657</w:t>
      </w:r>
      <w:r>
        <w:rPr>
          <w:rFonts w:ascii="arial" w:eastAsia="arial" w:hAnsi="arial" w:cs="arial"/>
          <w:color w:val="000000"/>
          <w:sz w:val="20"/>
          <w:lang w:val="en-US" w:eastAsia="en-US" w:bidi="ar-SA"/>
        </w:rPr>
        <w:t>  Because the plaintiffs' evidence was that they planned to implement the Sai Trucking Venture in stages commencing the year after the collision it was an anticipated, but still hypothetical, future event impacting their earning capacity as a team for five years before the trial as well as into the future.</w:t>
      </w:r>
      <w:r>
        <w:rPr>
          <w:rFonts w:ascii="arial" w:eastAsia="arial" w:hAnsi="arial" w:cs="arial"/>
          <w:sz w:val="20"/>
          <w:lang w:val="en-US" w:eastAsia="en-US" w:bidi="ar-SA"/>
        </w:rPr>
        <w:cr/>
      </w:r>
    </w:p>
    <w:p>
      <w:pPr>
        <w:numPr>
          <w:numId w:val="31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Application of the "Team" Approach to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658</w:t>
      </w:r>
      <w:r>
        <w:rPr>
          <w:rFonts w:ascii="arial" w:eastAsia="arial" w:hAnsi="arial" w:cs="arial"/>
          <w:color w:val="000000"/>
          <w:sz w:val="20"/>
          <w:lang w:val="en-US" w:eastAsia="en-US" w:bidi="ar-SA"/>
        </w:rPr>
        <w:t>  Although Volvo accepts that Mr. Hans' past and future loss of income earning capacity claims should be assessed on the basis that he should be awarded one-half of any proven income losses suffered by the plaintiffs as a team, that acknowledgment does not fully address the extent to which a team approach may impact the totality of the damages suffered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659</w:t>
      </w:r>
      <w:r>
        <w:rPr>
          <w:rFonts w:ascii="arial" w:eastAsia="arial" w:hAnsi="arial" w:cs="arial"/>
          <w:color w:val="000000"/>
          <w:sz w:val="20"/>
          <w:lang w:val="en-US" w:eastAsia="en-US" w:bidi="ar-SA"/>
        </w:rPr>
        <w:t>  In part, that is so because Volvo does not accept that any losses can be attributed to the plaintiffs, either individually or collectively, because of what Volvo asserts is the speculative nature of the losses attributed to the plaintiffs' inability to implement the Sai Trucking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660</w:t>
      </w:r>
      <w:r>
        <w:rPr>
          <w:rFonts w:ascii="arial" w:eastAsia="arial" w:hAnsi="arial" w:cs="arial"/>
          <w:color w:val="000000"/>
          <w:sz w:val="20"/>
          <w:lang w:val="en-US" w:eastAsia="en-US" w:bidi="ar-SA"/>
        </w:rPr>
        <w:t>  In part also, a team approach to assessment of damages in this case gives rise to issues concerning the extent to which income losses suffered by both Mr. and Mrs. Hans, as a consequence of injuries suffered only by Mr. Hans, may also be recovered by Mrs. Hans who, while herself relatively uninjured, has suffered the loss of a partner which has precluded her form earning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661</w:t>
      </w:r>
      <w:r>
        <w:rPr>
          <w:rFonts w:ascii="arial" w:eastAsia="arial" w:hAnsi="arial" w:cs="arial"/>
          <w:color w:val="000000"/>
          <w:sz w:val="20"/>
          <w:lang w:val="en-US" w:eastAsia="en-US" w:bidi="ar-SA"/>
        </w:rPr>
        <w:t>  It is, therefore, necessary to consider the extent to which a team approach to damages is appropriate in this case as well as the extent to which proven losses suffered by the plaintiffs are individually or collectively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Everett v. King</w:t>
      </w:r>
      <w:r>
        <w:rPr>
          <w:rFonts w:ascii="arial" w:eastAsia="arial" w:hAnsi="arial" w:cs="arial"/>
          <w:color w:val="000000"/>
          <w:sz w:val="20"/>
          <w:lang w:val="en-US" w:eastAsia="en-US" w:bidi="ar-SA"/>
        </w:rPr>
        <w:t xml:space="preserve"> </w:t>
      </w:r>
      <w:hyperlink r:id="rId1213" w:history="1">
        <w:r>
          <w:rPr>
            <w:rFonts w:ascii="arial" w:eastAsia="arial" w:hAnsi="arial" w:cs="arial"/>
            <w:i/>
            <w:color w:val="0077CC"/>
            <w:sz w:val="20"/>
            <w:u w:val="single"/>
            <w:shd w:val="clear" w:color="auto" w:fill="FFFFFF"/>
            <w:lang w:val="en-US" w:eastAsia="en-US" w:bidi="ar-SA"/>
          </w:rPr>
          <w:t>(1981), 34 B.C.L.R. 27</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Everett</w:t>
      </w:r>
      <w:r>
        <w:rPr>
          <w:rFonts w:ascii="arial" w:eastAsia="arial" w:hAnsi="arial" w:cs="arial"/>
          <w:color w:val="000000"/>
          <w:sz w:val="20"/>
          <w:lang w:val="en-US" w:eastAsia="en-US" w:bidi="ar-SA"/>
        </w:rPr>
        <w:t xml:space="preserve">], McKay J. assessed the loss of the injured male plaintiff who, together with his uninjured wife, operated a retail store through a corporation of which he and his wife were equal shareholders. In determining that the plaintiff was entitled to compensation for losses suffered by the company as his </w:t>
      </w:r>
      <w:r>
        <w:rPr>
          <w:rFonts w:ascii="arial" w:eastAsia="arial" w:hAnsi="arial" w:cs="arial"/>
          <w:i/>
          <w:color w:val="000000"/>
          <w:sz w:val="20"/>
          <w:lang w:val="en-US" w:eastAsia="en-US" w:bidi="ar-SA"/>
        </w:rPr>
        <w:t>alter ego</w:t>
      </w:r>
      <w:r>
        <w:rPr>
          <w:rFonts w:ascii="arial" w:eastAsia="arial" w:hAnsi="arial" w:cs="arial"/>
          <w:color w:val="000000"/>
          <w:sz w:val="20"/>
          <w:lang w:val="en-US" w:eastAsia="en-US" w:bidi="ar-SA"/>
        </w:rPr>
        <w:t>, McKay J. stated at para. 10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problem before me is somewhat different in that the shares in the company are held equally by Mr. and Mrs. Everett. Does that mean that Mr. Everett's recovery must be limited to 50% of the lost income? I think not. I am not dealing with the respective share holdings of strangers at law but rather with a small husband-wife company. It matters not whether he has ninety-nine shares and she has one or whether he has five hundred shares and she has five hundred shares. They operate a small family business in which everything goes into the family "pot". I hold that in the circumstances of this case the loss sustained by the company was a loss sustained by Mr. Everett. To hold otherwise would, in my view, be contrary to the realities of the situation.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663</w:t>
      </w:r>
      <w:r>
        <w:rPr>
          <w:rFonts w:ascii="arial" w:eastAsia="arial" w:hAnsi="arial" w:cs="arial"/>
          <w:color w:val="000000"/>
          <w:sz w:val="20"/>
          <w:lang w:val="en-US" w:eastAsia="en-US" w:bidi="ar-SA"/>
        </w:rPr>
        <w:t>  The defendant's appeal of that decision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Meyer v. Wadsworth</w:t>
      </w:r>
      <w:r>
        <w:rPr>
          <w:rFonts w:ascii="arial" w:eastAsia="arial" w:hAnsi="arial" w:cs="arial"/>
          <w:color w:val="000000"/>
          <w:sz w:val="20"/>
          <w:lang w:val="en-US" w:eastAsia="en-US" w:bidi="ar-SA"/>
        </w:rPr>
        <w:t xml:space="preserve">, </w:t>
      </w:r>
      <w:hyperlink r:id="rId1214" w:history="1">
        <w:r>
          <w:rPr>
            <w:rFonts w:ascii="arial" w:eastAsia="arial" w:hAnsi="arial" w:cs="arial"/>
            <w:i/>
            <w:color w:val="0077CC"/>
            <w:sz w:val="20"/>
            <w:u w:val="single"/>
            <w:shd w:val="clear" w:color="auto" w:fill="FFFFFF"/>
            <w:lang w:val="en-US" w:eastAsia="en-US" w:bidi="ar-SA"/>
          </w:rPr>
          <w:t>[1995] B.C.J. 1558</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Meyer</w:t>
      </w:r>
      <w:r>
        <w:rPr>
          <w:rFonts w:ascii="arial" w:eastAsia="arial" w:hAnsi="arial" w:cs="arial"/>
          <w:color w:val="000000"/>
          <w:sz w:val="20"/>
          <w:lang w:val="en-US" w:eastAsia="en-US" w:bidi="ar-SA"/>
        </w:rPr>
        <w:t>], Drake J. was required to assess the past income loss of the plaintiff who had worked in partnership with her uninjured husband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665</w:t>
      </w:r>
      <w:r>
        <w:rPr>
          <w:rFonts w:ascii="arial" w:eastAsia="arial" w:hAnsi="arial" w:cs="arial"/>
          <w:color w:val="000000"/>
          <w:sz w:val="20"/>
          <w:lang w:val="en-US" w:eastAsia="en-US" w:bidi="ar-SA"/>
        </w:rPr>
        <w:t>  In assessing the plaintiff's loss Drake J. wrote, at paras. 11 to 16:</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Mr. and Mrs. Meyer were for many years full time "parents" in a group home for mentally handicapped persons. They found great satisfaction in this work, and lived by the Pauline definition of caritas. They worked together as a team, which indeed is the only way they could in such an endeavour, </w:t>
      </w:r>
      <w:r>
        <w:rPr>
          <w:rFonts w:ascii="arial" w:eastAsia="arial" w:hAnsi="arial" w:cs="arial"/>
          <w:color w:val="000000"/>
          <w:sz w:val="20"/>
          <w:u w:val="single"/>
          <w:lang w:val="en-US" w:eastAsia="en-US" w:bidi="ar-SA"/>
        </w:rPr>
        <w:t>and when one is damaged, so is the other</w:t>
      </w:r>
      <w:r>
        <w:rPr>
          <w:rFonts w:ascii="arial" w:eastAsia="arial" w:hAnsi="arial" w:cs="arial"/>
          <w:color w:val="000000"/>
          <w:sz w:val="20"/>
          <w:lang w:val="en-US" w:eastAsia="en-US" w:bidi="ar-SA"/>
        </w:rPr>
        <w:t xml:space="preserve">. Their situation is analogous to that of partners carrying on a trade or business: see Everett v. King </w:t>
      </w:r>
      <w:hyperlink r:id="rId1213" w:history="1">
        <w:r>
          <w:rPr>
            <w:rFonts w:ascii="arial" w:eastAsia="arial" w:hAnsi="arial" w:cs="arial"/>
            <w:i/>
            <w:color w:val="0077CC"/>
            <w:sz w:val="20"/>
            <w:u w:val="single"/>
            <w:shd w:val="clear" w:color="auto" w:fill="FFFFFF"/>
            <w:lang w:val="en-US" w:eastAsia="en-US" w:bidi="ar-SA"/>
          </w:rPr>
          <w:t>(1981), 34 B.C.L.R. 27</w:t>
        </w:r>
      </w:hyperlink>
      <w:r>
        <w:rPr>
          <w:rFonts w:ascii="arial" w:eastAsia="arial" w:hAnsi="arial" w:cs="arial"/>
          <w:color w:val="000000"/>
          <w:sz w:val="20"/>
          <w:lang w:val="en-US" w:eastAsia="en-US" w:bidi="ar-SA"/>
        </w:rPr>
        <w:t>, McKay J.</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 Mr. G.W. Moulds, the executive director of the Delta Career and Community Living Society, by which Mr. and Mrs. Meyer were employed, gave evidence that they were held in high regard by the Society, were regarded as "mentors" and examples to all in the conduct of the various group homes which it operated. He also said that they worked as a team, which I have already found to be, to all intents and purposes, self-evident.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Mr. Moulds went on to say that Mr. and Mrs. Meyer would have been welcome to work for the Society for as long as they wished to do so. </w:t>
      </w:r>
      <w:r>
        <w:rPr>
          <w:rFonts w:ascii="arial" w:eastAsia="arial" w:hAnsi="arial" w:cs="arial"/>
          <w:color w:val="000000"/>
          <w:sz w:val="20"/>
          <w:u w:val="single"/>
          <w:lang w:val="en-US" w:eastAsia="en-US" w:bidi="ar-SA"/>
        </w:rPr>
        <w:t>And that is what, given the physical capacity to do so, they themselves had in mind</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I turn now to the assessment of their </w:t>
      </w:r>
      <w:r>
        <w:rPr>
          <w:rFonts w:ascii="arial" w:eastAsia="arial" w:hAnsi="arial" w:cs="arial"/>
          <w:color w:val="000000"/>
          <w:sz w:val="20"/>
          <w:u w:val="single"/>
          <w:lang w:val="en-US" w:eastAsia="en-US" w:bidi="ar-SA"/>
        </w:rPr>
        <w:t>past wage loss, that is the total or global loss which they have incurred as a team or partnership</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15 In mid-September of 1991, Mr. and Mrs. Meyer, in view of the disabilities suffered by Mrs. Meyer, decided to cut their work month in half, and work two weeks on and two weeks off: and this schedule was further reduced to weekends only. To these changes, their employer agreed. Their income tax returns for the years 1991 to 1994 show a general reduction in income from employment to reflect this, and the difference between what they earned before the accidents and what they actually earned provides some measure of damages. There are, of course, contingencies to be considered: on the positive side, they might have had raises in pay, and on the negative, their ages and general health might have reduced their working days in any event.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I assess their income loss, to the date of trial, </w:t>
      </w:r>
      <w:r>
        <w:rPr>
          <w:rFonts w:ascii="arial" w:eastAsia="arial" w:hAnsi="arial" w:cs="arial"/>
          <w:color w:val="000000"/>
          <w:sz w:val="20"/>
          <w:u w:val="single"/>
          <w:lang w:val="en-US" w:eastAsia="en-US" w:bidi="ar-SA"/>
        </w:rPr>
        <w:t>globally</w:t>
      </w:r>
      <w:r>
        <w:rPr>
          <w:rFonts w:ascii="arial" w:eastAsia="arial" w:hAnsi="arial" w:cs="arial"/>
          <w:color w:val="000000"/>
          <w:sz w:val="20"/>
          <w:lang w:val="en-US" w:eastAsia="en-US" w:bidi="ar-SA"/>
        </w:rPr>
        <w:t xml:space="preserve"> at $40,000.00 which sum includes the recovery of some "banked" sick leave time for Mrs. Meyer.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666</w:t>
      </w:r>
      <w:r>
        <w:rPr>
          <w:rFonts w:ascii="arial" w:eastAsia="arial" w:hAnsi="arial" w:cs="arial"/>
          <w:color w:val="000000"/>
          <w:sz w:val="20"/>
          <w:lang w:val="en-US" w:eastAsia="en-US" w:bidi="ar-SA"/>
        </w:rPr>
        <w:t>  The evidence establishes that at all material times after they leased their first truck from Volvo up to and including the time of the collision Mr. and Mrs. Hans operated their trucking business as a team. They shared responsibility for driving and each undertook those other aspects of the work involved in the business which their personal attributes and abilities best suited.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667</w:t>
      </w:r>
      <w:r>
        <w:rPr>
          <w:rFonts w:ascii="arial" w:eastAsia="arial" w:hAnsi="arial" w:cs="arial"/>
          <w:color w:val="000000"/>
          <w:sz w:val="20"/>
          <w:lang w:val="en-US" w:eastAsia="en-US" w:bidi="ar-SA"/>
        </w:rPr>
        <w:t>  NTC leased both the first truck as well as the Truck that is the subject of this action to Mr. Hans. NTC and thus Volvo knew, because of early discussions about the need for a fully automatic transmission to accommodate Mrs. Hans' physical disability, that both trucks would be operated by the plaintiffs as a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668</w:t>
      </w:r>
      <w:r>
        <w:rPr>
          <w:rFonts w:ascii="arial" w:eastAsia="arial" w:hAnsi="arial" w:cs="arial"/>
          <w:color w:val="000000"/>
          <w:sz w:val="20"/>
          <w:lang w:val="en-US" w:eastAsia="en-US" w:bidi="ar-SA"/>
        </w:rPr>
        <w:t>  The evidence also establishes that although for tax purposes the plaintiffs' trucking business was treated as a sole proprietorship operated by Mr. Hans with some splitting of income to Mrs. Hans, in reality the business was operated as an equal partnership with all income earned after expenses going into the family coffers. The same would have occurred with respect to the Sai Trucking Venture had it been implemented.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669</w:t>
      </w:r>
      <w:r>
        <w:rPr>
          <w:rFonts w:ascii="arial" w:eastAsia="arial" w:hAnsi="arial" w:cs="arial"/>
          <w:color w:val="000000"/>
          <w:sz w:val="20"/>
          <w:lang w:val="en-US" w:eastAsia="en-US" w:bidi="ar-SA"/>
        </w:rPr>
        <w:t xml:space="preserve">  I find that as in </w:t>
      </w:r>
      <w:r>
        <w:rPr>
          <w:rFonts w:ascii="arial" w:eastAsia="arial" w:hAnsi="arial" w:cs="arial"/>
          <w:i/>
          <w:color w:val="000000"/>
          <w:sz w:val="20"/>
          <w:lang w:val="en-US" w:eastAsia="en-US" w:bidi="ar-SA"/>
        </w:rPr>
        <w:t>Meyer</w:t>
      </w:r>
      <w:r>
        <w:rPr>
          <w:rFonts w:ascii="arial" w:eastAsia="arial" w:hAnsi="arial" w:cs="arial"/>
          <w:color w:val="000000"/>
          <w:sz w:val="20"/>
          <w:lang w:val="en-US" w:eastAsia="en-US" w:bidi="ar-SA"/>
        </w:rPr>
        <w:t xml:space="preserve"> when one member of the team was injured, so was the other, and that it is appropriate to consider the loss of the partnership globally in determining both past and future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670</w:t>
      </w:r>
      <w:r>
        <w:rPr>
          <w:rFonts w:ascii="arial" w:eastAsia="arial" w:hAnsi="arial" w:cs="arial"/>
          <w:color w:val="000000"/>
          <w:sz w:val="20"/>
          <w:lang w:val="en-US" w:eastAsia="en-US" w:bidi="ar-SA"/>
        </w:rPr>
        <w:t>  That is particularly so in this case where Mr. Hans' physical attributes were so important to the success of the team because of Mrs. Hans' own physical disability as well as her relative lack of the necessary strength to perform some tasks, specifically related to flat-bed trucking which was intended to be the core business of the Sai Trucking Venture. While as a team member her ability to do other work offset those physical aspects of the job for the benefit of the team as a whole, without that symbiotic relationship her earning capacity was reduced by the absence of her 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671</w:t>
      </w:r>
      <w:r>
        <w:rPr>
          <w:rFonts w:ascii="arial" w:eastAsia="arial" w:hAnsi="arial" w:cs="arial"/>
          <w:color w:val="000000"/>
          <w:sz w:val="20"/>
          <w:lang w:val="en-US" w:eastAsia="en-US" w:bidi="ar-SA"/>
        </w:rPr>
        <w:t>  Having said that, I am also satisfied that, as appropriately acknowledged by counsel on their behalf, notwithstanding that the team losses should be assessed globally, Mrs. Hans' proven ability to earn income in the past, as well as what she may be anticipated to earn in the future without the benefit of her partnership with Mr. Hans, must be considered and accounted for in assessing both her past and future losses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672</w:t>
      </w:r>
      <w:r>
        <w:rPr>
          <w:rFonts w:ascii="arial" w:eastAsia="arial" w:hAnsi="arial" w:cs="arial"/>
          <w:color w:val="000000"/>
          <w:sz w:val="20"/>
          <w:lang w:val="en-US" w:eastAsia="en-US" w:bidi="ar-SA"/>
        </w:rPr>
        <w:t>  That issue does not arise with Mr. Hans' losses of either past and future earning capacity except to the extent that income earned by him between late 2009 (when he and Mrs. Hans began driving for his brother) and October of 2011, before his first suicide attempt, must be deducted from any otherwise appropriate award for his past loss of earning capacity.</w:t>
      </w:r>
      <w:r>
        <w:rPr>
          <w:rFonts w:ascii="arial" w:eastAsia="arial" w:hAnsi="arial" w:cs="arial"/>
          <w:sz w:val="20"/>
          <w:lang w:val="en-US" w:eastAsia="en-US" w:bidi="ar-SA"/>
        </w:rPr>
        <w:cr/>
      </w:r>
    </w:p>
    <w:p>
      <w:pPr>
        <w:numPr>
          <w:numId w:val="31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Yearly Income Earned by the Plaintiffs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673</w:t>
      </w:r>
      <w:r>
        <w:rPr>
          <w:rFonts w:ascii="arial" w:eastAsia="arial" w:hAnsi="arial" w:cs="arial"/>
          <w:color w:val="000000"/>
          <w:sz w:val="20"/>
          <w:lang w:val="en-US" w:eastAsia="en-US" w:bidi="ar-SA"/>
        </w:rPr>
        <w:t>  The plaintiffs adduced the expert evidence of Mr. Perry Munton to provide an analysis of their profits from their business operations during the years 2007 and 2008. That report was dated September 6,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674</w:t>
      </w:r>
      <w:r>
        <w:rPr>
          <w:rFonts w:ascii="arial" w:eastAsia="arial" w:hAnsi="arial" w:cs="arial"/>
          <w:color w:val="000000"/>
          <w:sz w:val="20"/>
          <w:lang w:val="en-US" w:eastAsia="en-US" w:bidi="ar-SA"/>
        </w:rPr>
        <w:t>  Mr. Munton also prepared a second report dated August 18, 2015 related to financial projections for the Sai Trucking Venture that I will discuss when considering that aspect of the plaintiffs' loss of earning capacity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675</w:t>
      </w:r>
      <w:r>
        <w:rPr>
          <w:rFonts w:ascii="arial" w:eastAsia="arial" w:hAnsi="arial" w:cs="arial"/>
          <w:color w:val="000000"/>
          <w:sz w:val="20"/>
          <w:lang w:val="en-US" w:eastAsia="en-US" w:bidi="ar-SA"/>
        </w:rPr>
        <w:t>  In his first report Mr. Munton wrote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have asked me the following two questions:</w:t>
      </w:r>
    </w:p>
    <w:p>
      <w:pPr>
        <w:numPr>
          <w:numId w:val="3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Amandeep Hans' profit from trucking during the years 2007 and 2008?</w:t>
      </w:r>
    </w:p>
    <w:p>
      <w:pPr>
        <w:numPr>
          <w:numId w:val="3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this amount is different from the taxable income reported on Mr. Hans' income tax returns, please comment on the differences?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Pavandeep Hans does the bookkeeping for her husband's trucking business. She has provided me with all the income and expense records she has available for the years 2007 and 2008. She advised me these are the same records that she received back from their accountant after preparation of the annual income tax returns. Attached to this letter are my calculations based upon the income and expense documents and personal income tax returns provided to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chosen to calculate the business profit as Mr. Hans' earnings before interest, taxes, depreciation and amortization ("EBITDA"). This method is often used to analyze and compare profitability because it eliminates the effects of financing and accounting decisions. The EBITDA for Mr. Hans' trucking business is calculated to be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509"/>
        <w:gridCol w:w="1673"/>
        <w:gridCol w:w="627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2007</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$120,105</w:t>
            </w:r>
          </w:p>
        </w:tc>
        <w:tc>
          <w:tcPr>
            <w:tcW w:w="614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509"/>
        <w:gridCol w:w="1673"/>
        <w:gridCol w:w="627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2008</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$114,703</w:t>
            </w:r>
          </w:p>
        </w:tc>
        <w:tc>
          <w:tcPr>
            <w:tcW w:w="614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commented on the differences between my calculations and the tax returns in the notes to my schedules.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676</w:t>
      </w:r>
      <w:r>
        <w:rPr>
          <w:rFonts w:ascii="arial" w:eastAsia="arial" w:hAnsi="arial" w:cs="arial"/>
          <w:color w:val="000000"/>
          <w:sz w:val="20"/>
          <w:lang w:val="en-US" w:eastAsia="en-US" w:bidi="ar-SA"/>
        </w:rPr>
        <w:t>  In response to that report, Volvo also relied on the expert evidence of a Chartered Accountant. In a report dated September 25, 2014, Mr. Jeffrey Salton took issue with Mr. Munton's approach to the determination of profit based upon an EBITDA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677</w:t>
      </w:r>
      <w:r>
        <w:rPr>
          <w:rFonts w:ascii="arial" w:eastAsia="arial" w:hAnsi="arial" w:cs="arial"/>
          <w:color w:val="000000"/>
          <w:sz w:val="20"/>
          <w:lang w:val="en-US" w:eastAsia="en-US" w:bidi="ar-SA"/>
        </w:rPr>
        <w:t>  I need not, however, record in any detail the bases of Mr. Salton's objections to Mr. Munton's analysis. I say that because:</w:t>
      </w:r>
      <w:r>
        <w:rPr>
          <w:rFonts w:ascii="arial" w:eastAsia="arial" w:hAnsi="arial" w:cs="arial"/>
          <w:sz w:val="20"/>
          <w:lang w:val="en-US" w:eastAsia="en-US" w:bidi="ar-SA"/>
        </w:rPr>
        <w:cr/>
      </w:r>
    </w:p>
    <w:p>
      <w:pPr>
        <w:numPr>
          <w:numId w:val="3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Unlike Mr. Munton, Mr. Salton did not himself analyse the source documents upon which Mr. Munton made his calculations. Those include documents that show the revenue was under-reported in 2007 by $14,087 and by $62,087 in 2008.</w:t>
      </w:r>
    </w:p>
    <w:p>
      <w:pPr>
        <w:numPr>
          <w:numId w:val="3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Mr. Salton took exception to the inclusion of those amounts by Mr. Munton as revenue in reaching his assessment of income earned, I am satisfied that Mr. Munton's analysis of the source documents should be preferred over Mr. Salton's objections, especially when Volvo did not undermine Mr. Munton's conclusions about the inclusion of those amounts either through cross-examination or by its own inspection of the documents.</w:t>
      </w:r>
    </w:p>
    <w:p>
      <w:pPr>
        <w:numPr>
          <w:numId w:val="3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also noteworthy that while Mr. Munton included additional revenues in his calculations based on the documents provided, he also increased expenses related to "fuel and IFTA" by approximately $10,000 in 2007 and $24,000 in 2008 so that income in each year was reduced by those amounts.</w:t>
      </w:r>
    </w:p>
    <w:p>
      <w:pPr>
        <w:numPr>
          <w:numId w:val="3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relation to one of Mr. Salton's most monetarily significant criticisms of Mr. Munton's analysis -- the removal of a depreciation deduction of more than $50,000 each year -- Mr. Salton failed to appreciate that the Hans' first truck (acquired before December of 2007) and the Truck which is the subject of this action (acquired in December of 2007), for which depreciation was deducted for tax purposes, were both purchased and financed through Volvo Financial Services on an "Open End Lease" which allowed the plaintiffs to purchase the vehicles for $1.00 at the end of the lease to acquire the significant residual value of each vehicle.</w:t>
      </w:r>
    </w:p>
    <w:p>
      <w:pPr>
        <w:numPr>
          <w:numId w:val="3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Salton's analysis that "a reasonable estimate for the profit for the trucking business" in 2007 (inclusive of net nominal wage of $25,000 to Mrs. Hans) as being $30,186 and in 2008 (inclusive of a nominal wage of $20,000 to Mrs. Hans) as being $35,085, of which amount Mr. and Mrs. Hans would each have received one half (approximately $15,000 to $17,500 per year), is not supported either by common sense or comparative evidence.</w:t>
      </w:r>
    </w:p>
    <w:p>
      <w:pPr>
        <w:numPr>
          <w:numId w:val="3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Comparative evidence includes the fact that Mrs. Hans can earn approximately $48,000 per year in wages as a dispatcher for a trucking company and that Parmjit Hans earns at least $45,000 per year as a truck driver, working for wages.</w:t>
      </w:r>
    </w:p>
    <w:p>
      <w:pPr>
        <w:numPr>
          <w:numId w:val="3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also note that in Mr. Munton's second report, which I will later discuss in detail, he reported that his review of compensation rates for an employed truck driver in a small business in the Vancouver area in August of 2015 was $50,000 per year. That evidence was not challenged.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678</w:t>
      </w:r>
      <w:r>
        <w:rPr>
          <w:rFonts w:ascii="arial" w:eastAsia="arial" w:hAnsi="arial" w:cs="arial"/>
          <w:color w:val="000000"/>
          <w:sz w:val="20"/>
          <w:lang w:val="en-US" w:eastAsia="en-US" w:bidi="ar-SA"/>
        </w:rPr>
        <w:t>  I accordingly find that, with some adjustment, I can more safely rely on Mr. Munton's analysis than that of Mr. Salton.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679</w:t>
      </w:r>
      <w:r>
        <w:rPr>
          <w:rFonts w:ascii="arial" w:eastAsia="arial" w:hAnsi="arial" w:cs="arial"/>
          <w:color w:val="000000"/>
          <w:sz w:val="20"/>
          <w:lang w:val="en-US" w:eastAsia="en-US" w:bidi="ar-SA"/>
        </w:rPr>
        <w:t>  The adjustment I consider to be necessary to Mr. Munton's analysis and calculations relates to his deduction of depreciation expenses for the two different trucks used in the business in 2007 and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680</w:t>
      </w:r>
      <w:r>
        <w:rPr>
          <w:rFonts w:ascii="arial" w:eastAsia="arial" w:hAnsi="arial" w:cs="arial"/>
          <w:color w:val="000000"/>
          <w:sz w:val="20"/>
          <w:lang w:val="en-US" w:eastAsia="en-US" w:bidi="ar-SA"/>
        </w:rPr>
        <w:t>  While the depreciation deduction is allowable for tax purposes and has the effect of decreasing profits for that purpose, to determine loss of earning capacity in this case that allowable tax deduction should have been offset to some extent by the actual cost of lease payments in each year ($31,488) to reflect the income earned in each of those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681</w:t>
      </w:r>
      <w:r>
        <w:rPr>
          <w:rFonts w:ascii="arial" w:eastAsia="arial" w:hAnsi="arial" w:cs="arial"/>
          <w:color w:val="000000"/>
          <w:sz w:val="20"/>
          <w:lang w:val="en-US" w:eastAsia="en-US" w:bidi="ar-SA"/>
        </w:rPr>
        <w:t>  In 2007 Mr. Munton deducted $55,000 for depreciation, and in 2008 he deducted $51,592. I am satisfied that to reflect actual earnings in those years the lease expense of $31,488 should have been deducted as an expense. The net result is that in 2007 the net income of the business before taxes would be $88,617 ($120,105 - $31,488) and in 2008 would be $83,215. To those amounts, however, the residual value of the leases accrued over the term of the lease must be added as deferred income in each year to reflect the before tax profits from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682</w:t>
      </w:r>
      <w:r>
        <w:rPr>
          <w:rFonts w:ascii="arial" w:eastAsia="arial" w:hAnsi="arial" w:cs="arial"/>
          <w:color w:val="000000"/>
          <w:sz w:val="20"/>
          <w:lang w:val="en-US" w:eastAsia="en-US" w:bidi="ar-SA"/>
        </w:rPr>
        <w:t>  The evidence establishes that the residual value of the original truck at the end of its lease was $49,000 which was applied as a trade-in to acquire the Truck in December of 2007. The term of the lease purchase of the Truck was 4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683</w:t>
      </w:r>
      <w:r>
        <w:rPr>
          <w:rFonts w:ascii="arial" w:eastAsia="arial" w:hAnsi="arial" w:cs="arial"/>
          <w:color w:val="000000"/>
          <w:sz w:val="20"/>
          <w:lang w:val="en-US" w:eastAsia="en-US" w:bidi="ar-SA"/>
        </w:rPr>
        <w:t>  Assuming that, but for the collision, the residual value of the Truck would have also been approximately $50,000, a yearly deferred income of $12,500 should be added to Mr. Munton's adjusted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684</w:t>
      </w:r>
      <w:r>
        <w:rPr>
          <w:rFonts w:ascii="arial" w:eastAsia="arial" w:hAnsi="arial" w:cs="arial"/>
          <w:color w:val="000000"/>
          <w:sz w:val="20"/>
          <w:lang w:val="en-US" w:eastAsia="en-US" w:bidi="ar-SA"/>
        </w:rPr>
        <w:t>  In result, I find that the pre-tax income earned by the plaintiffs from their trucking business in 2007 was $101,117 and in 2008 it was $95,715.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685</w:t>
      </w:r>
      <w:r>
        <w:rPr>
          <w:rFonts w:ascii="arial" w:eastAsia="arial" w:hAnsi="arial" w:cs="arial"/>
          <w:color w:val="000000"/>
          <w:sz w:val="20"/>
          <w:lang w:val="en-US" w:eastAsia="en-US" w:bidi="ar-SA"/>
        </w:rPr>
        <w:t>  I have concluded that the average of those yearly amounts (being approximately $98,500) establishes a reasonable base line upon which to assess the plaintiffs' past and future loss of income earning capacity from their trucking business as it existed on January 31,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686</w:t>
      </w:r>
      <w:r>
        <w:rPr>
          <w:rFonts w:ascii="arial" w:eastAsia="arial" w:hAnsi="arial" w:cs="arial"/>
          <w:color w:val="000000"/>
          <w:sz w:val="20"/>
          <w:lang w:val="en-US" w:eastAsia="en-US" w:bidi="ar-SA"/>
        </w:rPr>
        <w:t>  To the extent that it may be necessary to assess the plaintiffs' losses individually, rather than collectively, the yearly base line amounts I will use for each is $49,250.</w:t>
      </w:r>
      <w:r>
        <w:rPr>
          <w:rFonts w:ascii="arial" w:eastAsia="arial" w:hAnsi="arial" w:cs="arial"/>
          <w:sz w:val="20"/>
          <w:lang w:val="en-US" w:eastAsia="en-US" w:bidi="ar-SA"/>
        </w:rPr>
        <w:cr/>
      </w:r>
    </w:p>
    <w:p>
      <w:pPr>
        <w:numPr>
          <w:numId w:val="32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Sai Trucking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687</w:t>
      </w:r>
      <w:r>
        <w:rPr>
          <w:rFonts w:ascii="arial" w:eastAsia="arial" w:hAnsi="arial" w:cs="arial"/>
          <w:color w:val="000000"/>
          <w:sz w:val="20"/>
          <w:lang w:val="en-US" w:eastAsia="en-US" w:bidi="ar-SA"/>
        </w:rPr>
        <w:t>  The plaintiffs seek damages for their alleged loss of past and future income capacity based not only upon their pre-collision income, but also for their loss of opportunity to pursue their plans to expand their business interests by operating a small flat-bed long haul trucking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688</w:t>
      </w:r>
      <w:r>
        <w:rPr>
          <w:rFonts w:ascii="arial" w:eastAsia="arial" w:hAnsi="arial" w:cs="arial"/>
          <w:color w:val="000000"/>
          <w:sz w:val="20"/>
          <w:lang w:val="en-US" w:eastAsia="en-US" w:bidi="ar-SA"/>
        </w:rPr>
        <w:t>  In implementing that Sai Trucking Venture Mr. Hans was to have continued to operate the Hans' own vehicle, as a part of the expanded fleet. He would also have performed the physical work needed to accommodate the use of owner-operators whose vehicles would comprise the rest of the fleet. Mrs. Hans was to have undertaken primary responsibility for securing loads for the operators, making routing arrangements to maximize revenues, dispatching and providing office support to the drivers, arranging for permits and insurance coverage and providing necessary bookkeeping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689</w:t>
      </w:r>
      <w:r>
        <w:rPr>
          <w:rFonts w:ascii="arial" w:eastAsia="arial" w:hAnsi="arial" w:cs="arial"/>
          <w:color w:val="000000"/>
          <w:sz w:val="20"/>
          <w:lang w:val="en-US" w:eastAsia="en-US" w:bidi="ar-SA"/>
        </w:rPr>
        <w:t>  The plaintiffs' evidence is that they intended to commence the Sai Trucking Venture about one year after the collision and intended to add one driver per year until a total of at least five owner-operated vehicles was reached in year five. There is also some evidence that they intended to acquire a second truck which they would have had operated by an employed driver whom they would hire.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690</w:t>
      </w:r>
      <w:r>
        <w:rPr>
          <w:rFonts w:ascii="arial" w:eastAsia="arial" w:hAnsi="arial" w:cs="arial"/>
          <w:color w:val="000000"/>
          <w:sz w:val="20"/>
          <w:lang w:val="en-US" w:eastAsia="en-US" w:bidi="ar-SA"/>
        </w:rPr>
        <w:t>  In his second expert report dated August 18, 2015, Mr. Munton provided a report of financial projections for the company Sai Transport Inc. based upon the plaintiffs' plans and income projections from which the plaintiffs have extrapolated past and future income loss claims. In doing so, Mr. Munton did not include projections based upon the purchase of a second truck to be owned by the plaintiffs and driven by a hired driver because "more information would be necessary to make that assumption".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691</w:t>
      </w:r>
      <w:r>
        <w:rPr>
          <w:rFonts w:ascii="arial" w:eastAsia="arial" w:hAnsi="arial" w:cs="arial"/>
          <w:color w:val="000000"/>
          <w:sz w:val="20"/>
          <w:lang w:val="en-US" w:eastAsia="en-US" w:bidi="ar-SA"/>
        </w:rPr>
        <w:t>  I accordingly also do not consider the potential impact of the acquisition of a second truck on the plaintiffs' loss of earnings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692</w:t>
      </w:r>
      <w:r>
        <w:rPr>
          <w:rFonts w:ascii="arial" w:eastAsia="arial" w:hAnsi="arial" w:cs="arial"/>
          <w:color w:val="000000"/>
          <w:sz w:val="20"/>
          <w:lang w:val="en-US" w:eastAsia="en-US" w:bidi="ar-SA"/>
        </w:rPr>
        <w:t>  In considering the plaintiffs' claims based on the Sai Trucking Venture projections, I will proceed as follows:</w:t>
      </w:r>
      <w:r>
        <w:rPr>
          <w:rFonts w:ascii="arial" w:eastAsia="arial" w:hAnsi="arial" w:cs="arial"/>
          <w:sz w:val="20"/>
          <w:lang w:val="en-US" w:eastAsia="en-US" w:bidi="ar-SA"/>
        </w:rPr>
        <w:cr/>
      </w:r>
    </w:p>
    <w:p>
      <w:pPr>
        <w:numPr>
          <w:numId w:val="3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will first determine whether the plaintiffs have established a real and substantial possibility that the Sai Trucking Venture would have been implemented but for the collision and the injuries suffered by Mr. Hans.</w:t>
      </w:r>
    </w:p>
    <w:p>
      <w:pPr>
        <w:numPr>
          <w:numId w:val="3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real and substantial possibility has been established, I will next assess the likelihood that the venture would have been successful, including whether the projections of income projected by Mr. Munton could have been met and also the extent to which contingencies, other than those related to revenue projections, should impact the quantum of any award based upon the proposed venture.</w:t>
      </w:r>
    </w:p>
    <w:p>
      <w:pPr>
        <w:numPr>
          <w:numId w:val="3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Finally, I will discuss the extent to which the plaintiffs should be capable of mitigating both individually and collectively any future loss of capacity that would otherwise be suffered by them as a consequence of Volvo's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693</w:t>
      </w:r>
      <w:r>
        <w:rPr>
          <w:rFonts w:ascii="arial" w:eastAsia="arial" w:hAnsi="arial" w:cs="arial"/>
          <w:color w:val="000000"/>
          <w:sz w:val="20"/>
          <w:lang w:val="en-US" w:eastAsia="en-US" w:bidi="ar-SA"/>
        </w:rPr>
        <w:t>  After completing that process I will then determine the extent to which, if at all, the Sai Trucking Venture should impact the plaintiffs' claims for both past and future loss of earning capacity.</w:t>
      </w:r>
      <w:r>
        <w:rPr>
          <w:rFonts w:ascii="arial" w:eastAsia="arial" w:hAnsi="arial" w:cs="arial"/>
          <w:sz w:val="20"/>
          <w:lang w:val="en-US" w:eastAsia="en-US" w:bidi="ar-SA"/>
        </w:rPr>
        <w:cr/>
      </w:r>
    </w:p>
    <w:p>
      <w:pPr>
        <w:numPr>
          <w:numId w:val="33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Is there a real and substantial possibility that the Sai Trucking Venture would have been implemented but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694</w:t>
      </w:r>
      <w:r>
        <w:rPr>
          <w:rFonts w:ascii="arial" w:eastAsia="arial" w:hAnsi="arial" w:cs="arial"/>
          <w:color w:val="000000"/>
          <w:sz w:val="20"/>
          <w:lang w:val="en-US" w:eastAsia="en-US" w:bidi="ar-SA"/>
        </w:rPr>
        <w:t>  The primary argument advanced by Volvo in respect of the Sai Trucking Venture as a basis for any award of loss of earning capacity is that "this claim is entirely speculative and should be given no credence".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695</w:t>
      </w:r>
      <w:r>
        <w:rPr>
          <w:rFonts w:ascii="arial" w:eastAsia="arial" w:hAnsi="arial" w:cs="arial"/>
          <w:color w:val="000000"/>
          <w:sz w:val="20"/>
          <w:lang w:val="en-US" w:eastAsia="en-US" w:bidi="ar-SA"/>
        </w:rPr>
        <w:t>  In support of that position Volvo cited the lack of any expert evidence to support the expanded business claim and "in particular the failure to provide any expert evidence on the success/failure rate of small trucking businesses".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696</w:t>
      </w:r>
      <w:r>
        <w:rPr>
          <w:rFonts w:ascii="arial" w:eastAsia="arial" w:hAnsi="arial" w:cs="arial"/>
          <w:color w:val="000000"/>
          <w:sz w:val="20"/>
          <w:lang w:val="en-US" w:eastAsia="en-US" w:bidi="ar-SA"/>
        </w:rPr>
        <w:t>  In opposing the plaintiffs' assertions of likely success and profitability, Volvo referred also to the spotty success of Mr. Collick, whose evidence the plaintiff relied upon, as well as the plaintiffs' own numerous changes of employers in the flat-bed industry before they ultimately left to join Yanke.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697</w:t>
      </w:r>
      <w:r>
        <w:rPr>
          <w:rFonts w:ascii="arial" w:eastAsia="arial" w:hAnsi="arial" w:cs="arial"/>
          <w:color w:val="000000"/>
          <w:sz w:val="20"/>
          <w:lang w:val="en-US" w:eastAsia="en-US" w:bidi="ar-SA"/>
        </w:rPr>
        <w:t>  Volvo further relied upon Mr. Hans' lack of business experience, other than as an owner-operator, and Mrs. Hans' lack of managerial experience. Volvo submitted that the plaintiffs' collective lack of business and managerial experience, including the lack of any experience in the hiring and firing of drivers or in retaining owner-operators in a competitive industry, make it highly unlikely that the Sai Trucking Venture would have succeeded.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698</w:t>
      </w:r>
      <w:r>
        <w:rPr>
          <w:rFonts w:ascii="arial" w:eastAsia="arial" w:hAnsi="arial" w:cs="arial"/>
          <w:color w:val="000000"/>
          <w:sz w:val="20"/>
          <w:lang w:val="en-US" w:eastAsia="en-US" w:bidi="ar-SA"/>
        </w:rPr>
        <w:t>  Although Volvo's arguments relating to the lack of likely success of the Sai Trucking Venture raise many valid issues for consideration, I am satisfied that the arguments and issues raised are more applicable to the second stage of the inquiry to be undertaken in assessing loss of earning capacity based upon hypothetical future events than to the first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699</w:t>
      </w:r>
      <w:r>
        <w:rPr>
          <w:rFonts w:ascii="arial" w:eastAsia="arial" w:hAnsi="arial" w:cs="arial"/>
          <w:color w:val="000000"/>
          <w:sz w:val="20"/>
          <w:lang w:val="en-US" w:eastAsia="en-US" w:bidi="ar-SA"/>
        </w:rPr>
        <w:t xml:space="preserve">  The first stage of the future events inquiry is into whether there is a real and substantial possibility that but for the collision the Sai Trucking Venture would have been undertaken by the plaintiffs as planned. If a real and substantial possibility is established, the second stage of the inquiry requires assessment of the likelihood of the potential success of the venture. See: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Reynolds</w:t>
      </w:r>
      <w:r>
        <w:rPr>
          <w:rFonts w:ascii="arial" w:eastAsia="arial" w:hAnsi="arial" w:cs="arial"/>
          <w:color w:val="000000"/>
          <w:sz w:val="20"/>
          <w:lang w:val="en-US" w:eastAsia="en-US" w:bidi="ar-SA"/>
        </w:rPr>
        <w:t xml:space="preserve"> at para. 16; and </w:t>
      </w:r>
      <w:r>
        <w:rPr>
          <w:rFonts w:ascii="arial" w:eastAsia="arial" w:hAnsi="arial" w:cs="arial"/>
          <w:i/>
          <w:color w:val="000000"/>
          <w:sz w:val="20"/>
          <w:lang w:val="en-US" w:eastAsia="en-US" w:bidi="ar-SA"/>
        </w:rPr>
        <w:t>Lines</w:t>
      </w:r>
      <w:r>
        <w:rPr>
          <w:rFonts w:ascii="arial" w:eastAsia="arial" w:hAnsi="arial" w:cs="arial"/>
          <w:color w:val="000000"/>
          <w:sz w:val="20"/>
          <w:lang w:val="en-US" w:eastAsia="en-US" w:bidi="ar-SA"/>
        </w:rPr>
        <w:t xml:space="preserve"> at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700</w:t>
      </w:r>
      <w:r>
        <w:rPr>
          <w:rFonts w:ascii="arial" w:eastAsia="arial" w:hAnsi="arial" w:cs="arial"/>
          <w:color w:val="000000"/>
          <w:sz w:val="20"/>
          <w:lang w:val="en-US" w:eastAsia="en-US" w:bidi="ar-SA"/>
        </w:rPr>
        <w:t>  Concerning the first stage of the analysis, I find that the evidence as a whole establishes a very real and substantial possibility that the plaintiffs would have implemented the Sai Trucking Venture in the year after the collision if the collision had not rendered the venture virtually impossible to pursue because of Mr. Hans'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701</w:t>
      </w:r>
      <w:r>
        <w:rPr>
          <w:rFonts w:ascii="arial" w:eastAsia="arial" w:hAnsi="arial" w:cs="arial"/>
          <w:color w:val="000000"/>
          <w:sz w:val="20"/>
          <w:lang w:val="en-US" w:eastAsia="en-US" w:bidi="ar-SA"/>
        </w:rPr>
        <w:t>  I reach that conclusion because:</w:t>
      </w:r>
      <w:r>
        <w:rPr>
          <w:rFonts w:ascii="arial" w:eastAsia="arial" w:hAnsi="arial" w:cs="arial"/>
          <w:sz w:val="20"/>
          <w:lang w:val="en-US" w:eastAsia="en-US" w:bidi="ar-SA"/>
        </w:rPr>
        <w:cr/>
      </w:r>
    </w:p>
    <w:p>
      <w:pPr>
        <w:numPr>
          <w:numId w:val="3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establishes that the plaintiffs had the ambition and plan to eventually operate their own flat-bed trucking business.</w:t>
      </w:r>
    </w:p>
    <w:p>
      <w:pPr>
        <w:numPr>
          <w:numId w:val="3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also establishes that before the collision Mr. and Mrs. Hans were both driven to succeed financially. Mr. Hans' friends and co-workers testified as to his ambition and desire to own his own business.</w:t>
      </w:r>
    </w:p>
    <w:p>
      <w:pPr>
        <w:numPr>
          <w:numId w:val="3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Hans' drive and ability to overcome obstacles to success are evidenced not only by her words, but also by her past entrepreneurial history. She did not let her physical limitation caused by childhood polio stand in the way of any of her goals. She took driving instructor training and started her own driving school to double her income earning ability over that which she could earn while working at McDonald's at night when Mr. Hans was home with the children.</w:t>
      </w:r>
    </w:p>
    <w:p>
      <w:pPr>
        <w:numPr>
          <w:numId w:val="3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Most impressively, Mrs. Hans obtained a Class 1 driver's license with air brake endorsement as the first person in British Columbia with polio to do so. That required not only the ability to obtain that licensing, but also the determination to approach the regulating authority and obtain permission which had never been previously granted.</w:t>
      </w:r>
    </w:p>
    <w:p>
      <w:pPr>
        <w:numPr>
          <w:numId w:val="3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joint goal of becoming team long haul drivers was realized as a consequence not only of Mrs. Hans' determination, but also because of their shrewd decision to acquire their first Volvo truck which could be specially equipped not only for team driving to accommodate Mrs. Hans' physical disability, but also to allow Mrs. Hans to pass the Class 1 licensing testing on that vehicle.</w:t>
      </w:r>
    </w:p>
    <w:p>
      <w:pPr>
        <w:numPr>
          <w:numId w:val="3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further establishes that Mrs. Hans' resolve and ability were complemented and enabled by Mr. Hans' own experiences and abilities as a truck driver and especially as a flat-bed driver that allowed him to do those aspects of the operations that Mrs. Hans could not physically handle. Not the least of those abilities were his stamina, agility and physical strength, all of which were essential to the work he performed for the team.</w:t>
      </w:r>
    </w:p>
    <w:p>
      <w:pPr>
        <w:numPr>
          <w:numId w:val="3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also establishes that flat-bed long haul trucking industry is a male dominated one in which Mr. Hans' physical prowess and experience as a successful owner-operator together with his team building abilities, testified to by his friends and former co-workers, which he had gained in the material supply industry would likely have served the new venture well.</w:t>
      </w:r>
    </w:p>
    <w:p>
      <w:pPr>
        <w:numPr>
          <w:numId w:val="3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Implementation of the Sai Trucking Venture was in the planning stages before collision as evidenced by the incorporation of Sai Trucking Inc. in 2007 (although it was struck in 2010 after the collision for failing to file necessary reports).</w:t>
      </w:r>
    </w:p>
    <w:p>
      <w:pPr>
        <w:numPr>
          <w:numId w:val="3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Collick testified that he also was aware that the plaintiffs had plans to build their own business and that he believed they were capable of doing so.</w:t>
      </w:r>
    </w:p>
    <w:p>
      <w:pPr>
        <w:numPr>
          <w:numId w:val="3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Collick also testified that Mrs. Hans was one of the sharpest drivers he had encountered in his years in the long haul trucking business and was constantly asking questions to improve her knowledge of the industry. She understood routing to maximize profits and regularly used that knowledge to do so as an owner-operator. She also understood dispatch, one of the tasks she would undertake in an expanded operation. Mrs. Hans work as a dispatcher after the collision confirms that capability.</w:t>
      </w:r>
    </w:p>
    <w:p>
      <w:pPr>
        <w:numPr>
          <w:numId w:val="3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also establishes that while Mrs. Hans was working on long haul assignments with Mr. Hans during their employment as an owner-operator team with various flat-bed trucking companies, she made contacts with not only brokers but also directly with potential customers with a view to eventually using those contacts to obtain future business for their own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Johal v. Meyde</w:t>
      </w:r>
      <w:r>
        <w:rPr>
          <w:rFonts w:ascii="arial" w:eastAsia="arial" w:hAnsi="arial" w:cs="arial"/>
          <w:color w:val="000000"/>
          <w:sz w:val="20"/>
          <w:lang w:val="en-US" w:eastAsia="en-US" w:bidi="ar-SA"/>
        </w:rPr>
        <w:t xml:space="preserve">, </w:t>
      </w:r>
      <w:hyperlink r:id="rId1215" w:history="1">
        <w:r>
          <w:rPr>
            <w:rFonts w:ascii="arial" w:eastAsia="arial" w:hAnsi="arial" w:cs="arial"/>
            <w:i/>
            <w:color w:val="0077CC"/>
            <w:sz w:val="20"/>
            <w:u w:val="single"/>
            <w:shd w:val="clear" w:color="auto" w:fill="FFFFFF"/>
            <w:lang w:val="en-US" w:eastAsia="en-US" w:bidi="ar-SA"/>
          </w:rPr>
          <w:t>2014 BCCA 509</w:t>
        </w:r>
      </w:hyperlink>
      <w:r>
        <w:rPr>
          <w:rFonts w:ascii="arial" w:eastAsia="arial" w:hAnsi="arial" w:cs="arial"/>
          <w:color w:val="000000"/>
          <w:sz w:val="20"/>
          <w:lang w:val="en-US" w:eastAsia="en-US" w:bidi="ar-SA"/>
        </w:rPr>
        <w:t>, the Court of Appeal held that it is not speculative to consider that a career path may lead to promotions for a person of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703</w:t>
      </w:r>
      <w:r>
        <w:rPr>
          <w:rFonts w:ascii="arial" w:eastAsia="arial" w:hAnsi="arial" w:cs="arial"/>
          <w:color w:val="000000"/>
          <w:sz w:val="20"/>
          <w:lang w:val="en-US" w:eastAsia="en-US" w:bidi="ar-SA"/>
        </w:rPr>
        <w:t>  I find that Mr. and Mrs. Hans were on a career path as long haul truck drivers that was intended to culminate in their owning and operating a small flat-bed trucking business. I also find that they had taken the necessary steps to implement that plan in the near future through their work experience, planning and shared ambition.</w:t>
      </w:r>
      <w:r>
        <w:rPr>
          <w:rFonts w:ascii="arial" w:eastAsia="arial" w:hAnsi="arial" w:cs="arial"/>
          <w:sz w:val="20"/>
          <w:lang w:val="en-US" w:eastAsia="en-US" w:bidi="ar-SA"/>
        </w:rPr>
        <w:cr/>
      </w:r>
    </w:p>
    <w:p>
      <w:pPr>
        <w:numPr>
          <w:numId w:val="34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likelihood of success of the Sai Trucking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704</w:t>
      </w:r>
      <w:r>
        <w:rPr>
          <w:rFonts w:ascii="arial" w:eastAsia="arial" w:hAnsi="arial" w:cs="arial"/>
          <w:color w:val="000000"/>
          <w:sz w:val="20"/>
          <w:lang w:val="en-US" w:eastAsia="en-US" w:bidi="ar-SA"/>
        </w:rPr>
        <w:t>  My finding that the plaintiffs have established a real and substantial possibility that they would have implemented the Sai Trucking Venture in the year after the collision requires that I embark upon second stage analysis of assessing the likelihood of success of the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705</w:t>
      </w:r>
      <w:r>
        <w:rPr>
          <w:rFonts w:ascii="arial" w:eastAsia="arial" w:hAnsi="arial" w:cs="arial"/>
          <w:color w:val="000000"/>
          <w:sz w:val="20"/>
          <w:lang w:val="en-US" w:eastAsia="en-US" w:bidi="ar-SA"/>
        </w:rPr>
        <w:t>  The second expert report prepared by Mr. Munton in which he provides his opinion on the financial projections of Sai Transport Inc. is premised upon the validity of a number of assumptions.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706</w:t>
      </w:r>
      <w:r>
        <w:rPr>
          <w:rFonts w:ascii="arial" w:eastAsia="arial" w:hAnsi="arial" w:cs="arial"/>
          <w:color w:val="000000"/>
          <w:sz w:val="20"/>
          <w:lang w:val="en-US" w:eastAsia="en-US" w:bidi="ar-SA"/>
        </w:rPr>
        <w:t>  Important to my assessment of the extent to which Mr. Munton's opinion is sufficiently supported by the evidence for me to consider his projections to be reliable in assessing the plaintiffs' past and future loss of capacity claims related to the Sai Trucking Venture are the following directions given and assumptions which the plaintiffs' counsel asked him to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707</w:t>
      </w:r>
      <w:r>
        <w:rPr>
          <w:rFonts w:ascii="arial" w:eastAsia="arial" w:hAnsi="arial" w:cs="arial"/>
          <w:color w:val="000000"/>
          <w:sz w:val="20"/>
          <w:lang w:val="en-US" w:eastAsia="en-US" w:bidi="ar-SA"/>
        </w:rPr>
        <w:t>  When engaging Mr. Munton to make his second report, counsel for the plaintiffs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Hans will testify that there is a standard method of carrying on business as a trucking company using owner operators. Applying her knowledge, the following is the framework for the business:</w:t>
      </w:r>
    </w:p>
    <w:p>
      <w:pPr>
        <w:numPr>
          <w:numId w:val="3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Amandeep Hans would continue to drive a company owned truck; however, Pavandeep Hans would no longer drive. Her role in the new business was intended to be that of office manager, bookkeeper/accountant and dispatcher. Initially, there would be no requirement to have infrastructure such as a secured yard or indeed a separate office space. The intention was that Mr. and Mrs. Hans would work out of their home and eventually after purchasing a home of their own would convert a basement or another part of the home to an office and dispatch centre;</w:t>
      </w:r>
    </w:p>
    <w:p>
      <w:pPr>
        <w:numPr>
          <w:numId w:val="3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Owner/operators are charged a flat 15% of gross revenues plus GST. Owner/operators pay at their own expense all charges related to the operation of their truck. These include the following:</w:t>
      </w:r>
    </w:p>
    <w:p>
      <w:pPr>
        <w:numPr>
          <w:numId w:val="3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cargo insurance;</w:t>
      </w:r>
    </w:p>
    <w:p>
      <w:pPr>
        <w:numPr>
          <w:numId w:val="3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Fuel tax;</w:t>
      </w:r>
    </w:p>
    <w:p>
      <w:pPr>
        <w:numPr>
          <w:numId w:val="3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Fuel;</w:t>
      </w:r>
    </w:p>
    <w:p>
      <w:pPr>
        <w:numPr>
          <w:numId w:val="3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Work Safe;</w:t>
      </w:r>
    </w:p>
    <w:p>
      <w:pPr>
        <w:numPr>
          <w:numId w:val="3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Office expenses;</w:t>
      </w:r>
    </w:p>
    <w:p>
      <w:pPr>
        <w:numPr>
          <w:numId w:val="3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log book audit fees;</w:t>
      </w:r>
    </w:p>
    <w:p>
      <w:pPr>
        <w:numPr>
          <w:numId w:val="3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Repairs;</w:t>
      </w:r>
    </w:p>
    <w:p>
      <w:pPr>
        <w:numPr>
          <w:numId w:val="3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Parking;</w:t>
      </w:r>
    </w:p>
    <w:p>
      <w:pPr>
        <w:numPr>
          <w:numId w:val="3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Drug tests;</w:t>
      </w:r>
    </w:p>
    <w:p>
      <w:pPr>
        <w:numPr>
          <w:numId w:val="3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Signage; and</w:t>
      </w:r>
    </w:p>
    <w:p>
      <w:pPr>
        <w:numPr>
          <w:numId w:val="3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Vehicle insurance.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Owner/operators would be expected to gross about $25,000 - $30,000 per month. In view of the fact that the Hans were somewhere in between, I will request that you use the more conservative figure of $25,000 per month. Accordingly for each owner operator truck Sai Transport Inc. would earn $3,750 per month.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to owner/operator trucks, Mr. and Mrs. Hans felt it was prudent to actually own two vehicles within the corporation and would accordingly have lease payments for a second truck. The intention of Mr. Hans continuing to drive was that his revenues would pay expenses related to the company and would provide the beginning of a decent bottom line for Sai Transport Inc. Accordingly, would you please take the revenues reported by Mr. and Mrs. Hans found in your earlier report and use that as one of the revenues streams for the new company. With respect to the second company owned truck would you please book $25,000 as income against that vehicle. That figure is intended to be net of driver wages that would be paid to an employee driver.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following would be anticipated costs for running Sai Transport Inc.:</w:t>
      </w:r>
    </w:p>
    <w:p>
      <w:pPr>
        <w:numPr>
          <w:numId w:val="3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Office rent and supplies $600 per month;</w:t>
      </w:r>
    </w:p>
    <w:p>
      <w:pPr>
        <w:numPr>
          <w:numId w:val="3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Accounting $2,500 per year;</w:t>
      </w:r>
    </w:p>
    <w:p>
      <w:pPr>
        <w:numPr>
          <w:numId w:val="3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Load Link subscription $500 per month. Load Link is the electronic bulletin board brokerage system for load pickups that is utilized by all trucking companies;</w:t>
      </w:r>
    </w:p>
    <w:p>
      <w:pPr>
        <w:numPr>
          <w:numId w:val="3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Work Safe Assessments, I am not sure how much that would be. I would ask that you insert the appropriate amount;</w:t>
      </w:r>
    </w:p>
    <w:p>
      <w:pPr>
        <w:numPr>
          <w:numId w:val="3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Cargo and general liability insurance $2,000 per year;</w:t>
      </w:r>
    </w:p>
    <w:p>
      <w:pPr>
        <w:numPr>
          <w:numId w:val="3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Miscellaneous $150 per month.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if there is anything that you believe as an accountant ought to be included recurring expenses please note those.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terms of start-up expenses, permits are a one-time expense of $5,000, office equipment, cell phones and other related items total $2,000.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Hans is of the view that given her contacts in the industry and her understanding of Load Link she would have been able to employ both company owned trucks and to have four owner/operators working full time for the company by the end of 2012. The plan going forward would be to add trucks as needed. Using Load link alone, Mr. and Mrs. Hans were of the view that they could have added another one or two trucks per year to the owner operator fleet thereby increasing revenues which would largely translate directly to the bottom line.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apply all applicable prudent accounting principles in creating this pro forma. Would you also please analyze the point at which the owner/operator trucks would be able to service the monthly expenses of Sai Transport Inc. This will enable the court to examine any scenario that it feels is most likely in terms of the number of trucks entering into and remaining with Sai Transport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708</w:t>
      </w:r>
      <w:r>
        <w:rPr>
          <w:rFonts w:ascii="arial" w:eastAsia="arial" w:hAnsi="arial" w:cs="arial"/>
          <w:color w:val="000000"/>
          <w:sz w:val="20"/>
          <w:lang w:val="en-US" w:eastAsia="en-US" w:bidi="ar-SA"/>
        </w:rPr>
        <w:t>  As I noted above, in his projections Mr. Munton did not accept the assumption that Sai Transport Inc. would purchase a second truck and hire a driver to operate it due to lack of sufficient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709</w:t>
      </w:r>
      <w:r>
        <w:rPr>
          <w:rFonts w:ascii="arial" w:eastAsia="arial" w:hAnsi="arial" w:cs="arial"/>
          <w:color w:val="000000"/>
          <w:sz w:val="20"/>
          <w:lang w:val="en-US" w:eastAsia="en-US" w:bidi="ar-SA"/>
        </w:rPr>
        <w:t>  Mr. Munton accepted all other assumptions he was asked to make and in his report made the following additional ones:</w:t>
      </w:r>
      <w:r>
        <w:rPr>
          <w:rFonts w:ascii="arial" w:eastAsia="arial" w:hAnsi="arial" w:cs="arial"/>
          <w:sz w:val="20"/>
          <w:lang w:val="en-US" w:eastAsia="en-US" w:bidi="ar-SA"/>
        </w:rPr>
        <w:cr/>
      </w:r>
    </w:p>
    <w:p>
      <w:pPr>
        <w:numPr>
          <w:numId w:val="3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Owner operators would work 12 months during the year;</w:t>
      </w:r>
    </w:p>
    <w:p>
      <w:pPr>
        <w:numPr>
          <w:numId w:val="3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Revenue from operating the Company owned truck will be $300,000 per year, based on a review of Mr. Hans actual operating results in 2007 and 2008 (Schedule 4);</w:t>
      </w:r>
    </w:p>
    <w:p>
      <w:pPr>
        <w:numPr>
          <w:numId w:val="3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Variable costs associated with operating a Company owned truck would amount to 53.4% of trucking revenue, based on a review of Mr. Hans actual operating results in 2007 and 2008 (Schedule 4);</w:t>
      </w:r>
    </w:p>
    <w:p>
      <w:pPr>
        <w:numPr>
          <w:numId w:val="3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fixed costs associated with operating a Company owned truck would include annual insurance and depreciation expense of $6,000 and $18,000, respectively (Schedule 4);</w:t>
      </w:r>
    </w:p>
    <w:p>
      <w:pPr>
        <w:numPr>
          <w:numId w:val="3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Office equipment would depreciate at the rate of 25% per year;</w:t>
      </w:r>
    </w:p>
    <w:p>
      <w:pPr>
        <w:numPr>
          <w:numId w:val="3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trucking rates and associated direct costs will rise by 3% per year;</w:t>
      </w:r>
    </w:p>
    <w:p>
      <w:pPr>
        <w:numPr>
          <w:numId w:val="3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Operating overhead expenses will increase at the rate of 2% per year;</w:t>
      </w:r>
    </w:p>
    <w:p>
      <w:pPr>
        <w:numPr>
          <w:numId w:val="3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SAI would be subject to corporate income tax at the rate of 15%;</w:t>
      </w:r>
    </w:p>
    <w:p>
      <w:pPr>
        <w:numPr>
          <w:numId w:val="3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interest rate on financing provided to the Company would be 5%; and</w:t>
      </w:r>
    </w:p>
    <w:p>
      <w:pPr>
        <w:numPr>
          <w:numId w:val="3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Hans would have transferred his truck to the Company at a market value of $127,000 on or about the beginning of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710</w:t>
      </w:r>
      <w:r>
        <w:rPr>
          <w:rFonts w:ascii="arial" w:eastAsia="arial" w:hAnsi="arial" w:cs="arial"/>
          <w:color w:val="000000"/>
          <w:sz w:val="20"/>
          <w:lang w:val="en-US" w:eastAsia="en-US" w:bidi="ar-SA"/>
        </w:rPr>
        <w:t>  In preparing his opinion Mr. Munton postulated two separate divisions in Sai Transport Inc. (the dispatch division and the trucking division) from which net income would be derived.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711</w:t>
      </w:r>
      <w:r>
        <w:rPr>
          <w:rFonts w:ascii="arial" w:eastAsia="arial" w:hAnsi="arial" w:cs="arial"/>
          <w:color w:val="000000"/>
          <w:sz w:val="20"/>
          <w:lang w:val="en-US" w:eastAsia="en-US" w:bidi="ar-SA"/>
        </w:rPr>
        <w:t>  In summary, the "trucking division" would earn income from Mr. Hans' operation of the company owned truck and the "dispatch division" would earn income from the owner-operated trucks organized, dispatched and overseen primarily by Mrs. Hans with assistance from Mr. Hans as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712</w:t>
      </w:r>
      <w:r>
        <w:rPr>
          <w:rFonts w:ascii="arial" w:eastAsia="arial" w:hAnsi="arial" w:cs="arial"/>
          <w:color w:val="000000"/>
          <w:sz w:val="20"/>
          <w:lang w:val="en-US" w:eastAsia="en-US" w:bidi="ar-SA"/>
        </w:rPr>
        <w:t>  Based on the assumptions made by him, as outlined above, Mr. Munton projected the following income (net of corporate taxes) available for distribution to Mr. and Mrs. Hans as the two shareholders: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65" type="#_x0000_t75" style="width:363pt;height:141pt">
            <v:imagedata r:id="rId1216"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713</w:t>
      </w:r>
      <w:r>
        <w:rPr>
          <w:rFonts w:ascii="arial" w:eastAsia="arial" w:hAnsi="arial" w:cs="arial"/>
          <w:color w:val="000000"/>
          <w:sz w:val="20"/>
          <w:lang w:val="en-US" w:eastAsia="en-US" w:bidi="ar-SA"/>
        </w:rPr>
        <w:t>  Since based on those projections year 5 would have occurred in 2015, immediately before the commencement of this trial, Mr. Munton's forward looking projections would be based upon a net income of $290,763 per year until the company ceased operations. Based upon the present value of money, that yearly income would extrapolate arithmetically to a future loss of approximately $5,800,000 if the company were to operate for 25 years from the date of trial until Mr. Hans had reached age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714</w:t>
      </w:r>
      <w:r>
        <w:rPr>
          <w:rFonts w:ascii="arial" w:eastAsia="arial" w:hAnsi="arial" w:cs="arial"/>
          <w:color w:val="000000"/>
          <w:sz w:val="20"/>
          <w:lang w:val="en-US" w:eastAsia="en-US" w:bidi="ar-SA"/>
        </w:rPr>
        <w:t>  The validity and reliability of any expert opinion is dependent upon the reliability of the evidence adduced in support of the opinion as well as the extent to which assumptions relied upon have been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715</w:t>
      </w:r>
      <w:r>
        <w:rPr>
          <w:rFonts w:ascii="arial" w:eastAsia="arial" w:hAnsi="arial" w:cs="arial"/>
          <w:color w:val="000000"/>
          <w:sz w:val="20"/>
          <w:lang w:val="en-US" w:eastAsia="en-US" w:bidi="ar-SA"/>
        </w:rPr>
        <w:t>  For the most part, the assumptions relied upon by Mr. Munton have been proven to be 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716</w:t>
      </w:r>
      <w:r>
        <w:rPr>
          <w:rFonts w:ascii="arial" w:eastAsia="arial" w:hAnsi="arial" w:cs="arial"/>
          <w:color w:val="000000"/>
          <w:sz w:val="20"/>
          <w:lang w:val="en-US" w:eastAsia="en-US" w:bidi="ar-SA"/>
        </w:rPr>
        <w:t>  There is, for example, abundant evidence to confirm that owner-operator's revenue based on 15% of gross revenues plus GST is an attainable industry norm and that the listed expenses chargeable to owner-operators are those generally borne by the owner operator.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717</w:t>
      </w:r>
      <w:r>
        <w:rPr>
          <w:rFonts w:ascii="arial" w:eastAsia="arial" w:hAnsi="arial" w:cs="arial"/>
          <w:color w:val="000000"/>
          <w:sz w:val="20"/>
          <w:lang w:val="en-US" w:eastAsia="en-US" w:bidi="ar-SA"/>
        </w:rPr>
        <w:t>  There is also no evidence to contradict the assumptions that the "anticipated costs for running Sai Transport Inc." or the anticipated one time "start-up expenses" are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718</w:t>
      </w:r>
      <w:r>
        <w:rPr>
          <w:rFonts w:ascii="arial" w:eastAsia="arial" w:hAnsi="arial" w:cs="arial"/>
          <w:color w:val="000000"/>
          <w:sz w:val="20"/>
          <w:lang w:val="en-US" w:eastAsia="en-US" w:bidi="ar-SA"/>
        </w:rPr>
        <w:t>  What is problematic, however, are the assumptions based upon the length of time it would be necessary to grow the Sai Trucking Venture to a total of 6 trucks, the rate of that anticipated growth and the ability of the plaintiffs to garner enough work for the company truck and the five owner-operators to meet the revenue projections Mr. Munton assumes were achievable and maintainable.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719</w:t>
      </w:r>
      <w:r>
        <w:rPr>
          <w:rFonts w:ascii="arial" w:eastAsia="arial" w:hAnsi="arial" w:cs="arial"/>
          <w:color w:val="000000"/>
          <w:sz w:val="20"/>
          <w:lang w:val="en-US" w:eastAsia="en-US" w:bidi="ar-SA"/>
        </w:rPr>
        <w:t>  Of specific concern are Mr. Munton's assumptions that:</w:t>
      </w:r>
      <w:r>
        <w:rPr>
          <w:rFonts w:ascii="arial" w:eastAsia="arial" w:hAnsi="arial" w:cs="arial"/>
          <w:sz w:val="20"/>
          <w:lang w:val="en-US" w:eastAsia="en-US" w:bidi="ar-SA"/>
        </w:rPr>
        <w:cr/>
      </w:r>
    </w:p>
    <w:p>
      <w:pPr>
        <w:numPr>
          <w:numId w:val="3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owner-operators would work 12 months per year each at gross revenue roughly equivalent to the $300,000 obtained by Mr. and Mrs. Hans in 2007 and 2008; and</w:t>
      </w:r>
    </w:p>
    <w:p>
      <w:pPr>
        <w:numPr>
          <w:numId w:val="3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"variable costs associated with operating a Company owned truck would amount to 53.4% of trucking revenue based on Mr. Hans' actual operating results in 2007 and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720</w:t>
      </w:r>
      <w:r>
        <w:rPr>
          <w:rFonts w:ascii="arial" w:eastAsia="arial" w:hAnsi="arial" w:cs="arial"/>
          <w:color w:val="000000"/>
          <w:sz w:val="20"/>
          <w:lang w:val="en-US" w:eastAsia="en-US" w:bidi="ar-SA"/>
        </w:rPr>
        <w:t>  As I discussed when assessing Mr. and Mrs. Hans income for the years 2007 and 2008, although the revenue earned in each year did approximate $300,000 per year, I find that the adjusted net income earned by Mr. and Mrs. Hans was in the range of $100,000 each year. Expenses were therefore roughly equivalent to 66% rather than 53.4% of the trucking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721</w:t>
      </w:r>
      <w:r>
        <w:rPr>
          <w:rFonts w:ascii="arial" w:eastAsia="arial" w:hAnsi="arial" w:cs="arial"/>
          <w:color w:val="000000"/>
          <w:sz w:val="20"/>
          <w:lang w:val="en-US" w:eastAsia="en-US" w:bidi="ar-SA"/>
        </w:rPr>
        <w:t>  Also, to obtain that net income of $100,000 in each of those years, it was necessary for Mr. and Mrs. Hans to work full time as team drivers to maximize revenue. In the Sai Trucking Venture the work done by Mrs. Hans as a driver would have to be replaced by a hired driver at a cost of approximately $50,000 per year, thus increasing the expenses to approximately 75% of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722</w:t>
      </w:r>
      <w:r>
        <w:rPr>
          <w:rFonts w:ascii="arial" w:eastAsia="arial" w:hAnsi="arial" w:cs="arial"/>
          <w:color w:val="000000"/>
          <w:sz w:val="20"/>
          <w:lang w:val="en-US" w:eastAsia="en-US" w:bidi="ar-SA"/>
        </w:rPr>
        <w:t>  The evidence of Mr. Collick also establishes that many owner-operators do not wish to work in the winter months, preferring to take extended holidays in warmer climates. They also tend to prefer to do the relatively "short haul" routes between Canada and California where competition for loads is strong and revenue is less than in the less sought after but more remunerative long distance hauls that Mr. and Mrs. Hans had undertaken to their financial advantage.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723</w:t>
      </w:r>
      <w:r>
        <w:rPr>
          <w:rFonts w:ascii="arial" w:eastAsia="arial" w:hAnsi="arial" w:cs="arial"/>
          <w:color w:val="000000"/>
          <w:sz w:val="20"/>
          <w:lang w:val="en-US" w:eastAsia="en-US" w:bidi="ar-SA"/>
        </w:rPr>
        <w:t>  I must also advert to the apparent lack of success in the flat-bed trucking industry experienced by Mr. Collick himself when he attempted to start-up and run his own small company after years of experience with other operators both as an employee and as a manager/partner.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724</w:t>
      </w:r>
      <w:r>
        <w:rPr>
          <w:rFonts w:ascii="arial" w:eastAsia="arial" w:hAnsi="arial" w:cs="arial"/>
          <w:color w:val="000000"/>
          <w:sz w:val="20"/>
          <w:lang w:val="en-US" w:eastAsia="en-US" w:bidi="ar-SA"/>
        </w:rPr>
        <w:t>  I accept that in many ways Mr. and Mrs. Hans were better positioned to be more successful than Mr. Collick because of their abilities as a highly capable team and more specifically as a Punjabi speaking team in an industry in which many of the drivers speak Punjabi more fluently than they do English. Mr. Collick's potential for success was seriously limited because he did not have those advantages. I cannot, however, assume that although their mentor failed Mr. and Mrs. Hans would succeed to the extent projected by Mr. Munton.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725</w:t>
      </w:r>
      <w:r>
        <w:rPr>
          <w:rFonts w:ascii="arial" w:eastAsia="arial" w:hAnsi="arial" w:cs="arial"/>
          <w:color w:val="000000"/>
          <w:sz w:val="20"/>
          <w:lang w:val="en-US" w:eastAsia="en-US" w:bidi="ar-SA"/>
        </w:rPr>
        <w:t>  While I do not agree with Volvo's submission that it was a pre-condition to establishing any entitlement to damages for loss of income earning capacity to support the Sai Trucking Venture claim, the lack of such evidence, including expert evidence as to the success or failure rate of small trucking businesses, does require that I exercise considerable caution when assessing projections that are very much based upon the plaintiffs' self-evaluation of their potential success.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 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726</w:t>
      </w:r>
      <w:r>
        <w:rPr>
          <w:rFonts w:ascii="arial" w:eastAsia="arial" w:hAnsi="arial" w:cs="arial"/>
          <w:color w:val="000000"/>
          <w:sz w:val="20"/>
          <w:lang w:val="en-US" w:eastAsia="en-US" w:bidi="ar-SA"/>
        </w:rPr>
        <w:t>  After considering the totality of the evidence that I consider reliable I agree that Mr. Munton's approach to the issue of the potential financial viability of Sai Transport Inc. by looking separately at the potential income from the two divisions he has identified is a reasonable one because it captures the potential for ongoing income from the established trucking business and projects potential income from the dispatch business that had no proven track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727</w:t>
      </w:r>
      <w:r>
        <w:rPr>
          <w:rFonts w:ascii="arial" w:eastAsia="arial" w:hAnsi="arial" w:cs="arial"/>
          <w:color w:val="000000"/>
          <w:sz w:val="20"/>
          <w:lang w:val="en-US" w:eastAsia="en-US" w:bidi="ar-SA"/>
        </w:rPr>
        <w:t>  I will accordingly consider the income potential from each division separately rather than collectively in assessing the plaintiffs' past and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728</w:t>
      </w:r>
      <w:r>
        <w:rPr>
          <w:rFonts w:ascii="arial" w:eastAsia="arial" w:hAnsi="arial" w:cs="arial"/>
          <w:color w:val="000000"/>
          <w:sz w:val="20"/>
          <w:lang w:val="en-US" w:eastAsia="en-US" w:bidi="ar-SA"/>
        </w:rPr>
        <w:t>  In doing so I will further assess the likelihood of the success of the Sai Trucking Venture.</w:t>
      </w:r>
      <w:r>
        <w:rPr>
          <w:rFonts w:ascii="arial" w:eastAsia="arial" w:hAnsi="arial" w:cs="arial"/>
          <w:sz w:val="20"/>
          <w:lang w:val="en-US" w:eastAsia="en-US" w:bidi="ar-SA"/>
        </w:rPr>
        <w:cr/>
      </w:r>
    </w:p>
    <w:p>
      <w:pPr>
        <w:numPr>
          <w:numId w:val="37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Assessment of Loss of Past Income Earning Capacity related to the "Trucking Division" of the Sai Trucking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729</w:t>
      </w:r>
      <w:r>
        <w:rPr>
          <w:rFonts w:ascii="arial" w:eastAsia="arial" w:hAnsi="arial" w:cs="arial"/>
          <w:color w:val="000000"/>
          <w:sz w:val="20"/>
          <w:lang w:val="en-US" w:eastAsia="en-US" w:bidi="ar-SA"/>
        </w:rPr>
        <w:t>  I have previously found that the pre-tax income earned by the plaintiffs from their trucking business in 2007 was $101,117 and in 2008 was $95,715 and that an average of those yearly amounts (approximately $98,500) establishes a reasonable base line upon which to assess the plaintiffs' past and future loss of income earning capacity from their trucking business as it existed on January 31,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730</w:t>
      </w:r>
      <w:r>
        <w:rPr>
          <w:rFonts w:ascii="arial" w:eastAsia="arial" w:hAnsi="arial" w:cs="arial"/>
          <w:color w:val="000000"/>
          <w:sz w:val="20"/>
          <w:lang w:val="en-US" w:eastAsia="en-US" w:bidi="ar-SA"/>
        </w:rPr>
        <w:t>  Mr. Munton's income projections for the trucking division of Sai Transport Inc., which would effectively be derived only from the efforts of Mr. Hans, rather than from the efforts of both plaintiffs, are roughly the same as that which I found was attributable by the plaintiffs working as a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731</w:t>
      </w:r>
      <w:r>
        <w:rPr>
          <w:rFonts w:ascii="arial" w:eastAsia="arial" w:hAnsi="arial" w:cs="arial"/>
          <w:color w:val="000000"/>
          <w:sz w:val="20"/>
          <w:lang w:val="en-US" w:eastAsia="en-US" w:bidi="ar-SA"/>
        </w:rPr>
        <w:t>  His net income projections for the trucking division only of the Sai Trucking Venture utilizing only Mr. Hans as a driver approximate $490,000 over the five years (beginning in January of 2010 and ending in December 2014). To that amount would have to be added a further approximately $210,000 for the two years between the collision and the date of trial that are not covered by his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732</w:t>
      </w:r>
      <w:r>
        <w:rPr>
          <w:rFonts w:ascii="arial" w:eastAsia="arial" w:hAnsi="arial" w:cs="arial"/>
          <w:color w:val="000000"/>
          <w:sz w:val="20"/>
          <w:lang w:val="en-US" w:eastAsia="en-US" w:bidi="ar-SA"/>
        </w:rPr>
        <w:t>  I cannot accept those projections as a basis for determining the plaintiffs' individual or collective loss of income earning capacity for that period because they fail to reflect the loss of Mrs. Hans as a team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733</w:t>
      </w:r>
      <w:r>
        <w:rPr>
          <w:rFonts w:ascii="arial" w:eastAsia="arial" w:hAnsi="arial" w:cs="arial"/>
          <w:color w:val="000000"/>
          <w:sz w:val="20"/>
          <w:lang w:val="en-US" w:eastAsia="en-US" w:bidi="ar-SA"/>
        </w:rPr>
        <w:t>  I find that after the collision and prior to this trial the plaintiffs as a team collectively lost income from their established team trucking business of approximately $690,000 over the seven years subsequent to the collision and the start of trial. That amount is based upon a total loss of $98,500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734</w:t>
      </w:r>
      <w:r>
        <w:rPr>
          <w:rFonts w:ascii="arial" w:eastAsia="arial" w:hAnsi="arial" w:cs="arial"/>
          <w:color w:val="000000"/>
          <w:sz w:val="20"/>
          <w:lang w:val="en-US" w:eastAsia="en-US" w:bidi="ar-SA"/>
        </w:rPr>
        <w:t>  Due to the plaintiffs' team approach to their established trucking business that loss would be equally apportioned.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735</w:t>
      </w:r>
      <w:r>
        <w:rPr>
          <w:rFonts w:ascii="arial" w:eastAsia="arial" w:hAnsi="arial" w:cs="arial"/>
          <w:color w:val="000000"/>
          <w:sz w:val="20"/>
          <w:lang w:val="en-US" w:eastAsia="en-US" w:bidi="ar-SA"/>
        </w:rPr>
        <w:t>  That apportionment would result in an award to each plaintiff individually of $345,000 for past loss of earning capacity subject to deduction for income earned by each of the plaintiffs during the last several years as well as any necessary deductions for any failure of the plaintiffs to mitigate their losses as asserted by Volvo that I will later discuss.</w:t>
      </w:r>
      <w:r>
        <w:rPr>
          <w:rFonts w:ascii="arial" w:eastAsia="arial" w:hAnsi="arial" w:cs="arial"/>
          <w:sz w:val="20"/>
          <w:lang w:val="en-US" w:eastAsia="en-US" w:bidi="ar-SA"/>
        </w:rPr>
        <w:cr/>
      </w:r>
    </w:p>
    <w:p>
      <w:pPr>
        <w:numPr>
          <w:numId w:val="37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Assessment of Loss of Past Income Earning Capacity related to the "Dispatch Division" of the Sai Trucking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736</w:t>
      </w:r>
      <w:r>
        <w:rPr>
          <w:rFonts w:ascii="arial" w:eastAsia="arial" w:hAnsi="arial" w:cs="arial"/>
          <w:color w:val="000000"/>
          <w:sz w:val="20"/>
          <w:lang w:val="en-US" w:eastAsia="en-US" w:bidi="ar-SA"/>
        </w:rPr>
        <w:t>  Mr. Munton's projections for the loss of income attributable to the "dispatch division" of the Sai Trucking Venture in the five years from January 2010 to December 2014 total approximately $487,000. To that amount would have to be added an additional approximately $185,000 for the year 2015, to account for the six years prior to trial after the plaintiffs' intended start-up date for the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737</w:t>
      </w:r>
      <w:r>
        <w:rPr>
          <w:rFonts w:ascii="arial" w:eastAsia="arial" w:hAnsi="arial" w:cs="arial"/>
          <w:color w:val="000000"/>
          <w:sz w:val="20"/>
          <w:lang w:val="en-US" w:eastAsia="en-US" w:bidi="ar-SA"/>
        </w:rPr>
        <w:t>  If accepted, those projections would add a total of more than $670,000 to the plaintiffs' loss of $690,000 in past earning capacity attributable to their inability to continue the operations of the trucking division due to the collision, so that the total loss would be $1,360,000.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738</w:t>
      </w:r>
      <w:r>
        <w:rPr>
          <w:rFonts w:ascii="arial" w:eastAsia="arial" w:hAnsi="arial" w:cs="arial"/>
          <w:color w:val="000000"/>
          <w:sz w:val="20"/>
          <w:lang w:val="en-US" w:eastAsia="en-US" w:bidi="ar-SA"/>
        </w:rPr>
        <w:t>  Although I have concluded that the plaintiffs have established a real and substantial possibility that but for the collision they would have undertaken the Sai Trucking Venture, assessment of the likelihood of its success must include whether the income projected by Mr. Munton would likely have been met, as well as the extent to which contingencies, other than those related to revenue projections, should impact the quantum of any loss of income earning capacity based upon the dispatch division of the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739</w:t>
      </w:r>
      <w:r>
        <w:rPr>
          <w:rFonts w:ascii="arial" w:eastAsia="arial" w:hAnsi="arial" w:cs="arial"/>
          <w:color w:val="000000"/>
          <w:sz w:val="20"/>
          <w:lang w:val="en-US" w:eastAsia="en-US" w:bidi="ar-SA"/>
        </w:rPr>
        <w:t>  My consideration of the totality of the evidence and especially that of Mr. Collick leads me to conclude that both the length of time required to meet the income projections in Mr. Munton's report as well as the extent to which they could eventually be met must be subject to downward adjustment.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740</w:t>
      </w:r>
      <w:r>
        <w:rPr>
          <w:rFonts w:ascii="arial" w:eastAsia="arial" w:hAnsi="arial" w:cs="arial"/>
          <w:color w:val="000000"/>
          <w:sz w:val="20"/>
          <w:lang w:val="en-US" w:eastAsia="en-US" w:bidi="ar-SA"/>
        </w:rPr>
        <w:t>  Although Mrs. Hans was confident of both the plaintiffs' ability to add five owner-operators in five years commencing in 2010 and that each could earn revenue similar to that earned by Mr. and Mrs. Hans as team drivers, I have concluded that she was likely over-confident in respect of both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741</w:t>
      </w:r>
      <w:r>
        <w:rPr>
          <w:rFonts w:ascii="arial" w:eastAsia="arial" w:hAnsi="arial" w:cs="arial"/>
          <w:color w:val="000000"/>
          <w:sz w:val="20"/>
          <w:lang w:val="en-US" w:eastAsia="en-US" w:bidi="ar-SA"/>
        </w:rPr>
        <w:t>  While there is no direct evidence that establishes that the goal of five additional owner-operators in five years could not be met, I am satisfied that notwithstanding the plaintiffs' own abilities as owner-operators, their inexperience in the management and direction of a small trucking company coupled with the need to garner business for their fleet in a competitive environment require application of a negative contingency.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742</w:t>
      </w:r>
      <w:r>
        <w:rPr>
          <w:rFonts w:ascii="arial" w:eastAsia="arial" w:hAnsi="arial" w:cs="arial"/>
          <w:color w:val="000000"/>
          <w:sz w:val="20"/>
          <w:lang w:val="en-US" w:eastAsia="en-US" w:bidi="ar-SA"/>
        </w:rPr>
        <w:t>  Rather than assessing that negative contingency in percentage terms, I have concluded that it is better addressed by a longer start-up period rather than 5 years of constant expansion.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743</w:t>
      </w:r>
      <w:r>
        <w:rPr>
          <w:rFonts w:ascii="arial" w:eastAsia="arial" w:hAnsi="arial" w:cs="arial"/>
          <w:color w:val="000000"/>
          <w:sz w:val="20"/>
          <w:lang w:val="en-US" w:eastAsia="en-US" w:bidi="ar-SA"/>
        </w:rPr>
        <w:t>  In doing so I consider that a start-up period from 6 to 8 years would more likely be necessary before a fleet of 5 owner-operators would be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744</w:t>
      </w:r>
      <w:r>
        <w:rPr>
          <w:rFonts w:ascii="arial" w:eastAsia="arial" w:hAnsi="arial" w:cs="arial"/>
          <w:color w:val="000000"/>
          <w:sz w:val="20"/>
          <w:lang w:val="en-US" w:eastAsia="en-US" w:bidi="ar-SA"/>
        </w:rPr>
        <w:t>  The evidence as a whole also convinces me that Mr. Munton's revenue projections for the owner-operators are overly optimistic due primarily to his assumptions that each would work 12 months per year producing roughly the same revenue as that produced by Mr. and Mrs. Hans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745</w:t>
      </w:r>
      <w:r>
        <w:rPr>
          <w:rFonts w:ascii="arial" w:eastAsia="arial" w:hAnsi="arial" w:cs="arial"/>
          <w:color w:val="000000"/>
          <w:sz w:val="20"/>
          <w:lang w:val="en-US" w:eastAsia="en-US" w:bidi="ar-SA"/>
        </w:rPr>
        <w:t>  Mr. Collick's evidence that many owner operators prefer to take lengthy holidays and prefer to work the less remunerative, more competitive shorter routes between Canada and California leads me to conclude that projected gross revenue of approximately $300,000 per year per owner-operator escalating by approximately 10% over five years would not likely be attained.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746</w:t>
      </w:r>
      <w:r>
        <w:rPr>
          <w:rFonts w:ascii="arial" w:eastAsia="arial" w:hAnsi="arial" w:cs="arial"/>
          <w:color w:val="000000"/>
          <w:sz w:val="20"/>
          <w:lang w:val="en-US" w:eastAsia="en-US" w:bidi="ar-SA"/>
        </w:rPr>
        <w:t>  I am satisfied that in combination those two factors require a reduction of Mr. Munton's projected pre-trial income from the dispatch division ($670,000) by 35% (approximately $234,000) to $436,000 to reflect a more likely level of success of the dispatch division for the six years from January 2010 to the beginning of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747</w:t>
      </w:r>
      <w:r>
        <w:rPr>
          <w:rFonts w:ascii="arial" w:eastAsia="arial" w:hAnsi="arial" w:cs="arial"/>
          <w:color w:val="000000"/>
          <w:sz w:val="20"/>
          <w:lang w:val="en-US" w:eastAsia="en-US" w:bidi="ar-SA"/>
        </w:rPr>
        <w:t>  I am also satisfied that the foregoing arithmetic assessment of the pre-trial success of the venture based on likely attainable projected revenue must be subject to further reduction arising from the possibility that the Sai Trucking Venture could fail or be abandoned in whole or in part because of lack of revenue or the ability to attract sufficient owner-operators in favour of a return by Mrs. Hans to team driving with its proven track record of success of approximately $100,000 per year rather than the roughly $50,000 per year that Mr. Hans would be able to earn as a single driver in the Sai Trucking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748</w:t>
      </w:r>
      <w:r>
        <w:rPr>
          <w:rFonts w:ascii="arial" w:eastAsia="arial" w:hAnsi="arial" w:cs="arial"/>
          <w:color w:val="000000"/>
          <w:sz w:val="20"/>
          <w:lang w:val="en-US" w:eastAsia="en-US" w:bidi="ar-SA"/>
        </w:rPr>
        <w:t>  I assess the likelihood of those negative contingencies at 20% of $436,000.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749</w:t>
      </w:r>
      <w:r>
        <w:rPr>
          <w:rFonts w:ascii="arial" w:eastAsia="arial" w:hAnsi="arial" w:cs="arial"/>
          <w:color w:val="000000"/>
          <w:sz w:val="20"/>
          <w:lang w:val="en-US" w:eastAsia="en-US" w:bidi="ar-SA"/>
        </w:rPr>
        <w:t>  I accordingly find that the loss of past earning capacity arising from the inability to pursue the implementation of the dispatch division of the Sai Trucking Venture before trial is approximately $348,000.</w:t>
      </w:r>
      <w:r>
        <w:rPr>
          <w:rFonts w:ascii="arial" w:eastAsia="arial" w:hAnsi="arial" w:cs="arial"/>
          <w:sz w:val="20"/>
          <w:lang w:val="en-US" w:eastAsia="en-US" w:bidi="ar-SA"/>
        </w:rPr>
        <w:cr/>
      </w:r>
    </w:p>
    <w:p>
      <w:pPr>
        <w:numPr>
          <w:numId w:val="37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Assessment of Total Past Earning Capacity Loss from January 31, 2009 to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750</w:t>
      </w:r>
      <w:r>
        <w:rPr>
          <w:rFonts w:ascii="arial" w:eastAsia="arial" w:hAnsi="arial" w:cs="arial"/>
          <w:color w:val="000000"/>
          <w:sz w:val="20"/>
          <w:lang w:val="en-US" w:eastAsia="en-US" w:bidi="ar-SA"/>
        </w:rPr>
        <w:t xml:space="preserve">  I have concluded that the plaintiffs have collectively suffered a past loss of income earning capacity relating solely to the inability to continue their team driving business of $690,000 from January 31, 2009 to the commencement of this trial as a consequence of Volvo's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causing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751</w:t>
      </w:r>
      <w:r>
        <w:rPr>
          <w:rFonts w:ascii="arial" w:eastAsia="arial" w:hAnsi="arial" w:cs="arial"/>
          <w:color w:val="000000"/>
          <w:sz w:val="20"/>
          <w:lang w:val="en-US" w:eastAsia="en-US" w:bidi="ar-SA"/>
        </w:rPr>
        <w:t>  I have also concluded that the plaintiffs have collectively suffered an additional loss of income earning capacity of $348,000 in the period from January 2010 to the date of trial as a consequence of their inability to implement the dispatch division of the Sai Trucking Venture. The total collective loss of past earning capacity is accordingly $1,038,000.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752</w:t>
      </w:r>
      <w:r>
        <w:rPr>
          <w:rFonts w:ascii="arial" w:eastAsia="arial" w:hAnsi="arial" w:cs="arial"/>
          <w:color w:val="000000"/>
          <w:sz w:val="20"/>
          <w:lang w:val="en-US" w:eastAsia="en-US" w:bidi="ar-SA"/>
        </w:rPr>
        <w:t>  From that total amount, however, six years of past income loss at $49,250 ($295,500), otherwise attributable to Mrs. Hans' share of income as a team driver must be deducted to preclude double recovery because under the Sai Trucking Venture she would be working as a manager/dispatcher rather than as a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753</w:t>
      </w:r>
      <w:r>
        <w:rPr>
          <w:rFonts w:ascii="arial" w:eastAsia="arial" w:hAnsi="arial" w:cs="arial"/>
          <w:color w:val="000000"/>
          <w:sz w:val="20"/>
          <w:lang w:val="en-US" w:eastAsia="en-US" w:bidi="ar-SA"/>
        </w:rPr>
        <w:t>  In result, I find that, subject to deduction of income earned by them during the period from the date of the collision to the date of trial or deduction arising from a proven failure to mitigate their losses, the plaintiffs have suffered a collective loss of past earning capacity of $742,500.</w:t>
      </w:r>
      <w:r>
        <w:rPr>
          <w:rFonts w:ascii="arial" w:eastAsia="arial" w:hAnsi="arial" w:cs="arial"/>
          <w:sz w:val="20"/>
          <w:lang w:val="en-US" w:eastAsia="en-US" w:bidi="ar-SA"/>
        </w:rPr>
        <w:cr/>
      </w:r>
    </w:p>
    <w:p>
      <w:pPr>
        <w:numPr>
          <w:numId w:val="37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Deductions from Assessment of Total Past Earning Capacity Loss because of Income Earned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754</w:t>
      </w:r>
      <w:r>
        <w:rPr>
          <w:rFonts w:ascii="arial" w:eastAsia="arial" w:hAnsi="arial" w:cs="arial"/>
          <w:color w:val="000000"/>
          <w:sz w:val="20"/>
          <w:lang w:val="en-US" w:eastAsia="en-US" w:bidi="ar-SA"/>
        </w:rPr>
        <w:t>  The evidence establishes that Mr. and Mrs. Hans worked by driving Mr. Hans' brother's truck primarily on relatively short haul routes to Washington and California for about two years between the fall of 2009 and October 4, 2011, before Mr. Hans made his first suicide attempt. Mr. Hans has not worked since then but has received CPP disability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755</w:t>
      </w:r>
      <w:r>
        <w:rPr>
          <w:rFonts w:ascii="arial" w:eastAsia="arial" w:hAnsi="arial" w:cs="arial"/>
          <w:color w:val="000000"/>
          <w:sz w:val="20"/>
          <w:lang w:val="en-US" w:eastAsia="en-US" w:bidi="ar-SA"/>
        </w:rPr>
        <w:t>  Pay statements provided by Yanke satisfy me that in 2009 before the collision Mr. and Mrs. Hans earned gross revenue of approximately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756</w:t>
      </w:r>
      <w:r>
        <w:rPr>
          <w:rFonts w:ascii="arial" w:eastAsia="arial" w:hAnsi="arial" w:cs="arial"/>
          <w:color w:val="000000"/>
          <w:sz w:val="20"/>
          <w:lang w:val="en-US" w:eastAsia="en-US" w:bidi="ar-SA"/>
        </w:rPr>
        <w:t>  Mr. Hans' income tax return for 2009 records gross "business income" in that calendar year of $18,300 and net income of $10,208. Mrs. Hans' tax return for 2009 records income from employment of $3,384 and net business income of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757</w:t>
      </w:r>
      <w:r>
        <w:rPr>
          <w:rFonts w:ascii="arial" w:eastAsia="arial" w:hAnsi="arial" w:cs="arial"/>
          <w:color w:val="000000"/>
          <w:sz w:val="20"/>
          <w:lang w:val="en-US" w:eastAsia="en-US" w:bidi="ar-SA"/>
        </w:rPr>
        <w:t>  Neither of the plaintiffs was cross-examined concerning the extent to which the 2009 income was earned from Yanke or from their work for Mr. Hans' brother. Doing the best I can from the financial documents in evidence and knowing that expenses incurred by the plaintiffs in 2009 would be largely attributable to work done while driving their own truck for Yanke, I find that $15,000 should be deducted from the plaintiffs past loss of earning capacity award for the year 2009 with one-half of that amount attributed to each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758</w:t>
      </w:r>
      <w:r>
        <w:rPr>
          <w:rFonts w:ascii="arial" w:eastAsia="arial" w:hAnsi="arial" w:cs="arial"/>
          <w:color w:val="000000"/>
          <w:sz w:val="20"/>
          <w:lang w:val="en-US" w:eastAsia="en-US" w:bidi="ar-SA"/>
        </w:rPr>
        <w:t>  The 2010 income tax return filed by Mr. Hans records gross business income of $30,000 and net business income of $21,394. The 2010 return filed by Mrs. Hans records gross business income of $25,000 and net business income of $19,262.50.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759</w:t>
      </w:r>
      <w:r>
        <w:rPr>
          <w:rFonts w:ascii="arial" w:eastAsia="arial" w:hAnsi="arial" w:cs="arial"/>
          <w:color w:val="000000"/>
          <w:sz w:val="20"/>
          <w:lang w:val="en-US" w:eastAsia="en-US" w:bidi="ar-SA"/>
        </w:rPr>
        <w:t>  In both cases deductions from gross business income were for meals and entertainment of the plaintiffs as long haul truck drivers. Again, neither plaintiff was cross-examined on those returns or the recorded expenses. Based on the documents in evidence, I find that $42,000 should be deducted from the plaintiffs past loss of earning capacity award for the year 2010 with $21,000 attributed to each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760</w:t>
      </w:r>
      <w:r>
        <w:rPr>
          <w:rFonts w:ascii="arial" w:eastAsia="arial" w:hAnsi="arial" w:cs="arial"/>
          <w:color w:val="000000"/>
          <w:sz w:val="20"/>
          <w:lang w:val="en-US" w:eastAsia="en-US" w:bidi="ar-SA"/>
        </w:rPr>
        <w:t>  The 2011 income tax returns filed by Mr. and Mrs. Hans record gross business income of $107,225 and net business income of $36,873 with 60% of that reported by Mr. Hans and 40% by Mrs. Hans. The expenses deducted from that gross business income include approximately $13,000 in accounting fees, $3,500 for rent, $3,964 for advertising and $6,570 for bad debts. Notwithstanding there was no cross-examination of either plaintiff on those deductions, I am satisfied that in the circumstances of the work they were doing without their own vehicle, I do not consider it appropriate to deduct those amounts from the plaintiffs' income in 2011 and will therefore add them back to the income earned by the plaintiffs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761</w:t>
      </w:r>
      <w:r>
        <w:rPr>
          <w:rFonts w:ascii="arial" w:eastAsia="arial" w:hAnsi="arial" w:cs="arial"/>
          <w:color w:val="000000"/>
          <w:sz w:val="20"/>
          <w:lang w:val="en-US" w:eastAsia="en-US" w:bidi="ar-SA"/>
        </w:rPr>
        <w:t>  In result, I have determined that $64,000 should be deducted from the plaintiff's past loss of earning capacity award for the year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762</w:t>
      </w:r>
      <w:r>
        <w:rPr>
          <w:rFonts w:ascii="arial" w:eastAsia="arial" w:hAnsi="arial" w:cs="arial"/>
          <w:color w:val="000000"/>
          <w:sz w:val="20"/>
          <w:lang w:val="en-US" w:eastAsia="en-US" w:bidi="ar-SA"/>
        </w:rPr>
        <w:t>  Since Mr. Hans was not employed after October 5, 2011, I attribute $24,000 of those earnings (based upon 50% of 9 months pro-rated earnings) to Mr. Hans and the balance of $40,000 to Mrs. Hans.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763</w:t>
      </w:r>
      <w:r>
        <w:rPr>
          <w:rFonts w:ascii="arial" w:eastAsia="arial" w:hAnsi="arial" w:cs="arial"/>
          <w:color w:val="000000"/>
          <w:sz w:val="20"/>
          <w:lang w:val="en-US" w:eastAsia="en-US" w:bidi="ar-SA"/>
        </w:rPr>
        <w:t>  As recorded earlier in this judgment, after ceasing work as a commercial truck driver in January of 2012, when Mr. Hans was released from hospital, Mrs. Hans earned income from numerous sources detailed in para. 188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764</w:t>
      </w:r>
      <w:r>
        <w:rPr>
          <w:rFonts w:ascii="arial" w:eastAsia="arial" w:hAnsi="arial" w:cs="arial"/>
          <w:color w:val="000000"/>
          <w:sz w:val="20"/>
          <w:lang w:val="en-US" w:eastAsia="en-US" w:bidi="ar-SA"/>
        </w:rPr>
        <w:t>  Mrs. Hans' income tax returns for 2012, 2013 and 2014 respectively report total income of $12,312 ($3,964 from WCB); $22,366 (all from WCB) and $47,996 ($37,699 from WCB), totaling income of $82,674.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765</w:t>
      </w:r>
      <w:r>
        <w:rPr>
          <w:rFonts w:ascii="arial" w:eastAsia="arial" w:hAnsi="arial" w:cs="arial"/>
          <w:color w:val="000000"/>
          <w:sz w:val="20"/>
          <w:lang w:val="en-US" w:eastAsia="en-US" w:bidi="ar-SA"/>
        </w:rPr>
        <w:t>  Although the plaintiffs did not adduce documentary evidence concerning income received by Mrs. Hans in 2015, her evidence that she earned $25 per hour for a 40 hour week from January 15, 2015 until June of that year allows me to assume that for 21 weeks until the end of May she would have earned $21,000 that should be deducted from her past loss of earnings capacity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766</w:t>
      </w:r>
      <w:r>
        <w:rPr>
          <w:rFonts w:ascii="arial" w:eastAsia="arial" w:hAnsi="arial" w:cs="arial"/>
          <w:color w:val="000000"/>
          <w:sz w:val="20"/>
          <w:lang w:val="en-US" w:eastAsia="en-US" w:bidi="ar-SA"/>
        </w:rPr>
        <w:t>  Counsel for the plaintiffs agrees that all of those amounts (including all of the WCB payments) should be deducted from Mrs. Hans' past loss of earnings capacity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767</w:t>
      </w:r>
      <w:r>
        <w:rPr>
          <w:rFonts w:ascii="arial" w:eastAsia="arial" w:hAnsi="arial" w:cs="arial"/>
          <w:color w:val="000000"/>
          <w:sz w:val="20"/>
          <w:lang w:val="en-US" w:eastAsia="en-US" w:bidi="ar-SA"/>
        </w:rPr>
        <w:t>  I was not, however, provided with details of the extent of any benefits received by Mrs. Hans arising from her pregnancy nor any argument related to the deductibility of any such compensation or concerning any attribution of income for purposes of deductibility.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768</w:t>
      </w:r>
      <w:r>
        <w:rPr>
          <w:rFonts w:ascii="arial" w:eastAsia="arial" w:hAnsi="arial" w:cs="arial"/>
          <w:color w:val="000000"/>
          <w:sz w:val="20"/>
          <w:lang w:val="en-US" w:eastAsia="en-US" w:bidi="ar-SA"/>
        </w:rPr>
        <w:t>  If counsel are unable to agree upon the amounts of income associated with Mrs. Hans' maternity leave and what, if any, amount should be deducted from her past loss of earning capacity award, they have liberty to both supply the necessary information and make submissions with respect to deductibility.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769</w:t>
      </w:r>
      <w:r>
        <w:rPr>
          <w:rFonts w:ascii="arial" w:eastAsia="arial" w:hAnsi="arial" w:cs="arial"/>
          <w:color w:val="000000"/>
          <w:sz w:val="20"/>
          <w:lang w:val="en-US" w:eastAsia="en-US" w:bidi="ar-SA"/>
        </w:rPr>
        <w:t>  Mr. Hans' income tax returns for 2012, 2013 and 2014 respectively report total income of $8,738, $8,738 and $9,610, with all income attributable to CPP Disability Benefit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770</w:t>
      </w:r>
      <w:r>
        <w:rPr>
          <w:rFonts w:ascii="arial" w:eastAsia="arial" w:hAnsi="arial" w:cs="arial"/>
          <w:color w:val="000000"/>
          <w:sz w:val="20"/>
          <w:lang w:val="en-US" w:eastAsia="en-US" w:bidi="ar-SA"/>
        </w:rPr>
        <w:t xml:space="preserve">  Although counsel made no submission on the issue of the deductibility of those payments from Mr. Hans' past loss of income earning capacity award, I am satisfied that they are not deductible. See: </w:t>
      </w:r>
      <w:r>
        <w:rPr>
          <w:rFonts w:ascii="arial" w:eastAsia="arial" w:hAnsi="arial" w:cs="arial"/>
          <w:i/>
          <w:color w:val="000000"/>
          <w:sz w:val="20"/>
          <w:lang w:val="en-US" w:eastAsia="en-US" w:bidi="ar-SA"/>
        </w:rPr>
        <w:t>Sarvanis v. Canada,</w:t>
      </w:r>
      <w:r>
        <w:rPr>
          <w:rFonts w:ascii="arial" w:eastAsia="arial" w:hAnsi="arial" w:cs="arial"/>
          <w:color w:val="000000"/>
          <w:sz w:val="20"/>
          <w:lang w:val="en-US" w:eastAsia="en-US" w:bidi="ar-SA"/>
        </w:rPr>
        <w:t xml:space="preserve"> </w:t>
      </w:r>
      <w:hyperlink r:id="rId1217" w:history="1">
        <w:r>
          <w:rPr>
            <w:rFonts w:ascii="arial" w:eastAsia="arial" w:hAnsi="arial" w:cs="arial"/>
            <w:i/>
            <w:color w:val="0077CC"/>
            <w:sz w:val="20"/>
            <w:u w:val="single"/>
            <w:shd w:val="clear" w:color="auto" w:fill="FFFFFF"/>
            <w:lang w:val="en-US" w:eastAsia="en-US" w:bidi="ar-SA"/>
          </w:rPr>
          <w:t>2002 SCC 28</w:t>
        </w:r>
      </w:hyperlink>
      <w:r>
        <w:rPr>
          <w:rFonts w:ascii="arial" w:eastAsia="arial" w:hAnsi="arial" w:cs="arial"/>
          <w:color w:val="000000"/>
          <w:sz w:val="20"/>
          <w:lang w:val="en-US" w:eastAsia="en-US" w:bidi="ar-SA"/>
        </w:rPr>
        <w:t xml:space="preserve"> at para. 33; </w:t>
      </w:r>
      <w:r>
        <w:rPr>
          <w:rFonts w:ascii="arial" w:eastAsia="arial" w:hAnsi="arial" w:cs="arial"/>
          <w:i/>
          <w:color w:val="000000"/>
          <w:sz w:val="20"/>
          <w:lang w:val="en-US" w:eastAsia="en-US" w:bidi="ar-SA"/>
        </w:rPr>
        <w:t>Maillet v. Rosenau</w:t>
      </w:r>
      <w:r>
        <w:rPr>
          <w:rFonts w:ascii="arial" w:eastAsia="arial" w:hAnsi="arial" w:cs="arial"/>
          <w:color w:val="000000"/>
          <w:sz w:val="20"/>
          <w:lang w:val="en-US" w:eastAsia="en-US" w:bidi="ar-SA"/>
        </w:rPr>
        <w:t xml:space="preserve">, </w:t>
      </w:r>
      <w:hyperlink r:id="rId1218" w:history="1">
        <w:r>
          <w:rPr>
            <w:rFonts w:ascii="arial" w:eastAsia="arial" w:hAnsi="arial" w:cs="arial"/>
            <w:i/>
            <w:color w:val="0077CC"/>
            <w:sz w:val="20"/>
            <w:u w:val="single"/>
            <w:shd w:val="clear" w:color="auto" w:fill="FFFFFF"/>
            <w:lang w:val="en-US" w:eastAsia="en-US" w:bidi="ar-SA"/>
          </w:rPr>
          <w:t>2006 BCSC 10</w:t>
        </w:r>
      </w:hyperlink>
      <w:r>
        <w:rPr>
          <w:rFonts w:ascii="arial" w:eastAsia="arial" w:hAnsi="arial" w:cs="arial"/>
          <w:color w:val="000000"/>
          <w:sz w:val="20"/>
          <w:lang w:val="en-US" w:eastAsia="en-US" w:bidi="ar-SA"/>
        </w:rPr>
        <w:t xml:space="preserve"> at paras. 85-93; and </w:t>
      </w:r>
      <w:r>
        <w:rPr>
          <w:rFonts w:ascii="arial" w:eastAsia="arial" w:hAnsi="arial" w:cs="arial"/>
          <w:i/>
          <w:color w:val="000000"/>
          <w:sz w:val="20"/>
          <w:lang w:val="en-US" w:eastAsia="en-US" w:bidi="ar-SA"/>
        </w:rPr>
        <w:t>Kean v. Porter</w:t>
      </w:r>
      <w:r>
        <w:rPr>
          <w:rFonts w:ascii="arial" w:eastAsia="arial" w:hAnsi="arial" w:cs="arial"/>
          <w:color w:val="000000"/>
          <w:sz w:val="20"/>
          <w:lang w:val="en-US" w:eastAsia="en-US" w:bidi="ar-SA"/>
        </w:rPr>
        <w:t xml:space="preserve">, </w:t>
      </w:r>
      <w:hyperlink r:id="rId1219" w:history="1">
        <w:r>
          <w:rPr>
            <w:rFonts w:ascii="arial" w:eastAsia="arial" w:hAnsi="arial" w:cs="arial"/>
            <w:i/>
            <w:color w:val="0077CC"/>
            <w:sz w:val="20"/>
            <w:u w:val="single"/>
            <w:shd w:val="clear" w:color="auto" w:fill="FFFFFF"/>
            <w:lang w:val="en-US" w:eastAsia="en-US" w:bidi="ar-SA"/>
          </w:rPr>
          <w:t>2008 BCSC 1594</w:t>
        </w:r>
      </w:hyperlink>
      <w:r>
        <w:rPr>
          <w:rFonts w:ascii="arial" w:eastAsia="arial" w:hAnsi="arial" w:cs="arial"/>
          <w:color w:val="000000"/>
          <w:sz w:val="20"/>
          <w:lang w:val="en-US" w:eastAsia="en-US" w:bidi="ar-SA"/>
        </w:rPr>
        <w:t xml:space="preserve"> at paras. 102-111.</w:t>
      </w:r>
      <w:r>
        <w:rPr>
          <w:rFonts w:ascii="arial" w:eastAsia="arial" w:hAnsi="arial" w:cs="arial"/>
          <w:sz w:val="20"/>
          <w:lang w:val="en-US" w:eastAsia="en-US" w:bidi="ar-SA"/>
        </w:rPr>
        <w:cr/>
      </w:r>
    </w:p>
    <w:p>
      <w:pPr>
        <w:numPr>
          <w:numId w:val="37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Summary of Deductions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771</w:t>
      </w:r>
      <w:r>
        <w:rPr>
          <w:rFonts w:ascii="arial" w:eastAsia="arial" w:hAnsi="arial" w:cs="arial"/>
          <w:color w:val="000000"/>
          <w:sz w:val="20"/>
          <w:lang w:val="en-US" w:eastAsia="en-US" w:bidi="ar-SA"/>
        </w:rPr>
        <w:t xml:space="preserve">  Subject to any further adjustments that may be necessary with respect to any compensation arising from Mrs. Hans' pregnancy or from Volvo's mitigation submissions, I find that after application of the deductions necessary to account for compensation received by the plaintiffs since the date of the collision the plaintiffs are collectively entitled to an award of $517,826 due to their past loss of earning capacity caused by Volvo's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772</w:t>
      </w:r>
      <w:r>
        <w:rPr>
          <w:rFonts w:ascii="arial" w:eastAsia="arial" w:hAnsi="arial" w:cs="arial"/>
          <w:color w:val="000000"/>
          <w:sz w:val="20"/>
          <w:lang w:val="en-US" w:eastAsia="en-US" w:bidi="ar-SA"/>
        </w:rPr>
        <w:t>  That amount is calculated as follows: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66" type="#_x0000_t75" style="width:432.06pt;height:187.53pt">
            <v:imagedata r:id="rId1220"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773</w:t>
      </w:r>
      <w:r>
        <w:rPr>
          <w:rFonts w:ascii="arial" w:eastAsia="arial" w:hAnsi="arial" w:cs="arial"/>
          <w:color w:val="000000"/>
          <w:sz w:val="20"/>
          <w:lang w:val="en-US" w:eastAsia="en-US" w:bidi="ar-SA"/>
        </w:rPr>
        <w:t>  Individual attribution of that loss between the plaintiffs, made necessary for income tax deduction purposes (at rates and in amounts to be later determined), is $318,750 (one half of $742,500 less $52,500) to Mr. Hans and $199,076 (one half of $742,500 less $172,174) to Mrs. Hans.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774</w:t>
      </w:r>
      <w:r>
        <w:rPr>
          <w:rFonts w:ascii="arial" w:eastAsia="arial" w:hAnsi="arial" w:cs="arial"/>
          <w:color w:val="000000"/>
          <w:sz w:val="20"/>
          <w:lang w:val="en-US" w:eastAsia="en-US" w:bidi="ar-SA"/>
        </w:rPr>
        <w:t>  If, contrary to the assessments I have made with respect to the likelihood of success of the Sai Trucking Venture, no past loss of earning capacity was attributed to the inability to implement that venture, the plaintiffs' collective past loss of earning capacity would be $690,000 (based upon $345,000 each as team drivers), less the income earned by each of them prior to trial. In those circumstances, the past loss of income earning capacity award to Mr. Hans would be $292,500 and to Mrs. Hans it would be $172,826.</w:t>
      </w:r>
      <w:r>
        <w:rPr>
          <w:rFonts w:ascii="arial" w:eastAsia="arial" w:hAnsi="arial" w:cs="arial"/>
          <w:sz w:val="20"/>
          <w:lang w:val="en-US" w:eastAsia="en-US" w:bidi="ar-SA"/>
        </w:rPr>
        <w:cr/>
      </w:r>
    </w:p>
    <w:p>
      <w:pPr>
        <w:numPr>
          <w:numId w:val="38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Did the Plaintiffs Fail to Mitigate their Past Earning Capacity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775</w:t>
      </w:r>
      <w:r>
        <w:rPr>
          <w:rFonts w:ascii="arial" w:eastAsia="arial" w:hAnsi="arial" w:cs="arial"/>
          <w:color w:val="000000"/>
          <w:sz w:val="20"/>
          <w:lang w:val="en-US" w:eastAsia="en-US" w:bidi="ar-SA"/>
        </w:rPr>
        <w:t>  Volvo submits that the plaintiffs failed to mitigate their losses of income earning capacity by failing to take reasonable steps that were open to them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776</w:t>
      </w:r>
      <w:r>
        <w:rPr>
          <w:rFonts w:ascii="arial" w:eastAsia="arial" w:hAnsi="arial" w:cs="arial"/>
          <w:color w:val="000000"/>
          <w:sz w:val="20"/>
          <w:lang w:val="en-US" w:eastAsia="en-US" w:bidi="ar-SA"/>
        </w:rPr>
        <w:t>  Volvo submits that even if Mr. Hans was disabled from driving:</w:t>
      </w:r>
      <w:r>
        <w:rPr>
          <w:rFonts w:ascii="arial" w:eastAsia="arial" w:hAnsi="arial" w:cs="arial"/>
          <w:sz w:val="20"/>
          <w:lang w:val="en-US" w:eastAsia="en-US" w:bidi="ar-SA"/>
        </w:rPr>
        <w:cr/>
      </w:r>
    </w:p>
    <w:p>
      <w:pPr>
        <w:numPr>
          <w:numId w:val="3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ought to have either accepted their Truck after it had been repaired or should have traded it in on another vehicle, and, in either case, ought to have hired a driver to operate the vehicle; and</w:t>
      </w:r>
    </w:p>
    <w:p>
      <w:pPr>
        <w:numPr>
          <w:numId w:val="3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Hans ought to have commenced work as a dispatcher out of the plaintiffs' home and implemented the Sai Trucking Venture using owner-operated trucks.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777</w:t>
      </w:r>
      <w:r>
        <w:rPr>
          <w:rFonts w:ascii="arial" w:eastAsia="arial" w:hAnsi="arial" w:cs="arial"/>
          <w:color w:val="000000"/>
          <w:sz w:val="20"/>
          <w:lang w:val="en-US" w:eastAsia="en-US" w:bidi="ar-SA"/>
        </w:rPr>
        <w:t>  In making those submissions Volvo asserted that the failure to take either or both of those steps should be taken as proof that the plaintiffs either never had any intention to implement the Sai Trucking Venture or entirely failed in their duty to mitigate their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778</w:t>
      </w:r>
      <w:r>
        <w:rPr>
          <w:rFonts w:ascii="arial" w:eastAsia="arial" w:hAnsi="arial" w:cs="arial"/>
          <w:color w:val="000000"/>
          <w:sz w:val="20"/>
          <w:lang w:val="en-US" w:eastAsia="en-US" w:bidi="ar-SA"/>
        </w:rPr>
        <w:t>  Volvo further asserted that abandoning the Truck after it was repaired, rather than continuing to operate it or trading it in for a different vehicle, was not only unreasonable, but led to financial difficulties which together with "other factors unrelated to the Accident resulted in Mr. Hans developing the severe major depressive disorder discussed in the medical legal report of Dr. Solomons".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779</w:t>
      </w:r>
      <w:r>
        <w:rPr>
          <w:rFonts w:ascii="arial" w:eastAsia="arial" w:hAnsi="arial" w:cs="arial"/>
          <w:color w:val="000000"/>
          <w:sz w:val="20"/>
          <w:lang w:val="en-US" w:eastAsia="en-US" w:bidi="ar-SA"/>
        </w:rPr>
        <w:t>  I have previously discussed Volvo's submission that Mr. Hans' psychiatric injuries were not caused by the collision. I have rejected those submissions, including Dr. Solomons' opinions that are inconsistent with those of the psychiatrists whose opinions I have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780</w:t>
      </w:r>
      <w:r>
        <w:rPr>
          <w:rFonts w:ascii="arial" w:eastAsia="arial" w:hAnsi="arial" w:cs="arial"/>
          <w:color w:val="000000"/>
          <w:sz w:val="20"/>
          <w:lang w:val="en-US" w:eastAsia="en-US" w:bidi="ar-SA"/>
        </w:rPr>
        <w:t xml:space="preserve">  That leaves for consideration whether Volvo has established that the abandonment of the Truck after it was repaired, the failure to trade it in on another vehicle to be operated by a hired driver, and/or the failure of Mrs. Hans to implement the Sai Trucking Venture herself in the wake of the collision, were unreasonable to the extent that individually or collectively they constitute a failure to mitigate the losses caused by Volvo's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781</w:t>
      </w:r>
      <w:r>
        <w:rPr>
          <w:rFonts w:ascii="arial" w:eastAsia="arial" w:hAnsi="arial" w:cs="arial"/>
          <w:color w:val="000000"/>
          <w:sz w:val="20"/>
          <w:lang w:val="en-US" w:eastAsia="en-US" w:bidi="ar-SA"/>
        </w:rPr>
        <w:t xml:space="preserve">  The burden of proving an alleged failure to mitigate is on the defendant. See: </w:t>
      </w:r>
      <w:r>
        <w:rPr>
          <w:rFonts w:ascii="arial" w:eastAsia="arial" w:hAnsi="arial" w:cs="arial"/>
          <w:i/>
          <w:color w:val="000000"/>
          <w:sz w:val="20"/>
          <w:lang w:val="en-US" w:eastAsia="en-US" w:bidi="ar-SA"/>
        </w:rPr>
        <w:t>Red Deer College v. Michaels,</w:t>
      </w:r>
      <w:r>
        <w:rPr>
          <w:rFonts w:ascii="arial" w:eastAsia="arial" w:hAnsi="arial" w:cs="arial"/>
          <w:color w:val="000000"/>
          <w:sz w:val="20"/>
          <w:lang w:val="en-US" w:eastAsia="en-US" w:bidi="ar-SA"/>
        </w:rPr>
        <w:t xml:space="preserve"> </w:t>
      </w:r>
      <w:hyperlink r:id="rId1221" w:history="1">
        <w:r>
          <w:rPr>
            <w:rFonts w:ascii="arial" w:eastAsia="arial" w:hAnsi="arial" w:cs="arial"/>
            <w:i/>
            <w:color w:val="0077CC"/>
            <w:sz w:val="20"/>
            <w:u w:val="single"/>
            <w:shd w:val="clear" w:color="auto" w:fill="FFFFFF"/>
            <w:lang w:val="en-US" w:eastAsia="en-US" w:bidi="ar-SA"/>
          </w:rPr>
          <w:t>[1976] 2 S.C.R. 324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782</w:t>
      </w:r>
      <w:r>
        <w:rPr>
          <w:rFonts w:ascii="arial" w:eastAsia="arial" w:hAnsi="arial" w:cs="arial"/>
          <w:color w:val="000000"/>
          <w:sz w:val="20"/>
          <w:lang w:val="en-US" w:eastAsia="en-US" w:bidi="ar-SA"/>
        </w:rPr>
        <w:t xml:space="preserve">  That burden applies also to proof of whether it was unreasonable for an injured plaintiff to not take the steps that the defendant asserts ought to have been taken in mitigation of the loss suffered. See: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457"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xml:space="preserve"> at paras. 32 to 35.</w:t>
      </w:r>
      <w:r>
        <w:rPr>
          <w:rFonts w:ascii="arial" w:eastAsia="arial" w:hAnsi="arial" w:cs="arial"/>
          <w:sz w:val="20"/>
          <w:lang w:val="en-US" w:eastAsia="en-US" w:bidi="ar-SA"/>
        </w:rPr>
        <w:cr/>
      </w:r>
    </w:p>
    <w:p>
      <w:pPr>
        <w:numPr>
          <w:numId w:val="38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"Abandonment" of the Truck or failure to trade it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783</w:t>
      </w:r>
      <w:r>
        <w:rPr>
          <w:rFonts w:ascii="arial" w:eastAsia="arial" w:hAnsi="arial" w:cs="arial"/>
          <w:color w:val="000000"/>
          <w:sz w:val="20"/>
          <w:lang w:val="en-US" w:eastAsia="en-US" w:bidi="ar-SA"/>
        </w:rPr>
        <w:t>  Volvo submits that the plaintiffs have failed to provide an adequate explanation as to why they did either not re-take possession of the Truck after it was repaired and available for pick up in Manitoba in May of 2009 or trade it in on another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784</w:t>
      </w:r>
      <w:r>
        <w:rPr>
          <w:rFonts w:ascii="arial" w:eastAsia="arial" w:hAnsi="arial" w:cs="arial"/>
          <w:color w:val="000000"/>
          <w:sz w:val="20"/>
          <w:lang w:val="en-US" w:eastAsia="en-US" w:bidi="ar-SA"/>
        </w:rPr>
        <w:t>  The plaintiffs testified that when they learned that repairs had been completed they remained concerned about the cause of the collision and did not trust that a similar event would not occur again. For the same reason they were not, in good conscience, prepared to sell the Truck to a third party or trade it in when they did not know what had caused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785</w:t>
      </w:r>
      <w:r>
        <w:rPr>
          <w:rFonts w:ascii="arial" w:eastAsia="arial" w:hAnsi="arial" w:cs="arial"/>
          <w:color w:val="000000"/>
          <w:sz w:val="20"/>
          <w:lang w:val="en-US" w:eastAsia="en-US" w:bidi="ar-SA"/>
        </w:rPr>
        <w:t>  While those reasons may, at first blush, seem somewhat unreasonable, when looked at through the lens of what had transpired between February and May of 2009, the plaintiffs concerns were, in my opinion,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786</w:t>
      </w:r>
      <w:r>
        <w:rPr>
          <w:rFonts w:ascii="arial" w:eastAsia="arial" w:hAnsi="arial" w:cs="arial"/>
          <w:color w:val="000000"/>
          <w:sz w:val="20"/>
          <w:lang w:val="en-US" w:eastAsia="en-US" w:bidi="ar-SA"/>
        </w:rPr>
        <w:t>  The collision had been a terrifying one from which Mr. Hans was suffering acutely from the effects of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787</w:t>
      </w:r>
      <w:r>
        <w:rPr>
          <w:rFonts w:ascii="arial" w:eastAsia="arial" w:hAnsi="arial" w:cs="arial"/>
          <w:color w:val="000000"/>
          <w:sz w:val="20"/>
          <w:lang w:val="en-US" w:eastAsia="en-US" w:bidi="ar-SA"/>
        </w:rPr>
        <w:t>  Mr. Hans' employment had been terminated by Yanke and the plaintiffs had been entirely excluded by Yanke and Volvo from participation in the investigation of the cause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788</w:t>
      </w:r>
      <w:r>
        <w:rPr>
          <w:rFonts w:ascii="arial" w:eastAsia="arial" w:hAnsi="arial" w:cs="arial"/>
          <w:color w:val="000000"/>
          <w:sz w:val="20"/>
          <w:lang w:val="en-US" w:eastAsia="en-US" w:bidi="ar-SA"/>
        </w:rPr>
        <w:t>  All physical evidence related to the cause of the electrical failure had been destroyed by Yanke and Volvo.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789</w:t>
      </w:r>
      <w:r>
        <w:rPr>
          <w:rFonts w:ascii="arial" w:eastAsia="arial" w:hAnsi="arial" w:cs="arial"/>
          <w:color w:val="000000"/>
          <w:sz w:val="20"/>
          <w:lang w:val="en-US" w:eastAsia="en-US" w:bidi="ar-SA"/>
        </w:rPr>
        <w:t>  They had been denied access to the whole of Mr. Hewitt's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790</w:t>
      </w:r>
      <w:r>
        <w:rPr>
          <w:rFonts w:ascii="arial" w:eastAsia="arial" w:hAnsi="arial" w:cs="arial"/>
          <w:color w:val="000000"/>
          <w:sz w:val="20"/>
          <w:lang w:val="en-US" w:eastAsia="en-US" w:bidi="ar-SA"/>
        </w:rPr>
        <w:t>  Neither Volvo nor Volvo Financial Services had answered Mrs. Hans' phone calls.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791</w:t>
      </w:r>
      <w:r>
        <w:rPr>
          <w:rFonts w:ascii="arial" w:eastAsia="arial" w:hAnsi="arial" w:cs="arial"/>
          <w:color w:val="000000"/>
          <w:sz w:val="20"/>
          <w:lang w:val="en-US" w:eastAsia="en-US" w:bidi="ar-SA"/>
        </w:rPr>
        <w:t>  They fairly believed that the only information which had been provided to them, that being that the cause of the failure was a "loose nut" was an incomplete explanation, which did not inform them of the risks associated with re-taking possession of the Truck. They had legitimate ongoing safety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792</w:t>
      </w:r>
      <w:r>
        <w:rPr>
          <w:rFonts w:ascii="arial" w:eastAsia="arial" w:hAnsi="arial" w:cs="arial"/>
          <w:color w:val="000000"/>
          <w:sz w:val="20"/>
          <w:lang w:val="en-US" w:eastAsia="en-US" w:bidi="ar-SA"/>
        </w:rPr>
        <w:t>  When Yanke advised Mr. and Mrs. Hans that the Truck was ready to be picked up they still had no complete answers to their inquiries concerning the cause of the electrical failure or concerning Yanke's negotiations with Volvo.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793</w:t>
      </w:r>
      <w:r>
        <w:rPr>
          <w:rFonts w:ascii="arial" w:eastAsia="arial" w:hAnsi="arial" w:cs="arial"/>
          <w:color w:val="000000"/>
          <w:sz w:val="20"/>
          <w:lang w:val="en-US" w:eastAsia="en-US" w:bidi="ar-SA"/>
        </w:rPr>
        <w:t>  At the heart of Volvo's submission that the plaintiffs ought to have re-taken possession of the Truck or traded it in is the premise that the plaintiffs ought to have trusted Yanke and Volvo that whatever undisclosed repairs undertaken, they had been effective to remove all of the plaintiffs' causes for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794</w:t>
      </w:r>
      <w:r>
        <w:rPr>
          <w:rFonts w:ascii="arial" w:eastAsia="arial" w:hAnsi="arial" w:cs="arial"/>
          <w:color w:val="000000"/>
          <w:sz w:val="20"/>
          <w:lang w:val="en-US" w:eastAsia="en-US" w:bidi="ar-SA"/>
        </w:rPr>
        <w:t>  Volvo did not adduce any evidence that any such assurances were ever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795</w:t>
      </w:r>
      <w:r>
        <w:rPr>
          <w:rFonts w:ascii="arial" w:eastAsia="arial" w:hAnsi="arial" w:cs="arial"/>
          <w:color w:val="000000"/>
          <w:sz w:val="20"/>
          <w:lang w:val="en-US" w:eastAsia="en-US" w:bidi="ar-SA"/>
        </w:rPr>
        <w:t>  In all of the circumstances, I find that Volvo has not proven that it was unreasonable for the plaintiffs to not re-take possession of the Truck, nor, given their unaddressed concerns, was it unreasonable for them not to trade the Truck in on another vehicle.</w:t>
      </w:r>
      <w:r>
        <w:rPr>
          <w:rFonts w:ascii="arial" w:eastAsia="arial" w:hAnsi="arial" w:cs="arial"/>
          <w:sz w:val="20"/>
          <w:lang w:val="en-US" w:eastAsia="en-US" w:bidi="ar-SA"/>
        </w:rPr>
        <w:cr/>
      </w:r>
    </w:p>
    <w:p>
      <w:pPr>
        <w:numPr>
          <w:numId w:val="38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Failure to hire a driver to replace Mr. Hans'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796</w:t>
      </w:r>
      <w:r>
        <w:rPr>
          <w:rFonts w:ascii="arial" w:eastAsia="arial" w:hAnsi="arial" w:cs="arial"/>
          <w:color w:val="000000"/>
          <w:sz w:val="20"/>
          <w:lang w:val="en-US" w:eastAsia="en-US" w:bidi="ar-SA"/>
        </w:rPr>
        <w:t>  In part, the answer to Volvo's submission that the plaintiffs ought to have hired a driver to replace Mr. Hans to mitigate their losses is dependent on the assertion that the plaintiffs ought to have re-taken possession of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797</w:t>
      </w:r>
      <w:r>
        <w:rPr>
          <w:rFonts w:ascii="arial" w:eastAsia="arial" w:hAnsi="arial" w:cs="arial"/>
          <w:color w:val="000000"/>
          <w:sz w:val="20"/>
          <w:lang w:val="en-US" w:eastAsia="en-US" w:bidi="ar-SA"/>
        </w:rPr>
        <w:t xml:space="preserve">  To the extent, however, that Volvo submits that the plaintiffs were obliged to hire a new driver to replace Mr. Hans' inability to continue driving, that submission ignores that it is Mr. Hans' loss of capacity that was caused by Volvo's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Replacement of Mr. Hans' ability to earn income by using another driver would not eliminate Mr. Hans' loss, it would only quantify a replacement cost that would be incurred by the plaintiffs as a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798</w:t>
      </w:r>
      <w:r>
        <w:rPr>
          <w:rFonts w:ascii="arial" w:eastAsia="arial" w:hAnsi="arial" w:cs="arial"/>
          <w:color w:val="000000"/>
          <w:sz w:val="20"/>
          <w:lang w:val="en-US" w:eastAsia="en-US" w:bidi="ar-SA"/>
        </w:rPr>
        <w:t>  In that regard, I have found that evidence establishes that the average annual income earned by each of Mr. and Mrs. Hans from their trucking business in 2007 and 2008 was $49,250. The evidence further establishes that Parmjit Hans earns $45,000 as an employed truck driver and that in his second report Mr. Munton cited industry sources as stating that a truck driver would usually be paid in the range of $50,000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799</w:t>
      </w:r>
      <w:r>
        <w:rPr>
          <w:rFonts w:ascii="arial" w:eastAsia="arial" w:hAnsi="arial" w:cs="arial"/>
          <w:color w:val="000000"/>
          <w:sz w:val="20"/>
          <w:lang w:val="en-US" w:eastAsia="en-US" w:bidi="ar-SA"/>
        </w:rPr>
        <w:t>  For all of those reasons I do not accede to Volvo's submission that the plaintiffs failed to reasonably mitigate their damages by hiring a substitute driver to replace Mr. Hans' loss of earning capacity.</w:t>
      </w:r>
      <w:r>
        <w:rPr>
          <w:rFonts w:ascii="arial" w:eastAsia="arial" w:hAnsi="arial" w:cs="arial"/>
          <w:sz w:val="20"/>
          <w:lang w:val="en-US" w:eastAsia="en-US" w:bidi="ar-SA"/>
        </w:rPr>
        <w:cr/>
      </w:r>
    </w:p>
    <w:p>
      <w:pPr>
        <w:numPr>
          <w:numId w:val="38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Failure of Mrs. Hans to work as a dispatcher from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800</w:t>
      </w:r>
      <w:r>
        <w:rPr>
          <w:rFonts w:ascii="arial" w:eastAsia="arial" w:hAnsi="arial" w:cs="arial"/>
          <w:color w:val="000000"/>
          <w:sz w:val="20"/>
          <w:lang w:val="en-US" w:eastAsia="en-US" w:bidi="ar-SA"/>
        </w:rPr>
        <w:t>  I also do not accept Volvo's submission that Mrs. Hans' failure to work as a dispatcher from her home to implement the plaintiffs' Sai Trucking Venture constituted an unreasonable failure to mitigate the plaintiffs' losses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801</w:t>
      </w:r>
      <w:r>
        <w:rPr>
          <w:rFonts w:ascii="arial" w:eastAsia="arial" w:hAnsi="arial" w:cs="arial"/>
          <w:color w:val="000000"/>
          <w:sz w:val="20"/>
          <w:lang w:val="en-US" w:eastAsia="en-US" w:bidi="ar-SA"/>
        </w:rPr>
        <w:t>  I say that because:</w:t>
      </w:r>
      <w:r>
        <w:rPr>
          <w:rFonts w:ascii="arial" w:eastAsia="arial" w:hAnsi="arial" w:cs="arial"/>
          <w:sz w:val="20"/>
          <w:lang w:val="en-US" w:eastAsia="en-US" w:bidi="ar-SA"/>
        </w:rPr>
        <w:cr/>
      </w:r>
    </w:p>
    <w:p>
      <w:pPr>
        <w:numPr>
          <w:numId w:val="3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Hans attempted to have both plaintiffs mitigate their losses by pressuring Mr. Hans to "get out of his funk" by starting to drive commercially again in the fall of 2009 notwithstanding the effects of his PTSD symptoms.</w:t>
      </w:r>
    </w:p>
    <w:p>
      <w:pPr>
        <w:numPr>
          <w:numId w:val="3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almost two years Mr. and Mrs. Hans did, at their own personal risk, mitigate their losses by driving commercially until Mr. Hans' first suicide attempt.</w:t>
      </w:r>
    </w:p>
    <w:p>
      <w:pPr>
        <w:numPr>
          <w:numId w:val="3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that period and even with Mr. Hans' worsening psychiatric condition, Mrs. Hans undertook more of the driving than she ought to have.</w:t>
      </w:r>
    </w:p>
    <w:p>
      <w:pPr>
        <w:numPr>
          <w:numId w:val="3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Mr. Hans' first suicide attempt in October of 2011, Mrs. Hans continued to drive commercially to earn income while Mr. Hans was hospitalized.</w:t>
      </w:r>
    </w:p>
    <w:p>
      <w:pPr>
        <w:numPr>
          <w:numId w:val="3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Mr. Hans could no longer drive at all and required virtually constant supervision by Mrs. Hans or those whom she could enlist, Mrs. Hans again went to work as a driving instructor. She then took an interpreters course and worked as an interpreter. She drove a bus part time for a blueberry farm and for a school. She also worked for the CRA, notwithstanding she was receiving WCB compensation for a work related accident. When Mrs. Hans recovered from her WCB claim, she went to work full time as a dispatcher for a flat-bed trucking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802</w:t>
      </w:r>
      <w:r>
        <w:rPr>
          <w:rFonts w:ascii="arial" w:eastAsia="arial" w:hAnsi="arial" w:cs="arial"/>
          <w:color w:val="000000"/>
          <w:sz w:val="20"/>
          <w:lang w:val="en-US" w:eastAsia="en-US" w:bidi="ar-SA"/>
        </w:rPr>
        <w:t xml:space="preserve">  All of those efforts establish that Mrs. Hans has been a devoted wife and mother, who has done what she could to ameliorate the damages caused by Volvo's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harm done not only to Mr. Hans' well-being, but also their co-dependent economic interests. Her efforts at mitigation have not only been reasonable but in many ways remarkable.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803</w:t>
      </w:r>
      <w:r>
        <w:rPr>
          <w:rFonts w:ascii="arial" w:eastAsia="arial" w:hAnsi="arial" w:cs="arial"/>
          <w:color w:val="000000"/>
          <w:sz w:val="20"/>
          <w:lang w:val="en-US" w:eastAsia="en-US" w:bidi="ar-SA"/>
        </w:rPr>
        <w:t>  I also find that the suggestion that the plaintiffs had no intention to start the Sai Trucking Venture because Mrs. Hans did not start dispatching from her own home with other owner-operators, is without substance. I say that because:</w:t>
      </w:r>
      <w:r>
        <w:rPr>
          <w:rFonts w:ascii="arial" w:eastAsia="arial" w:hAnsi="arial" w:cs="arial"/>
          <w:sz w:val="20"/>
          <w:lang w:val="en-US" w:eastAsia="en-US" w:bidi="ar-SA"/>
        </w:rPr>
        <w:cr/>
      </w:r>
    </w:p>
    <w:p>
      <w:pPr>
        <w:numPr>
          <w:numId w:val="3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submission fails to recognize Mrs. Hans' many selfless efforts to mitigate the plaintiffs' losses including undertaking work as a dispatcher when able to do so.</w:t>
      </w:r>
    </w:p>
    <w:p>
      <w:pPr>
        <w:numPr>
          <w:numId w:val="3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More directly to the point, the submission wholly ignores the importance of the unique talents to be brought to the Sai trucking Venture by each of the plaintiffs as equal members of a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804</w:t>
      </w:r>
      <w:r>
        <w:rPr>
          <w:rFonts w:ascii="arial" w:eastAsia="arial" w:hAnsi="arial" w:cs="arial"/>
          <w:color w:val="000000"/>
          <w:sz w:val="20"/>
          <w:lang w:val="en-US" w:eastAsia="en-US" w:bidi="ar-SA"/>
        </w:rPr>
        <w:t>  I accordingly find that Volvo has not proven that the plaintiffs failed to mitigate their past losses of earning capacity suffered by them as a consequence of the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G.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805</w:t>
      </w:r>
      <w:r>
        <w:rPr>
          <w:rFonts w:ascii="arial" w:eastAsia="arial" w:hAnsi="arial" w:cs="arial"/>
          <w:color w:val="000000"/>
          <w:sz w:val="20"/>
          <w:lang w:val="en-US" w:eastAsia="en-US" w:bidi="ar-SA"/>
        </w:rPr>
        <w:t>  In addressing issues of past loss of earning capacity I have discussed in detail the evidence concerning the plaintiffs' average income in the years before the collision. I have found that in the years 2007 and 2008 the evidence establishes that the plaintiffs' trucking operations earned them an average of $98,500 per year as a team which equates to $49,250 per year of income for each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806</w:t>
      </w:r>
      <w:r>
        <w:rPr>
          <w:rFonts w:ascii="arial" w:eastAsia="arial" w:hAnsi="arial" w:cs="arial"/>
          <w:color w:val="000000"/>
          <w:sz w:val="20"/>
          <w:lang w:val="en-US" w:eastAsia="en-US" w:bidi="ar-SA"/>
        </w:rPr>
        <w:t>  I further found that income of $49,250 per year would be an appropriate amount upon which to base Mr. Hans' personal earning potential from the date of the collision until trial either as a part of an ongoing team driver operation with Mrs. Hans or as income from his sole participation as a driver in the "trucking division" of the contemplated Sai Trucking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807</w:t>
      </w:r>
      <w:r>
        <w:rPr>
          <w:rFonts w:ascii="arial" w:eastAsia="arial" w:hAnsi="arial" w:cs="arial"/>
          <w:color w:val="000000"/>
          <w:sz w:val="20"/>
          <w:lang w:val="en-US" w:eastAsia="en-US" w:bidi="ar-SA"/>
        </w:rPr>
        <w:t>  I also discussed in detail the prospects for the success of the Sai Trucking Venture. In doing so I concluded that there was a real and substantial possibility that the Sai Trucking Venture would have been implemented within one year of the collision as planned. I also, however, found that the plaintiffs' goals of operating one "company" truck (operated by Mr. Hans) and five owner-operated trucks with Mrs. Hans as the manager/dispatcher of the fleet would more likely be achieved in six to eight years, rather than five.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808</w:t>
      </w:r>
      <w:r>
        <w:rPr>
          <w:rFonts w:ascii="arial" w:eastAsia="arial" w:hAnsi="arial" w:cs="arial"/>
          <w:color w:val="000000"/>
          <w:sz w:val="20"/>
          <w:lang w:val="en-US" w:eastAsia="en-US" w:bidi="ar-SA"/>
        </w:rPr>
        <w:t>  The evidence as a whole has also convinced me that the revenue projections made by Mr. Munton for the "dispatch division" of the Sai Trucking Venture were overly optimistic.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809</w:t>
      </w:r>
      <w:r>
        <w:rPr>
          <w:rFonts w:ascii="arial" w:eastAsia="arial" w:hAnsi="arial" w:cs="arial"/>
          <w:color w:val="000000"/>
          <w:sz w:val="20"/>
          <w:lang w:val="en-US" w:eastAsia="en-US" w:bidi="ar-SA"/>
        </w:rPr>
        <w:t>  I concluded that gross revenue of approximately $300,000 per year per owner-operator escalating by approximately 10% over five years from start-up would not likely be attained and was satisfied that a reduction of that projected income by 35% would reflect a more likely level of success for the dispatch division of the Sai Trucking Venture in the six years from January 2010 to the beginning of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810</w:t>
      </w:r>
      <w:r>
        <w:rPr>
          <w:rFonts w:ascii="arial" w:eastAsia="arial" w:hAnsi="arial" w:cs="arial"/>
          <w:color w:val="000000"/>
          <w:sz w:val="20"/>
          <w:lang w:val="en-US" w:eastAsia="en-US" w:bidi="ar-SA"/>
        </w:rPr>
        <w:t>  I further concluded that assessment of the pre-trial likelihood of success based on likely attainable projected revenue had to be subjected to further reduction arising from the possibility that the Sai Trucking Venture could fail or be abandoned in whole or in part because of lack of revenue or ability to attract sufficient owner-operators in favour of a return by Mrs. Hans to team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811</w:t>
      </w:r>
      <w:r>
        <w:rPr>
          <w:rFonts w:ascii="arial" w:eastAsia="arial" w:hAnsi="arial" w:cs="arial"/>
          <w:color w:val="000000"/>
          <w:sz w:val="20"/>
          <w:lang w:val="en-US" w:eastAsia="en-US" w:bidi="ar-SA"/>
        </w:rPr>
        <w:t>  I assessed the likelihood of those negative contingencies at 20% of my assessment of likely attainable projected revenue from the 'dispatch division' of the Sai Trucking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812</w:t>
      </w:r>
      <w:r>
        <w:rPr>
          <w:rFonts w:ascii="arial" w:eastAsia="arial" w:hAnsi="arial" w:cs="arial"/>
          <w:color w:val="000000"/>
          <w:sz w:val="20"/>
          <w:lang w:val="en-US" w:eastAsia="en-US" w:bidi="ar-SA"/>
        </w:rPr>
        <w:t>  Those findings and my assessment of the likelihood of success of the Sai Trucking Venture with respect to the plaintiffs' past loss of earning capacity are also applicable to my assessment of the plaintiffs' future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813</w:t>
      </w:r>
      <w:r>
        <w:rPr>
          <w:rFonts w:ascii="arial" w:eastAsia="arial" w:hAnsi="arial" w:cs="arial"/>
          <w:color w:val="000000"/>
          <w:sz w:val="20"/>
          <w:lang w:val="en-US" w:eastAsia="en-US" w:bidi="ar-SA"/>
        </w:rPr>
        <w:t xml:space="preserve">  In assessing the plaintiffs' future loss of earning capacity arising from Volvo's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 will again first assess the future loss of earning capacity from the "trucking division" of the Sai Trucking Venture. I will next assess the loss of earning capacity from the plaintiffs' inability to implement a business based upon the expanded fleet of owner-operators from which to earn income as part of its "dispatch division". I will then assess the total loss of earning capacity from both divisions and also consider deductions which must be made to those losses because of Mrs. Hans' ability to mitigate those losses.</w:t>
      </w:r>
      <w:r>
        <w:rPr>
          <w:rFonts w:ascii="arial" w:eastAsia="arial" w:hAnsi="arial" w:cs="arial"/>
          <w:sz w:val="20"/>
          <w:lang w:val="en-US" w:eastAsia="en-US" w:bidi="ar-SA"/>
        </w:rPr>
        <w:cr/>
      </w:r>
    </w:p>
    <w:p>
      <w:pPr>
        <w:numPr>
          <w:numId w:val="39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Loss of Future Income Earning Capacity from the "Trucking Division" of the Sai Trucking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814</w:t>
      </w:r>
      <w:r>
        <w:rPr>
          <w:rFonts w:ascii="arial" w:eastAsia="arial" w:hAnsi="arial" w:cs="arial"/>
          <w:color w:val="000000"/>
          <w:sz w:val="20"/>
          <w:lang w:val="en-US" w:eastAsia="en-US" w:bidi="ar-SA"/>
        </w:rPr>
        <w:t>  The evidence I have reviewed in detail concerning Mr. and Mrs. Hans' income from their team driving efforts in 2007 and 2008 convinces me that in assessing the future loss of income that Mr. Hans will suffer because of his inability to drive commercially that loss should be based upon an earning capacity of $49,250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815</w:t>
      </w:r>
      <w:r>
        <w:rPr>
          <w:rFonts w:ascii="arial" w:eastAsia="arial" w:hAnsi="arial" w:cs="arial"/>
          <w:color w:val="000000"/>
          <w:sz w:val="20"/>
          <w:lang w:val="en-US" w:eastAsia="en-US" w:bidi="ar-SA"/>
        </w:rPr>
        <w:t>  Based upon that yearly income loss from the date of this trial until his 65th birthday, Mr. Hans' future loss of income earning capacity is $1,231,250.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816</w:t>
      </w:r>
      <w:r>
        <w:rPr>
          <w:rFonts w:ascii="arial" w:eastAsia="arial" w:hAnsi="arial" w:cs="arial"/>
          <w:color w:val="000000"/>
          <w:sz w:val="20"/>
          <w:lang w:val="en-US" w:eastAsia="en-US" w:bidi="ar-SA"/>
        </w:rPr>
        <w:t>  The net present value of the loss of that income stream is approximately $985,000.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817</w:t>
      </w:r>
      <w:r>
        <w:rPr>
          <w:rFonts w:ascii="arial" w:eastAsia="arial" w:hAnsi="arial" w:cs="arial"/>
          <w:color w:val="000000"/>
          <w:sz w:val="20"/>
          <w:lang w:val="en-US" w:eastAsia="en-US" w:bidi="ar-SA"/>
        </w:rPr>
        <w:t>  I see no justifiable reason to discount that award for negative contingencies. I say that because in assessing that amount I have not provided for any increases in Mr. Hans' income earning capacity likely to be gained over 25 years of experience and effort. I have also projected his income only to age 65 when there is evidence before me that long haul truck drivers (the witness Gurnam Singh Hans is still working as such a driver at age 67) can and do work past age 65. Any negative contingencies would accordingly, in my view, be set off by positive 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818</w:t>
      </w:r>
      <w:r>
        <w:rPr>
          <w:rFonts w:ascii="arial" w:eastAsia="arial" w:hAnsi="arial" w:cs="arial"/>
          <w:color w:val="000000"/>
          <w:sz w:val="20"/>
          <w:lang w:val="en-US" w:eastAsia="en-US" w:bidi="ar-SA"/>
        </w:rPr>
        <w:t>  I must also note that my assessment of Mr. Hans' loss of future earning capacity from the Sai Trucking Venture would be the same if that venture was never implemented and Mr. Hans had instead continued to work as a team driver with Mrs. Hans.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819</w:t>
      </w:r>
      <w:r>
        <w:rPr>
          <w:rFonts w:ascii="arial" w:eastAsia="arial" w:hAnsi="arial" w:cs="arial"/>
          <w:color w:val="000000"/>
          <w:sz w:val="20"/>
          <w:lang w:val="en-US" w:eastAsia="en-US" w:bidi="ar-SA"/>
        </w:rPr>
        <w:t>  In such circumstances each would have suffered a loss of future income earning capacity of $985,000 subject, however, to Mrs. Hans' ability to mitigate that loss from alternate income sources as I will later discuss.</w:t>
      </w:r>
      <w:r>
        <w:rPr>
          <w:rFonts w:ascii="arial" w:eastAsia="arial" w:hAnsi="arial" w:cs="arial"/>
          <w:sz w:val="20"/>
          <w:lang w:val="en-US" w:eastAsia="en-US" w:bidi="ar-SA"/>
        </w:rPr>
        <w:cr/>
      </w:r>
    </w:p>
    <w:p>
      <w:pPr>
        <w:numPr>
          <w:numId w:val="39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Loss of Future Income Earning Capacity from the "Dispatch Division" of the Sai Trucking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820</w:t>
      </w:r>
      <w:r>
        <w:rPr>
          <w:rFonts w:ascii="arial" w:eastAsia="arial" w:hAnsi="arial" w:cs="arial"/>
          <w:color w:val="000000"/>
          <w:sz w:val="20"/>
          <w:lang w:val="en-US" w:eastAsia="en-US" w:bidi="ar-SA"/>
        </w:rPr>
        <w:t>  In his second report, as recorded in para. 712, Mr. Munton projected income for the "dispatch division" of the Sai Trucking Venture of: $139,060 in year 4 and $184,913 in year 5 of its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821</w:t>
      </w:r>
      <w:r>
        <w:rPr>
          <w:rFonts w:ascii="arial" w:eastAsia="arial" w:hAnsi="arial" w:cs="arial"/>
          <w:color w:val="000000"/>
          <w:sz w:val="20"/>
          <w:lang w:val="en-US" w:eastAsia="en-US" w:bidi="ar-SA"/>
        </w:rPr>
        <w:t>  In assessing the plaintiffs' past loss of earning capacity due to their inability to pursue the Sai Trucking Venture prior to trial, I did not include the projected income of $184,913 in year 5 of operations due to my assessment as a negative contingency that it would take six to eight years to reach that income projected for in year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822</w:t>
      </w:r>
      <w:r>
        <w:rPr>
          <w:rFonts w:ascii="arial" w:eastAsia="arial" w:hAnsi="arial" w:cs="arial"/>
          <w:color w:val="000000"/>
          <w:sz w:val="20"/>
          <w:lang w:val="en-US" w:eastAsia="en-US" w:bidi="ar-SA"/>
        </w:rPr>
        <w:t>  Based on my assessment of that contingency, the income projections for year 5 would more likely have been reached in 2018. For that reason, the income projections that should be used for the assessment of the plaintiffs' future loss of earning capacity for 2016 and 2017 are approximately $139,000 per year and for the 23 years from 2018, until Mr. Hans reaches the age of 65, approximately $185,000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823</w:t>
      </w:r>
      <w:r>
        <w:rPr>
          <w:rFonts w:ascii="arial" w:eastAsia="arial" w:hAnsi="arial" w:cs="arial"/>
          <w:color w:val="000000"/>
          <w:sz w:val="20"/>
          <w:lang w:val="en-US" w:eastAsia="en-US" w:bidi="ar-SA"/>
        </w:rPr>
        <w:t>  Arithmetically those projections would result in lost income from the "dispatch division" of the Sai Trucking Venture of $4,533,000 from the date of trial until Mr. Hans reaches age 65 without there being any increases in income in the years after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824</w:t>
      </w:r>
      <w:r>
        <w:rPr>
          <w:rFonts w:ascii="arial" w:eastAsia="arial" w:hAnsi="arial" w:cs="arial"/>
          <w:color w:val="000000"/>
          <w:sz w:val="20"/>
          <w:lang w:val="en-US" w:eastAsia="en-US" w:bidi="ar-SA"/>
        </w:rPr>
        <w:t>  Applying the same negative contingency of 35% to those projections, due to my assessment of a more likely level of the future revenue success of the dispatch division of the Sai Trucking Venture that I used in assessing the plaintiffs past loss of earning capacity, Mr. Munton's projections for future loss of earning capacity (without any earnings increases) would be reduced by $1,586,550 to $2,946,450.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825</w:t>
      </w:r>
      <w:r>
        <w:rPr>
          <w:rFonts w:ascii="arial" w:eastAsia="arial" w:hAnsi="arial" w:cs="arial"/>
          <w:color w:val="000000"/>
          <w:sz w:val="20"/>
          <w:lang w:val="en-US" w:eastAsia="en-US" w:bidi="ar-SA"/>
        </w:rPr>
        <w:t>  Applying a further negative contingency of 20% to those revised projections, as I did with respect to my assessment of past earning capacity to account for the possibility that the Sai Trucking Venture could fail or be abandoned in whole or in part for the reasons previously addressed which are also applicable to the post-trial prospects for the success of the Sai Trucking Venture, results in a further reduction of projected future earnings from the "dispatch division" of $2,946,450 by $589,290 to $2,357,160.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826</w:t>
      </w:r>
      <w:r>
        <w:rPr>
          <w:rFonts w:ascii="arial" w:eastAsia="arial" w:hAnsi="arial" w:cs="arial"/>
          <w:color w:val="000000"/>
          <w:sz w:val="20"/>
          <w:lang w:val="en-US" w:eastAsia="en-US" w:bidi="ar-SA"/>
        </w:rPr>
        <w:t>  The net present value of that amount is approximately $1,900,000 collectively lost by Mr. and Mrs. Hans as future income capacity from the "dispatch division" of the Sai Trucking Venture.</w:t>
      </w:r>
      <w:r>
        <w:rPr>
          <w:rFonts w:ascii="arial" w:eastAsia="arial" w:hAnsi="arial" w:cs="arial"/>
          <w:sz w:val="20"/>
          <w:lang w:val="en-US" w:eastAsia="en-US" w:bidi="ar-SA"/>
        </w:rPr>
        <w:cr/>
      </w:r>
    </w:p>
    <w:p>
      <w:pPr>
        <w:numPr>
          <w:numId w:val="39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Total Loss of Future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827</w:t>
      </w:r>
      <w:r>
        <w:rPr>
          <w:rFonts w:ascii="arial" w:eastAsia="arial" w:hAnsi="arial" w:cs="arial"/>
          <w:color w:val="000000"/>
          <w:sz w:val="20"/>
          <w:lang w:val="en-US" w:eastAsia="en-US" w:bidi="ar-SA"/>
        </w:rPr>
        <w:t>  I find that the total collective loss of income earning capacity suffered by Mr. and Mrs. Hans as a consequence of the collision and their inability to implement and operate the Sai Trucking Venture as planned is $985,000 from the "trucking division" plus $1,900,000 from its "dispatch division" resulting in a total collective loss of future earning capacity of $2,885,000.</w:t>
      </w:r>
      <w:r>
        <w:rPr>
          <w:rFonts w:ascii="arial" w:eastAsia="arial" w:hAnsi="arial" w:cs="arial"/>
          <w:sz w:val="20"/>
          <w:lang w:val="en-US" w:eastAsia="en-US" w:bidi="ar-SA"/>
        </w:rPr>
        <w:cr/>
      </w:r>
    </w:p>
    <w:p>
      <w:pPr>
        <w:numPr>
          <w:numId w:val="39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Allocation of Loss of Future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828</w:t>
      </w:r>
      <w:r>
        <w:rPr>
          <w:rFonts w:ascii="arial" w:eastAsia="arial" w:hAnsi="arial" w:cs="arial"/>
          <w:color w:val="000000"/>
          <w:sz w:val="20"/>
          <w:lang w:val="en-US" w:eastAsia="en-US" w:bidi="ar-SA"/>
        </w:rPr>
        <w:t>  Because the plaintiffs adopted a team based approach to the assessment of their loss of earning capacity and because that approach is supported by the evidence and the authorities, to which I have referred, I have applied that approach in determining their collective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829</w:t>
      </w:r>
      <w:r>
        <w:rPr>
          <w:rFonts w:ascii="arial" w:eastAsia="arial" w:hAnsi="arial" w:cs="arial"/>
          <w:color w:val="000000"/>
          <w:sz w:val="20"/>
          <w:lang w:val="en-US" w:eastAsia="en-US" w:bidi="ar-SA"/>
        </w:rPr>
        <w:t>  Having said that I am, however, also satisfied that the circumstances of this case require that the award for loss of future income earning capacity also be allocated as between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830</w:t>
      </w:r>
      <w:r>
        <w:rPr>
          <w:rFonts w:ascii="arial" w:eastAsia="arial" w:hAnsi="arial" w:cs="arial"/>
          <w:color w:val="000000"/>
          <w:sz w:val="20"/>
          <w:lang w:val="en-US" w:eastAsia="en-US" w:bidi="ar-SA"/>
        </w:rPr>
        <w:t xml:space="preserve">  I say that because of the disparate abilities of Mr. and Mrs. Hans to mitigate the losses they have suffered. I also believe that it is necessary and appropriate to do so in the event that I may be determined to have erred in applying the collective approach adopted in </w:t>
      </w:r>
      <w:r>
        <w:rPr>
          <w:rFonts w:ascii="arial" w:eastAsia="arial" w:hAnsi="arial" w:cs="arial"/>
          <w:i/>
          <w:color w:val="000000"/>
          <w:sz w:val="20"/>
          <w:lang w:val="en-US" w:eastAsia="en-US" w:bidi="ar-SA"/>
        </w:rPr>
        <w:t>Everett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Meyer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831</w:t>
      </w:r>
      <w:r>
        <w:rPr>
          <w:rFonts w:ascii="arial" w:eastAsia="arial" w:hAnsi="arial" w:cs="arial"/>
          <w:color w:val="000000"/>
          <w:sz w:val="20"/>
          <w:lang w:val="en-US" w:eastAsia="en-US" w:bidi="ar-SA"/>
        </w:rPr>
        <w:t>  As I have previously stated, the evidence establishes that Mr. Hans would have suffered the same personal loss of future income earning capacity that I have assessed ($985,000) as a wholly disabled truck driver whether or not the implementation and operation of the Sai Trucking Venture was a real and substantial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832</w:t>
      </w:r>
      <w:r>
        <w:rPr>
          <w:rFonts w:ascii="arial" w:eastAsia="arial" w:hAnsi="arial" w:cs="arial"/>
          <w:color w:val="000000"/>
          <w:sz w:val="20"/>
          <w:lang w:val="en-US" w:eastAsia="en-US" w:bidi="ar-SA"/>
        </w:rPr>
        <w:t>  Mrs. Hans would also have suffered an equal loss of $985,000 without the Sai Trucking Venture because she would likely have continued to drive with Mr. Hans until age 65 as a team driver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833</w:t>
      </w:r>
      <w:r>
        <w:rPr>
          <w:rFonts w:ascii="arial" w:eastAsia="arial" w:hAnsi="arial" w:cs="arial"/>
          <w:color w:val="000000"/>
          <w:sz w:val="20"/>
          <w:lang w:val="en-US" w:eastAsia="en-US" w:bidi="ar-SA"/>
        </w:rPr>
        <w:t>  Mrs. Hans' loss would, however, have been subject to reduction because of her continued ability to earn income from other sources as she has during the years since the collision before trial. Indeed, given the award I have made for Mr. Hans' future care and supervision, Mrs. Hans' earning ability would not be as constrained as it has been by her past need to adapt her work schedules to accommodate Mr. Hans'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834</w:t>
      </w:r>
      <w:r>
        <w:rPr>
          <w:rFonts w:ascii="arial" w:eastAsia="arial" w:hAnsi="arial" w:cs="arial"/>
          <w:color w:val="000000"/>
          <w:sz w:val="20"/>
          <w:lang w:val="en-US" w:eastAsia="en-US" w:bidi="ar-SA"/>
        </w:rPr>
        <w:t>  The work for which Mrs. Hans is most obviously suited is that of a dispatcher for a flat-bed trucking company, the role she anticipated undertaking with the Sai Trucking Venture as an entrepreneur, rather than as an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835</w:t>
      </w:r>
      <w:r>
        <w:rPr>
          <w:rFonts w:ascii="arial" w:eastAsia="arial" w:hAnsi="arial" w:cs="arial"/>
          <w:color w:val="000000"/>
          <w:sz w:val="20"/>
          <w:lang w:val="en-US" w:eastAsia="en-US" w:bidi="ar-SA"/>
        </w:rPr>
        <w:t>  The evidence establishes that Mrs. Hans is capable of earning $25 per hour for a 40 hour week doing dispatch work. Based upon a 48 week work year (allowing reasonable time off for vacations and statutory holidays) she is capable of earning $48,000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836</w:t>
      </w:r>
      <w:r>
        <w:rPr>
          <w:rFonts w:ascii="arial" w:eastAsia="arial" w:hAnsi="arial" w:cs="arial"/>
          <w:color w:val="000000"/>
          <w:sz w:val="20"/>
          <w:lang w:val="en-US" w:eastAsia="en-US" w:bidi="ar-SA"/>
        </w:rPr>
        <w:t>  Mrs. Hans' present earning capacity over 25 years is therefore approximately $1,200,000 with a net present value of approximately $960,000.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837</w:t>
      </w:r>
      <w:r>
        <w:rPr>
          <w:rFonts w:ascii="arial" w:eastAsia="arial" w:hAnsi="arial" w:cs="arial"/>
          <w:color w:val="000000"/>
          <w:sz w:val="20"/>
          <w:lang w:val="en-US" w:eastAsia="en-US" w:bidi="ar-SA"/>
        </w:rPr>
        <w:t>  If that ongoing income capability were to be deducted from a loss of future income capacity award of $985,000, as a part of a driving team with Mr. Hans, the award for Mrs. Hans loss of future earning capacity would be in the range of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838</w:t>
      </w:r>
      <w:r>
        <w:rPr>
          <w:rFonts w:ascii="arial" w:eastAsia="arial" w:hAnsi="arial" w:cs="arial"/>
          <w:color w:val="000000"/>
          <w:sz w:val="20"/>
          <w:lang w:val="en-US" w:eastAsia="en-US" w:bidi="ar-SA"/>
        </w:rPr>
        <w:t>  In the circumstances of this case, however, I find that the $960,000 present value of Mrs. Hans' future income earning capacity working as an employed dispatcher should be deducted from the future income earning capacity award ($1,900,000) attributable to the "dispatch division" of the Sai Trucking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839</w:t>
      </w:r>
      <w:r>
        <w:rPr>
          <w:rFonts w:ascii="arial" w:eastAsia="arial" w:hAnsi="arial" w:cs="arial"/>
          <w:color w:val="000000"/>
          <w:sz w:val="20"/>
          <w:lang w:val="en-US" w:eastAsia="en-US" w:bidi="ar-SA"/>
        </w:rPr>
        <w:t>  That deduction of Mrs. Hans' present income earning capacity of $960,000 results in a collective net loss of future earning capacity from the "dispatch division" of the Sai Trucking Venture of approximately $940,000 shared equally ($470,000) by the plaintiffs to reflect the losses suffered by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840</w:t>
      </w:r>
      <w:r>
        <w:rPr>
          <w:rFonts w:ascii="arial" w:eastAsia="arial" w:hAnsi="arial" w:cs="arial"/>
          <w:color w:val="000000"/>
          <w:sz w:val="20"/>
          <w:lang w:val="en-US" w:eastAsia="en-US" w:bidi="ar-SA"/>
        </w:rPr>
        <w:t>  In result, I find that the plaintiffs are collectively entitled to a loss of future earning capacity award of $1,925,000 (calculated as $2,885,000 from both divisions less $960,000 for Mrs. Hans's proven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841</w:t>
      </w:r>
      <w:r>
        <w:rPr>
          <w:rFonts w:ascii="arial" w:eastAsia="arial" w:hAnsi="arial" w:cs="arial"/>
          <w:color w:val="000000"/>
          <w:sz w:val="20"/>
          <w:lang w:val="en-US" w:eastAsia="en-US" w:bidi="ar-SA"/>
        </w:rPr>
        <w:t>  To the extent it may be necessary to do so I allocate $1,455,000 of that award to Mr. Hans comprised of:</w:t>
      </w:r>
      <w:r>
        <w:rPr>
          <w:rFonts w:ascii="arial" w:eastAsia="arial" w:hAnsi="arial" w:cs="arial"/>
          <w:sz w:val="20"/>
          <w:lang w:val="en-US" w:eastAsia="en-US" w:bidi="ar-SA"/>
        </w:rPr>
        <w:cr/>
      </w:r>
    </w:p>
    <w:p>
      <w:pPr>
        <w:numPr>
          <w:numId w:val="3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$985,000 for his loss of earning capacity as a wholly disabled driver whether as a part of the Sai Trucking Venture or not; and</w:t>
      </w:r>
    </w:p>
    <w:p>
      <w:pPr>
        <w:numPr>
          <w:numId w:val="3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$470,000 for his loss of one-half of the loss of earning capacity attributable to the inability to pursue the Sai trucking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842</w:t>
      </w:r>
      <w:r>
        <w:rPr>
          <w:rFonts w:ascii="arial" w:eastAsia="arial" w:hAnsi="arial" w:cs="arial"/>
          <w:color w:val="000000"/>
          <w:sz w:val="20"/>
          <w:lang w:val="en-US" w:eastAsia="en-US" w:bidi="ar-SA"/>
        </w:rPr>
        <w:t>  I allocate $470,000 of the collective award of $1,925,000 for loss of earning capacity to Mrs. Hans attributable to her inability to pursue the Sai Trucking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843</w:t>
      </w:r>
      <w:r>
        <w:rPr>
          <w:rFonts w:ascii="arial" w:eastAsia="arial" w:hAnsi="arial" w:cs="arial"/>
          <w:color w:val="000000"/>
          <w:sz w:val="20"/>
          <w:lang w:val="en-US" w:eastAsia="en-US" w:bidi="ar-SA"/>
        </w:rPr>
        <w:t>  If, contrary to the assessments I have made with respect to the likelihood of success of the Sai Trucking Venture, no future income earning capacity was attributed to the inability to implement that venture, the plaintiffs' collective loss of future earning capacity would be $1,970,000 (based upon $985,000 lost by each as a team driver) less $960,000 attributable to Mrs. Hans' present income earning capacity. Their loss of future earning capacity in those circumstances would be attributed $985,000 to Mr. Hans and $25,000 to Mrs. Hans.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 SUMMARY OF DAMAGES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844</w:t>
      </w:r>
      <w:r>
        <w:rPr>
          <w:rFonts w:ascii="arial" w:eastAsia="arial" w:hAnsi="arial" w:cs="arial"/>
          <w:color w:val="000000"/>
          <w:sz w:val="20"/>
          <w:lang w:val="en-US" w:eastAsia="en-US" w:bidi="ar-SA"/>
        </w:rPr>
        <w:t xml:space="preserve">  In summary, I have found that the plaintiffs are entitled to the following damages suffered as a consequence of Volvo's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causing the collision on January 31, 2009:</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67" type="#_x0000_t75" style="width:432.06pt;height:408.06pt">
            <v:imagedata r:id="rId1222"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 ISSUES REMAINING TO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845</w:t>
      </w:r>
      <w:r>
        <w:rPr>
          <w:rFonts w:ascii="arial" w:eastAsia="arial" w:hAnsi="arial" w:cs="arial"/>
          <w:color w:val="000000"/>
          <w:sz w:val="20"/>
          <w:lang w:val="en-US" w:eastAsia="en-US" w:bidi="ar-SA"/>
        </w:rPr>
        <w:t>  Issues remain to be determined in this case that cannot be decided without further submissions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846</w:t>
      </w:r>
      <w:r>
        <w:rPr>
          <w:rFonts w:ascii="arial" w:eastAsia="arial" w:hAnsi="arial" w:cs="arial"/>
          <w:color w:val="000000"/>
          <w:sz w:val="20"/>
          <w:lang w:val="en-US" w:eastAsia="en-US" w:bidi="ar-SA"/>
        </w:rPr>
        <w:t>  Those issues include but may not be limited to:</w:t>
      </w:r>
      <w:r>
        <w:rPr>
          <w:rFonts w:ascii="arial" w:eastAsia="arial" w:hAnsi="arial" w:cs="arial"/>
          <w:sz w:val="20"/>
          <w:lang w:val="en-US" w:eastAsia="en-US" w:bidi="ar-SA"/>
        </w:rPr>
        <w:cr/>
      </w:r>
    </w:p>
    <w:p>
      <w:pPr>
        <w:numPr>
          <w:numId w:val="3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benefits received by Mrs. Hans while on maternity leave be deducted from her award for past loss of earning capacity?</w:t>
      </w:r>
    </w:p>
    <w:p>
      <w:pPr>
        <w:numPr>
          <w:numId w:val="4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any income that would likely have been earned by Mrs. Hans as a dispatcher while on maternity leave be deducted from her award for past loss of earning capacity?</w:t>
      </w:r>
    </w:p>
    <w:p>
      <w:pPr>
        <w:numPr>
          <w:numId w:val="4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taxes are to be deducted from the awards for past loss of earning capacity?</w:t>
      </w:r>
    </w:p>
    <w:p>
      <w:pPr>
        <w:numPr>
          <w:numId w:val="4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any other tax considerations that should be addressed?</w:t>
      </w:r>
    </w:p>
    <w:p>
      <w:pPr>
        <w:numPr>
          <w:numId w:val="4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impact does the plaintiffs' "</w:t>
      </w:r>
      <w:r>
        <w:rPr>
          <w:rFonts w:ascii="arial" w:eastAsia="arial" w:hAnsi="arial" w:cs="arial"/>
          <w:i/>
          <w:color w:val="000000"/>
          <w:sz w:val="20"/>
          <w:lang w:val="en-US" w:eastAsia="en-US" w:bidi="ar-SA"/>
        </w:rPr>
        <w:t>BC Ferries Settlement"</w:t>
      </w:r>
      <w:r>
        <w:rPr>
          <w:rFonts w:ascii="arial" w:eastAsia="arial" w:hAnsi="arial" w:cs="arial"/>
          <w:color w:val="000000"/>
          <w:sz w:val="20"/>
          <w:lang w:val="en-US" w:eastAsia="en-US" w:bidi="ar-SA"/>
        </w:rPr>
        <w:t xml:space="preserve"> with Yanke have on the damages awarded against Volvo?</w:t>
      </w:r>
    </w:p>
    <w:p>
      <w:pPr>
        <w:numPr>
          <w:numId w:val="4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Mr. Hans be awarded a management fee?</w:t>
      </w:r>
    </w:p>
    <w:p>
      <w:pPr>
        <w:numPr>
          <w:numId w:val="4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award of costs should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847</w:t>
      </w:r>
      <w:r>
        <w:rPr>
          <w:rFonts w:ascii="arial" w:eastAsia="arial" w:hAnsi="arial" w:cs="arial"/>
          <w:color w:val="000000"/>
          <w:sz w:val="20"/>
          <w:lang w:val="en-US" w:eastAsia="en-US" w:bidi="ar-SA"/>
        </w:rPr>
        <w:t>  If the parties are unable to reach agreement on any of these issues they may make arrangements through the registry for further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DAVIES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July 20,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Please be advised that the attached Reasons for Judgment of Mr. Justice Davies dated June 23, 2016 have been corrected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fourth line of paragraph [547] the words "services rendered" at the end of the paragraph were omitted.</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68" style="position:absolute;z-index:2518978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23"/>
          <w:headerReference w:type="default" r:id="rId1224"/>
          <w:footerReference w:type="even" r:id="rId1225"/>
          <w:footerReference w:type="default" r:id="rId1226"/>
          <w:headerReference w:type="first" r:id="rId1227"/>
          <w:footerReference w:type="first" r:id="rId122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229" w:history="1">
        <w:r>
          <w:rPr>
            <w:rFonts w:ascii="arial" w:eastAsia="arial" w:hAnsi="arial" w:cs="arial"/>
            <w:b/>
            <w:bCs/>
            <w:i/>
            <w:color w:val="0077CC"/>
            <w:kern w:val="32"/>
            <w:sz w:val="28"/>
            <w:szCs w:val="32"/>
            <w:u w:val="single"/>
            <w:shd w:val="clear" w:color="auto" w:fill="FFFFFF"/>
            <w:lang w:val="en-US" w:eastAsia="en-US" w:bidi="ar-SA"/>
          </w:rPr>
          <w:t>Ho v. Lau, [2012] B.C.J. No. 2561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 Crawford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6 and 7,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6,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S131318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2561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1831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Agnes Wai Ling Ho, Appellant, and Henry Lau,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69"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36" w:name="Keywords_47"/>
      <w:bookmarkEnd w:id="336"/>
      <w:r>
        <w:rPr>
          <w:rFonts w:ascii="arial" w:eastAsia="arial" w:hAnsi="arial" w:cs="arial"/>
          <w:b/>
          <w:color w:val="000000"/>
          <w:sz w:val="20"/>
          <w:lang w:val="en-US" w:eastAsia="en-US" w:bidi="ar-SA"/>
        </w:rPr>
        <w:t>Contracts — Proceedings in contract — Practice and procedure — Evidence — Burden of proof — Appeals and judicial review — Appeal by homeowner from decision that dismissed claim for damages for negligent replacement of kitchen countertop on basis judge had erred in failing to apprehend evidence dismissed — Judge held another reason could have caused damages and plaintiff had failed to meet burden of proof defendant was negligent or in breach of contract — Judge considered defendant's inexperience, credibility issues — None of grounds of appeal showed error — Although judge relied on expired doctrine of res ipsa loquitur, this was not palpable and overriding error — Judge had appropriately considered facts.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Appeal by homeowner from decision that dismissed claim for damages for negligent replacement of kitchen countertop on basis judge had erred in failing to apprehend evidence dismissed — Judge held another reason could have caused damages and plaintiff had failed to meet burden of proof defendant was negligent or in breach of contract — Judge considered defendant's inexperience, credibility issues — None of grounds of appeal showed error — Although judge relied on expired doctrine of res ipsa loquitur, this was not palpable and overriding error — Judge had appropriately considered facts.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Evidence — Burden of proof — Inferences — Res Ipsa Loquitur — Grounds for appeal — Answers not supported by evidence — Appeal by homeowner from decision that dismissed claim for damages for negligent replacement of kitchen countertop on basis judge had erred in failing to apprehend evidence dismissed — Judge held another reason could have caused damages and plaintiff had failed to meet burden of proof defendant was negligent or in breach of contract — Judge considered defendant's inexperience, credibility issues — None of grounds of appeal showed error — Although judge relied on expired doctrine of res ipsa loquitur, this was not palpable and overriding error — Judge had appropriately considered facts.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37" w:name="Case Summary_46"/>
            <w:bookmarkEnd w:id="33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the homeowner from a decision of the small claims court that dismissed her claim for damages for the negligent replacement of a kitchen countertop on the basis the judge had erred in failing to apprehend the evidence. The appellant made an agreement with the defendant, who was not a professional, to replace the countertop, which required the sink faucets be removed. The defendant testified he turned off two shut-off valves for each faucet and checked that no water was coming out. He did not turn off the main water supply. When he removed the faucets, water did come out and caused damage. The defendant alleged one of the original shut-off valves had been defective, but only part of the valves were filed with the court and the trial judge was unable to determine whether they had been functioning properly. The appellant filed an expert opinion that one of the valves was broken, but with no information as to why or how the breakage occurred. The judge found material inconsistencies between the defendant's oral testimony and affidavit. The judge considered the doctrine of res ipsa loquitur as to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where there was a failure to lead evidence of an explanation equally consistent with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there had been no professional opinion as to the proper procedure that should have been undertaken by the defendant and unanswered questions as to the original state of the plaintiff's plumbing, the judge decided there was another reason for the leak to have occurred other than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judge concluded the plaintiff had failed to prove the defendant was negligent or in breach of contract.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38" w:name="Holdings of Court_45"/>
            <w:bookmarkEnd w:id="338"/>
            <w:r>
              <w:rPr>
                <w:rFonts w:ascii="arial" w:eastAsia="arial" w:hAnsi="arial" w:cs="arial"/>
                <w:color w:val="000000"/>
                <w:sz w:val="20"/>
                <w:lang w:val="en-US" w:eastAsia="en-US" w:bidi="ar-SA"/>
              </w:rPr>
              <w:t>HELD: Appeal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trial judge had carefully considered the defendant's lack of experience, and there was no error in the conclusion that lack of experience did not infer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There was also no error in finding it would have been the plaintiff's responsibility to have the main water supply turned off. The judge had been aware of issues regarding the defendant's credibility, which was reflected in the denial of costs to the defendant. None of the grounds of appeal showed an error by the trial judge. Although the judge had relied on doctrine of res ipsa loquitur, which was now expired, this was not a palpable and overriding error. The trial judge had appropriately considered the facts.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rFonts w:ascii="arial" w:eastAsia="arial" w:hAnsi="arial" w:cs="arial"/>
                <w:sz w:val="20"/>
                <w:lang w:val="en-US" w:eastAsia="en-US" w:bidi="ar-SA"/>
              </w:rPr>
            </w:pPr>
            <w:r>
              <w:rPr>
                <w:rFonts w:ascii="arial" w:eastAsia="arial" w:hAnsi="arial" w:cs="arial"/>
                <w:b/>
                <w:color w:val="000000"/>
                <w:sz w:val="20"/>
                <w:lang w:val="en-US" w:eastAsia="en-US" w:bidi="ar-SA"/>
              </w:rPr>
              <w:t>Appeal From: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On appeal from: Provincial Court of Port Coquitlam, May 31, 2010, (</w:t>
            </w:r>
            <w:r>
              <w:rPr>
                <w:rFonts w:ascii="arial" w:eastAsia="arial" w:hAnsi="arial" w:cs="arial"/>
                <w:i/>
                <w:color w:val="000000"/>
                <w:sz w:val="20"/>
                <w:lang w:val="en-US" w:eastAsia="en-US" w:bidi="ar-SA"/>
              </w:rPr>
              <w:t>Ho. v. Lau</w:t>
            </w:r>
            <w:r>
              <w:rPr>
                <w:rFonts w:ascii="arial" w:eastAsia="arial" w:hAnsi="arial" w:cs="arial"/>
                <w:color w:val="000000"/>
                <w:sz w:val="20"/>
                <w:lang w:val="en-US" w:eastAsia="en-US" w:bidi="ar-SA"/>
              </w:rPr>
              <w:t xml:space="preserve">, Docket CO12426)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39" w:name="Counsel_48"/>
      <w:bookmarkEnd w:id="33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70"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Appellant Agnes Wai Ling Ho: Represented by her sons, Frank Eng and Edward Eng.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Respondent Henry Lau: In person, assisted by interpreter, Fennella Sung.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40" w:name="Judgment_48"/>
      <w:bookmarkEnd w:id="340"/>
      <w:r>
        <w:pict>
          <v:line id="_x0000_s1271" style="position:absolute;z-index:25181081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41" w:name="R. CRAWFORD J."/>
            <w:bookmarkEnd w:id="341"/>
            <w:r>
              <w:rPr>
                <w:rFonts w:ascii="arial" w:eastAsia="arial" w:hAnsi="arial" w:cs="arial"/>
                <w:b/>
                <w:color w:val="000000"/>
                <w:sz w:val="30"/>
                <w:lang w:val="en-US" w:eastAsia="en-US" w:bidi="ar-SA"/>
              </w:rPr>
              <w:t>R. CRAWFORD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Nature of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May 31, 2010, Ms. Ho's claim for damages against Mr. Lau for his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replacement of a kitchen countertop was dismissed by the small claims civil division of the BC Provincial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Ho appeals that decision, seeking to establish error by the trial judge. She does not say that the judge was wrong in law, but that he failed to apprehend the evidence before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Essential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Ho and Mr. Lau are neighbours in a condominium on East 30th Avenue in Vancouver. Ms. Ho purchased her apartment in March 1999 and has lived alone there since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2005 Ms. Ho decided to replace her kitchen countertop. She met Mr. Lau whom she believed did renovation work and asked him if he would do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No representations were made by Mr. Lau as to his skills but he did agree to supply a countertop. An agreement was made for $400 for labour and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work was done on April 12,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countertop removal required that the sink faucets be removed. In turn that meant that the water supply to the faucets needed to be turned off. Mr. Lau found there were two shut-off valves on each of the hot and cold water supply pipes. He said he turned them both off and checked that no water was coming out of the faucets.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he removed the faucets and supply lines, water started to pour out of the cold water supply, causing damage to Ms. Ho's apartment and to other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was some time before the main water was shut down. The same day, Mr. Yip attended and installed two new water shut-off valves.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Cromwell Restoration repaired the water damage to Ms. Ho's apartment and the surrounding apartments.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Court found the appropriate claims were:</w:t>
      </w:r>
      <w:r>
        <w:rPr>
          <w:rFonts w:ascii="arial" w:eastAsia="arial" w:hAnsi="arial" w:cs="arial"/>
          <w:sz w:val="20"/>
          <w:lang w:val="en-US" w:eastAsia="en-US" w:bidi="ar-SA"/>
        </w:rPr>
        <w:cr/>
      </w:r>
    </w:p>
    <w:p>
      <w:pPr>
        <w:numPr>
          <w:numId w:val="4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$271.51 for Mr. Yip's repair bill;</w:t>
      </w:r>
    </w:p>
    <w:p>
      <w:pPr>
        <w:numPr>
          <w:numId w:val="4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$500 for Ms. Ho's insurance deductible;</w:t>
      </w:r>
    </w:p>
    <w:p>
      <w:pPr>
        <w:numPr>
          <w:numId w:val="4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$3,010.45 for the insurance deductible Ms. Ho had to pay to the strata council for their deductible;</w:t>
      </w:r>
    </w:p>
    <w:p>
      <w:pPr>
        <w:numPr>
          <w:numId w:val="4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$290 paid to Y. Sing Construction, for the completion of the counter installation;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totalling $4,071.96.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Court Process and the Passage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can be seen, this appeal is being heard in November 2012 after an incident occurring on April 3,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sequence in time is: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Provincial Court Writ - August 23, 2005;</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Defence - September 2, 2005;</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Settlement Conference - December 30, 2005;</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Trial - June 2, 2006. Mr. Lau did not appear and default judgment was given in the amount of $6,838.71.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Nothing appears to have happened for two and a half years until February 24, 2009, when Ms. Ho took proceedings in Supreme Court to obtain payment of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that time, Mr. Lau became aware of the default judgment, saw a lawyer and entered an Appearance to the Supreme Court Petition on March 25, 2009, and then made an application to set aside the default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Eventually the application to set aside the default judgment came on for hearing in June 2009 and the default judgment was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Provincial Court trial was heard April 12, May 19 and 27, 2010, and oral judgment was given on May 31,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Regrettably, although the judge advised he was giving an oral judgment and the reasons were transcribed in June 2010, the judgment reasons were not sent out to the parties. Not until Mr. Eng (Ms. Ho's son) came to the New Westminster courthouse in October 2010 did they find judgment had been rendered.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Application was then made to extend time for appeal and that application was granted in February 2011. Transcripts were then ordered and service of the Notice of Appeal was eventually served on Mr. Lau by substitutional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appeal was set for November 18, 2011 but no judge was then available. The appeal was rescheduled for November 6 and 7,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various times in April and May 2012 notice of hearing and standard directions for appeals were left at Mr. Lau's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appeal finally came on in the Supreme Court of British Columbia on November 6 and 7,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Various forms of appellant's argument have been filed. Mr. Lau advised the Court on November 6, 2012, that he did not understand the standard instructions regarding the appeal and did not file any reply to the appellant's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Trial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learned Provincial Court judge ("the trial judge") carefully reviewed the evidence of Ms. Ho and then the evidence of Mr. Lau. I should note both parties speak Cantonese Chinese and needed an interpreter. With respect to Ms. Ho's evidence, the Court found her evidence was "very confusing at various stages of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Ho had had two additional shut-off valves installed on her kitchen plumbing on October 5, 2004, but she denied there was any leaking occurring and did it simply because it was for "security" and to prevent any water leaks.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trial judge noted that at the settlement conference December 30, 2005, the settlement judge ordered Ms. Ho bring to trial the older shut-off valves that had been removed, as Mr. Lau was alleging one of the older shut-off valves was defective.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Although it was said these valves were before a judge on the default hearing on June 2, 2006, the trial judge noted he had reviewed the court file and no exhibits had been filed at the earlier hearing. What was filed at trial were the two old valve stems and not the whole of the shut-off valve. Nor did the valves show in photographs taken at the time of the incident in April 2005 by Mr. Eng.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trial judge found that he was unable to assess whether the old shut-off valve was properly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trial judge noted Ms. Ho had filed a brief expert opinion by Mr. Yip who had attended to stem the water flow and installed two new shut-off valves. Mr. Yip's opinion stated: "One of the water shut-off valves is broken."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the Court noted, Mr. Yip did not provide an opinion on: how or where the old water shut-off valve was broken, the likely mechanism of the breakage, the age of the broken old shut-off valve, why two new shut-off valves were installed in 2004, how the job would have been done by a professional plumber, nor where the missing compression ring was. The failure to call Mr. Yip as a witness left the Court in the position of having no clear evidence as to whether it was the careless act of Mr. Lau or the defect in the old shut-off valve that caused the water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Court then turned to Mr. Lau's evidence and found that his background was in landscaping and gardening and some part-time renovation work. The Court carefully noted Mr. Lau's oral evidence on the sequence of his work. Mr. Lau had filed an affidavit dated July 22, 2009. It was filed to set aside the default judgment. Curiously the affidavit is in English which Mr. Lau cannot read nor speak and has no certificate of translation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Court found material inconsistencies between Mr. Lau's oral evidence at trial and his 2009 affidavit. Plainly Mr. Lau did turn off the shut-off valves and tested them by turning on the faucets. He then attempted to unscrew the various nuts holding the faucet and the supply lines to the shut-off valves.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removing the faucets he also removed the hot and cold water supply lines and the leak occurred about a minute after he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trial judge indicated he had some knowledge of the plumbing involved and the appropriate steps to 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to the law, the Court found the law of contract implied Mr. Lau undertook to do the work in a good and workmanlike manner, while in tort, Mr. Lau's obligation was to take due care and not do the work carelessly or negligently. The Court found Mr. Lau not to be a professional kitchen renovator or a plumber and accordingly set a lower standard than one expected of a fully licensed professional plumber.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trial judge noted the burden of proof lay on Ms. Ho to establish breach of contract or alternatively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Lau causing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trial judge then considered the doctrine of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relying on a 1974 tort law text. I note that authors Allen Linden &amp; Bruce Feldthusen in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xml:space="preserve">, 9th ed (Markham, Ont: LexisNexis Canada Inc., 2011) at 254 explain the doctrine is "expired", making note of Mr. Justice Major's unequivocal declaration in </w:t>
      </w:r>
      <w:r>
        <w:rPr>
          <w:rFonts w:ascii="arial" w:eastAsia="arial" w:hAnsi="arial" w:cs="arial"/>
          <w:i/>
          <w:color w:val="000000"/>
          <w:sz w:val="20"/>
          <w:lang w:val="en-US" w:eastAsia="en-US" w:bidi="ar-SA"/>
        </w:rPr>
        <w:t>Fontaine v. British Columbia (Official Administrator),</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[1998] 1 S.C.R. 424</w:t>
        </w:r>
      </w:hyperlink>
      <w:r>
        <w:rPr>
          <w:rFonts w:ascii="arial" w:eastAsia="arial" w:hAnsi="arial" w:cs="arial"/>
          <w:color w:val="000000"/>
          <w:sz w:val="20"/>
          <w:lang w:val="en-US" w:eastAsia="en-US" w:bidi="ar-SA"/>
        </w:rPr>
        <w:t xml:space="preserve"> at para. 27, </w:t>
      </w:r>
      <w:hyperlink r:id="rId13" w:history="1">
        <w:r>
          <w:rPr>
            <w:rFonts w:ascii="arial" w:eastAsia="arial" w:hAnsi="arial" w:cs="arial"/>
            <w:i/>
            <w:color w:val="0077CC"/>
            <w:sz w:val="20"/>
            <w:u w:val="single"/>
            <w:shd w:val="clear" w:color="auto" w:fill="FFFFFF"/>
            <w:lang w:val="en-US" w:eastAsia="en-US" w:bidi="ar-SA"/>
          </w:rPr>
          <w:t>156 D.L.R. (4th) 577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would be better served if the maxim was treated as expired and no longer used as a separate component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After all, it was nothing more than an attempt to deal with circumstantial evidence. That evidence is more sensibly dealt with by the trier of fact, who should weigh the circumstantial evidence with the direct evidence, if any, to determine whether the plaintiff has established on a balance of probabilities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Once the plaintiff has done so, the defendant must present evidence negating that of the plaintiff or necessarily the plaintiff will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Nevertheless, the authors explain at 256 that "while the language of </w:t>
      </w:r>
      <w:r>
        <w:rPr>
          <w:rFonts w:ascii="arial" w:eastAsia="arial" w:hAnsi="arial" w:cs="arial"/>
          <w:i/>
          <w:color w:val="000000"/>
          <w:sz w:val="20"/>
          <w:lang w:val="en-US" w:eastAsia="en-US" w:bidi="ar-SA"/>
        </w:rPr>
        <w:t>res ipsa</w:t>
      </w:r>
      <w:r>
        <w:rPr>
          <w:rFonts w:ascii="arial" w:eastAsia="arial" w:hAnsi="arial" w:cs="arial"/>
          <w:color w:val="000000"/>
          <w:sz w:val="20"/>
          <w:lang w:val="en-US" w:eastAsia="en-US" w:bidi="ar-SA"/>
        </w:rPr>
        <w:t xml:space="preserve"> is no longer to be used, the fact situations that gave rise to </w:t>
      </w:r>
      <w:r>
        <w:rPr>
          <w:rFonts w:ascii="arial" w:eastAsia="arial" w:hAnsi="arial" w:cs="arial"/>
          <w:i/>
          <w:color w:val="000000"/>
          <w:sz w:val="20"/>
          <w:lang w:val="en-US" w:eastAsia="en-US" w:bidi="ar-SA"/>
        </w:rPr>
        <w:t>res ipsa</w:t>
      </w:r>
      <w:r>
        <w:rPr>
          <w:rFonts w:ascii="arial" w:eastAsia="arial" w:hAnsi="arial" w:cs="arial"/>
          <w:color w:val="000000"/>
          <w:sz w:val="20"/>
          <w:lang w:val="en-US" w:eastAsia="en-US" w:bidi="ar-SA"/>
        </w:rPr>
        <w:t xml:space="preserve"> in the past may offer some aid to courts about when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inferred."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trial judge noted the doctrine does not create a legal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operates to justify the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there is a failure of the defendant to lead evidence of an explanation equally consistent with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trial judge noted no professional had given evidence as to the proper steps to be taken by Mr. Lau regarding the countertop and faucet removal and replacement. He noted the many unanswered questions about the true state of Ms. Ho's kitchen plumbing prior to the April 2005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On the whole of the evidence, the trial judge concluded that there was another reason for the leak to occur other than Mr. Lau's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 did not consider Mr. Lau's lack of experience as to infer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while at the same time expressing his "serious reservations about Mr. Lau's veracity".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trial judge noted the valve stem found at Exhibit 5 was defective and missing a rubber washer and no explanation was provided for that or its effect. Without Mr. Yip's professional opinion the trial judge had no evidence of what Mr. Lau did that was wrong. Nor was the old shut-off valve put in evidence as ordered by the settlement conference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trial judge concluded the plaintiff had failed to prove on balance of probabilities Mr. Lau was negligent or in breach of any implied term of his contract with Ms. Ho and therefore her claim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Grounds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grounds of appeal were listed as: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Lau's lack of experience;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Ho's evidence that she wanted the watermain turned off;</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between the initial discussions and the contract of April 12, 2004, which is said to go to Mr. Lau's credibility;</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Lau's lack of experience as indicated in his testimony about the size of the new countertop;</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Lau's lack of experience as shown in his evidence as to the tools he used and the procedure he used regarding the countertop;</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Lau's lack of reliable testimony as indicated by the inconsistency between his affidavit and his oral testimony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Grounds 1, 4, and 5 were carefully considered by the trial judge and I find no error. On a number of occasions Mr. Eng argued matters that were either not in evidence at trial or were new argument. For instance, he contested Mr. Lau's explanation to the judge as to the procedure used and said "an experienced person would test the valves by shutting them off and opening the faucet".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 review of the trial testimony shows Mr. Lau saying that he did that exact thing, that he turned off the valves and opened the faucet to test that the valves were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Ground 2 was contested by Mr. Lau at trial as a matter of fact, and would have resulted in the water supply for the whole building being turned off. Therefore this was something for Ms. Ho to arrange. I find no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As to Grounds 3 and 6, the trial judge was keenly aware of Mr. Lau's credibility. He was alive to the differences between Mr. Lau's affidavit and his oral testimony and in fact deprived Mr. Lau of his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Eng argued his mother had seen a broken pipe yet it was plain from her evidence at trial that she did not see anything other than water coming out of a pipe. She did not speak of the valves at all in her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Eng's thesis was that Mr. Lau had failed to unscrew the nut to the supply tube and had simply broken the copper pipe.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While that was his thesis, as an appeal court what I have to deal with is the evidence tendered at trial. The trial court found that there were two possible reasons for the leak, and in the opinion of the repairman, Mr. Yip, there was indeed a broken valve. I cannot retry the matter but rather must deal with the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As to the factual basis for the water leak and whether or not it was Mr. Lau's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no evidence was given as to the appropriate standard to be met by a repairman, and there was more than one reason the leak could have occurred, on the evidence put before the learned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Test 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Mr. Justice Savage summarized this aspect of the law in his judgment in </w:t>
      </w:r>
      <w:r>
        <w:rPr>
          <w:rFonts w:ascii="arial" w:eastAsia="arial" w:hAnsi="arial" w:cs="arial"/>
          <w:i/>
          <w:color w:val="000000"/>
          <w:sz w:val="20"/>
          <w:lang w:val="en-US" w:eastAsia="en-US" w:bidi="ar-SA"/>
        </w:rPr>
        <w:t>Singh v. Rekhi</w:t>
      </w:r>
      <w:r>
        <w:rPr>
          <w:rFonts w:ascii="arial" w:eastAsia="arial" w:hAnsi="arial" w:cs="arial"/>
          <w:color w:val="000000"/>
          <w:sz w:val="20"/>
          <w:lang w:val="en-US" w:eastAsia="en-US" w:bidi="ar-SA"/>
        </w:rPr>
        <w:t xml:space="preserve">, </w:t>
      </w:r>
      <w:hyperlink r:id="rId1230" w:history="1">
        <w:r>
          <w:rPr>
            <w:rFonts w:ascii="arial" w:eastAsia="arial" w:hAnsi="arial" w:cs="arial"/>
            <w:i/>
            <w:color w:val="0077CC"/>
            <w:sz w:val="20"/>
            <w:u w:val="single"/>
            <w:shd w:val="clear" w:color="auto" w:fill="FFFFFF"/>
            <w:lang w:val="en-US" w:eastAsia="en-US" w:bidi="ar-SA"/>
          </w:rPr>
          <w:t>2011 BCSC 1368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Sections 5 and 12 of the </w:t>
      </w:r>
      <w:r>
        <w:rPr>
          <w:rFonts w:ascii="arial" w:eastAsia="arial" w:hAnsi="arial" w:cs="arial"/>
          <w:i/>
          <w:color w:val="000000"/>
          <w:sz w:val="20"/>
          <w:lang w:val="en-US" w:eastAsia="en-US" w:bidi="ar-SA"/>
        </w:rPr>
        <w:t>Small Claims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430</w:t>
      </w:r>
      <w:r>
        <w:rPr>
          <w:rFonts w:ascii="arial" w:eastAsia="arial" w:hAnsi="arial" w:cs="arial"/>
          <w:color w:val="000000"/>
          <w:sz w:val="20"/>
          <w:lang w:val="en-US" w:eastAsia="en-US" w:bidi="ar-SA"/>
        </w:rPr>
        <w:t xml:space="preserve"> provide for an appeal from a provincial court judge's decision. The sections provide, s. 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 (1) Any party to a proceeding under this Act may appeal to the Supreme Court an order to allow or dismiss a claim if that order was made by a Provincial Court judge after a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Section 12 states: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 An appeal to the Supreme Court under this Act:</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may be brought to review the order under appeal on questions of fact and on questions of law, and</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be heard as a new trial unless the Supreme Court orders that the appeal be heard in that court as a new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The appropriate test for review of a provincial court decision on appeal is that set out by Madam Justice Gerow in </w:t>
      </w:r>
      <w:r>
        <w:rPr>
          <w:rFonts w:ascii="arial" w:eastAsia="arial" w:hAnsi="arial" w:cs="arial"/>
          <w:i/>
          <w:color w:val="000000"/>
          <w:sz w:val="20"/>
          <w:lang w:val="en-US" w:eastAsia="en-US" w:bidi="ar-SA"/>
        </w:rPr>
        <w:t>Shawn Transport Ltd. v. Rider</w:t>
      </w:r>
      <w:r>
        <w:rPr>
          <w:rFonts w:ascii="arial" w:eastAsia="arial" w:hAnsi="arial" w:cs="arial"/>
          <w:color w:val="000000"/>
          <w:sz w:val="20"/>
          <w:lang w:val="en-US" w:eastAsia="en-US" w:bidi="ar-SA"/>
        </w:rPr>
        <w:t xml:space="preserve">, </w:t>
      </w:r>
      <w:hyperlink r:id="rId1231" w:history="1">
        <w:r>
          <w:rPr>
            <w:rFonts w:ascii="arial" w:eastAsia="arial" w:hAnsi="arial" w:cs="arial"/>
            <w:i/>
            <w:color w:val="0077CC"/>
            <w:sz w:val="20"/>
            <w:u w:val="single"/>
            <w:shd w:val="clear" w:color="auto" w:fill="FFFFFF"/>
            <w:lang w:val="en-US" w:eastAsia="en-US" w:bidi="ar-SA"/>
          </w:rPr>
          <w:t>2011 BCSC 756</w:t>
        </w:r>
      </w:hyperlink>
      <w:r>
        <w:rPr>
          <w:rFonts w:ascii="arial" w:eastAsia="arial" w:hAnsi="arial" w:cs="arial"/>
          <w:color w:val="000000"/>
          <w:sz w:val="20"/>
          <w:lang w:val="en-US" w:eastAsia="en-US" w:bidi="ar-SA"/>
        </w:rPr>
        <w:t>, where at para. 11 she opines: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review to be applied under s. 12 of the </w:t>
      </w:r>
      <w:r>
        <w:rPr>
          <w:rFonts w:ascii="arial" w:eastAsia="arial" w:hAnsi="arial" w:cs="arial"/>
          <w:i/>
          <w:color w:val="000000"/>
          <w:sz w:val="20"/>
          <w:lang w:val="en-US" w:eastAsia="en-US" w:bidi="ar-SA"/>
        </w:rPr>
        <w:t>Small Claims Act</w:t>
      </w:r>
      <w:r>
        <w:rPr>
          <w:rFonts w:ascii="arial" w:eastAsia="arial" w:hAnsi="arial" w:cs="arial"/>
          <w:color w:val="000000"/>
          <w:sz w:val="20"/>
          <w:lang w:val="en-US" w:eastAsia="en-US" w:bidi="ar-SA"/>
        </w:rPr>
        <w:t xml:space="preserve"> to questions of fact, and the application of those facts to the law, is "clearly wrong" or "not supported by the evidence". The court hearing the appeal examines the evidence to be satisfied that no such error occurred, but does not substitute its own assessment of the evidence: </w:t>
      </w:r>
      <w:r>
        <w:rPr>
          <w:rFonts w:ascii="arial" w:eastAsia="arial" w:hAnsi="arial" w:cs="arial"/>
          <w:i/>
          <w:color w:val="000000"/>
          <w:sz w:val="20"/>
          <w:lang w:val="en-US" w:eastAsia="en-US" w:bidi="ar-SA"/>
        </w:rPr>
        <w:t>Housen v. Nikolaisen</w:t>
      </w:r>
      <w:r>
        <w:rPr>
          <w:rFonts w:ascii="arial" w:eastAsia="arial" w:hAnsi="arial" w:cs="arial"/>
          <w:color w:val="000000"/>
          <w:sz w:val="20"/>
          <w:lang w:val="en-US" w:eastAsia="en-US" w:bidi="ar-SA"/>
        </w:rPr>
        <w:t xml:space="preserve">, </w:t>
      </w:r>
      <w:hyperlink r:id="rId1159" w:history="1">
        <w:r>
          <w:rPr>
            <w:rFonts w:ascii="arial" w:eastAsia="arial" w:hAnsi="arial" w:cs="arial"/>
            <w:i/>
            <w:color w:val="0077CC"/>
            <w:sz w:val="20"/>
            <w:u w:val="single"/>
            <w:shd w:val="clear" w:color="auto" w:fill="FFFFFF"/>
            <w:lang w:val="en-US" w:eastAsia="en-US" w:bidi="ar-SA"/>
          </w:rPr>
          <w:t>2002 SCC 33</w:t>
        </w:r>
      </w:hyperlink>
      <w:r>
        <w:rPr>
          <w:rFonts w:ascii="arial" w:eastAsia="arial" w:hAnsi="arial" w:cs="arial"/>
          <w:color w:val="000000"/>
          <w:sz w:val="20"/>
          <w:lang w:val="en-US" w:eastAsia="en-US" w:bidi="ar-SA"/>
        </w:rPr>
        <w:t xml:space="preserve"> at paras. 12 and 22; </w:t>
      </w:r>
      <w:r>
        <w:rPr>
          <w:rFonts w:ascii="arial" w:eastAsia="arial" w:hAnsi="arial" w:cs="arial"/>
          <w:i/>
          <w:color w:val="000000"/>
          <w:sz w:val="20"/>
          <w:lang w:val="en-US" w:eastAsia="en-US" w:bidi="ar-SA"/>
        </w:rPr>
        <w:t>F.H. v. McDougall</w:t>
      </w:r>
      <w:r>
        <w:rPr>
          <w:rFonts w:ascii="arial" w:eastAsia="arial" w:hAnsi="arial" w:cs="arial"/>
          <w:color w:val="000000"/>
          <w:sz w:val="20"/>
          <w:lang w:val="en-US" w:eastAsia="en-US" w:bidi="ar-SA"/>
        </w:rPr>
        <w:t xml:space="preserve">, </w:t>
      </w:r>
      <w:hyperlink r:id="rId1232" w:history="1">
        <w:r>
          <w:rPr>
            <w:rFonts w:ascii="arial" w:eastAsia="arial" w:hAnsi="arial" w:cs="arial"/>
            <w:i/>
            <w:color w:val="0077CC"/>
            <w:sz w:val="20"/>
            <w:u w:val="single"/>
            <w:shd w:val="clear" w:color="auto" w:fill="FFFFFF"/>
            <w:lang w:val="en-US" w:eastAsia="en-US" w:bidi="ar-SA"/>
          </w:rPr>
          <w:t>2007 BCCA 212</w:t>
        </w:r>
      </w:hyperlink>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Smithers Parts Ltd. v. Hudson</w:t>
      </w:r>
      <w:r>
        <w:rPr>
          <w:rFonts w:ascii="arial" w:eastAsia="arial" w:hAnsi="arial" w:cs="arial"/>
          <w:color w:val="000000"/>
          <w:sz w:val="20"/>
          <w:lang w:val="en-US" w:eastAsia="en-US" w:bidi="ar-SA"/>
        </w:rPr>
        <w:t xml:space="preserve">, </w:t>
      </w:r>
      <w:hyperlink r:id="rId1233" w:history="1">
        <w:r>
          <w:rPr>
            <w:rFonts w:ascii="arial" w:eastAsia="arial" w:hAnsi="arial" w:cs="arial"/>
            <w:i/>
            <w:color w:val="0077CC"/>
            <w:sz w:val="20"/>
            <w:u w:val="single"/>
            <w:shd w:val="clear" w:color="auto" w:fill="FFFFFF"/>
            <w:lang w:val="en-US" w:eastAsia="en-US" w:bidi="ar-SA"/>
          </w:rPr>
          <w:t>2009 BCSC 1645</w:t>
        </w:r>
      </w:hyperlink>
      <w:r>
        <w:rPr>
          <w:rFonts w:ascii="arial" w:eastAsia="arial" w:hAnsi="arial" w:cs="arial"/>
          <w:color w:val="000000"/>
          <w:sz w:val="20"/>
          <w:lang w:val="en-US" w:eastAsia="en-US" w:bidi="ar-SA"/>
        </w:rPr>
        <w:t xml:space="preserve"> at para. 26.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Justice Maczko, in </w:t>
      </w:r>
      <w:r>
        <w:rPr>
          <w:rFonts w:ascii="arial" w:eastAsia="arial" w:hAnsi="arial" w:cs="arial"/>
          <w:i/>
          <w:color w:val="000000"/>
          <w:sz w:val="20"/>
          <w:lang w:val="en-US" w:eastAsia="en-US" w:bidi="ar-SA"/>
        </w:rPr>
        <w:t>Nerbas v. ICBC</w:t>
      </w:r>
      <w:r>
        <w:rPr>
          <w:rFonts w:ascii="arial" w:eastAsia="arial" w:hAnsi="arial" w:cs="arial"/>
          <w:color w:val="000000"/>
          <w:sz w:val="20"/>
          <w:lang w:val="en-US" w:eastAsia="en-US" w:bidi="ar-SA"/>
        </w:rPr>
        <w:t xml:space="preserve">, </w:t>
      </w:r>
      <w:hyperlink r:id="rId1234" w:history="1">
        <w:r>
          <w:rPr>
            <w:rFonts w:ascii="arial" w:eastAsia="arial" w:hAnsi="arial" w:cs="arial"/>
            <w:i/>
            <w:color w:val="0077CC"/>
            <w:sz w:val="20"/>
            <w:u w:val="single"/>
            <w:shd w:val="clear" w:color="auto" w:fill="FFFFFF"/>
            <w:lang w:val="en-US" w:eastAsia="en-US" w:bidi="ar-SA"/>
          </w:rPr>
          <w:t>2007 BCSC 484</w:t>
        </w:r>
      </w:hyperlink>
      <w:r>
        <w:rPr>
          <w:rFonts w:ascii="arial" w:eastAsia="arial" w:hAnsi="arial" w:cs="arial"/>
          <w:color w:val="000000"/>
          <w:sz w:val="20"/>
          <w:lang w:val="en-US" w:eastAsia="en-US" w:bidi="ar-SA"/>
        </w:rPr>
        <w:t xml:space="preserve"> said, para. 11: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appellate Court should not set aside a trial judge's findings of fact in the absence of a palpable and overriding error which affected his or her assessment of the facts (see e.g. </w:t>
      </w:r>
      <w:r>
        <w:rPr>
          <w:rFonts w:ascii="arial" w:eastAsia="arial" w:hAnsi="arial" w:cs="arial"/>
          <w:i/>
          <w:color w:val="000000"/>
          <w:sz w:val="20"/>
          <w:lang w:val="en-US" w:eastAsia="en-US" w:bidi="ar-SA"/>
        </w:rPr>
        <w:t>Ontario (Attorney General) v. Bear Island Foundation</w:t>
      </w:r>
      <w:r>
        <w:rPr>
          <w:rFonts w:ascii="arial" w:eastAsia="arial" w:hAnsi="arial" w:cs="arial"/>
          <w:color w:val="000000"/>
          <w:sz w:val="20"/>
          <w:lang w:val="en-US" w:eastAsia="en-US" w:bidi="ar-SA"/>
        </w:rPr>
        <w:t xml:space="preserve">, </w:t>
      </w:r>
      <w:hyperlink r:id="rId1235" w:history="1">
        <w:r>
          <w:rPr>
            <w:rFonts w:ascii="arial" w:eastAsia="arial" w:hAnsi="arial" w:cs="arial"/>
            <w:i/>
            <w:color w:val="0077CC"/>
            <w:sz w:val="20"/>
            <w:u w:val="single"/>
            <w:shd w:val="clear" w:color="auto" w:fill="FFFFFF"/>
            <w:lang w:val="en-US" w:eastAsia="en-US" w:bidi="ar-SA"/>
          </w:rPr>
          <w:t>[1991] 2 S.C.R. 570</w:t>
        </w:r>
      </w:hyperlink>
      <w:r>
        <w:rPr>
          <w:rFonts w:ascii="arial" w:eastAsia="arial" w:hAnsi="arial" w:cs="arial"/>
          <w:color w:val="000000"/>
          <w:sz w:val="20"/>
          <w:lang w:val="en-US" w:eastAsia="en-US" w:bidi="ar-SA"/>
        </w:rPr>
        <w:t xml:space="preserve"> at 574). As Fish J. said for the majority of the Court in </w:t>
      </w:r>
      <w:r>
        <w:rPr>
          <w:rFonts w:ascii="arial" w:eastAsia="arial" w:hAnsi="arial" w:cs="arial"/>
          <w:i/>
          <w:color w:val="000000"/>
          <w:sz w:val="20"/>
          <w:lang w:val="en-US" w:eastAsia="en-US" w:bidi="ar-SA"/>
        </w:rPr>
        <w:t>H.L. v. Canada (Attorney General)</w:t>
      </w:r>
      <w:r>
        <w:rPr>
          <w:rFonts w:ascii="arial" w:eastAsia="arial" w:hAnsi="arial" w:cs="arial"/>
          <w:color w:val="000000"/>
          <w:sz w:val="20"/>
          <w:lang w:val="en-US" w:eastAsia="en-US" w:bidi="ar-SA"/>
        </w:rPr>
        <w:t xml:space="preserve">, </w:t>
      </w:r>
      <w:hyperlink r:id="rId1236" w:history="1">
        <w:r>
          <w:rPr>
            <w:rFonts w:ascii="arial" w:eastAsia="arial" w:hAnsi="arial" w:cs="arial"/>
            <w:i/>
            <w:color w:val="0077CC"/>
            <w:sz w:val="20"/>
            <w:u w:val="single"/>
            <w:shd w:val="clear" w:color="auto" w:fill="FFFFFF"/>
            <w:lang w:val="en-US" w:eastAsia="en-US" w:bidi="ar-SA"/>
          </w:rPr>
          <w:t>[2005] 1 S.C.R. 401</w:t>
        </w:r>
      </w:hyperlink>
      <w:r>
        <w:rPr>
          <w:rFonts w:ascii="arial" w:eastAsia="arial" w:hAnsi="arial" w:cs="arial"/>
          <w:color w:val="000000"/>
          <w:sz w:val="20"/>
          <w:lang w:val="en-US" w:eastAsia="en-US" w:bidi="ar-SA"/>
        </w:rPr>
        <w:t xml:space="preserve"> at paras. 55 and 56:</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55 "Palpable and overriding error" is at one an elegant and expressive description of the entrenched and generally applicable standard of appellate review of the findings of fact at trial. But it should not be thought to displace alternative formulations of the governing standard. In Housen [</w:t>
      </w:r>
      <w:r>
        <w:rPr>
          <w:rFonts w:ascii="arial" w:eastAsia="arial" w:hAnsi="arial" w:cs="arial"/>
          <w:i/>
          <w:color w:val="000000"/>
          <w:sz w:val="20"/>
          <w:lang w:val="en-US" w:eastAsia="en-US" w:bidi="ar-SA"/>
        </w:rPr>
        <w:t>Housen v. Nikolaisen et al.</w:t>
      </w:r>
      <w:r>
        <w:rPr>
          <w:rFonts w:ascii="arial" w:eastAsia="arial" w:hAnsi="arial" w:cs="arial"/>
          <w:color w:val="000000"/>
          <w:sz w:val="20"/>
          <w:lang w:val="en-US" w:eastAsia="en-US" w:bidi="ar-SA"/>
        </w:rPr>
        <w:t xml:space="preserve">, </w:t>
      </w:r>
      <w:hyperlink r:id="rId1159" w:history="1">
        <w:r>
          <w:rPr>
            <w:rFonts w:ascii="arial" w:eastAsia="arial" w:hAnsi="arial" w:cs="arial"/>
            <w:i/>
            <w:color w:val="0077CC"/>
            <w:sz w:val="20"/>
            <w:u w:val="single"/>
            <w:shd w:val="clear" w:color="auto" w:fill="FFFFFF"/>
            <w:lang w:val="en-US" w:eastAsia="en-US" w:bidi="ar-SA"/>
          </w:rPr>
          <w:t>[2002] 2 S.C.R. 235</w:t>
        </w:r>
      </w:hyperlink>
      <w:r>
        <w:rPr>
          <w:rFonts w:ascii="arial" w:eastAsia="arial" w:hAnsi="arial" w:cs="arial"/>
          <w:color w:val="000000"/>
          <w:sz w:val="20"/>
          <w:lang w:val="en-US" w:eastAsia="en-US" w:bidi="ar-SA"/>
        </w:rPr>
        <w:t>], for example, the majority (at para. 22) and the minority (at para. 103) agreed that inferences of fact at trial may be set aside on appeal if they are "clearly wrong". Both expressions encapsulate the same principle: an appellate court will not interfere with the trial judge's findings of fact unless it can plainly identify the imputed error, and that error is shown to have affected the result.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In my respectful view, the test is met as well where the trial judge's findings of fact can properly be characterized as "unreasonable" or "unsupported by the evidence". In </w:t>
      </w:r>
      <w:r>
        <w:rPr>
          <w:rFonts w:ascii="arial" w:eastAsia="arial" w:hAnsi="arial" w:cs="arial"/>
          <w:i/>
          <w:color w:val="000000"/>
          <w:sz w:val="20"/>
          <w:lang w:val="en-US" w:eastAsia="en-US" w:bidi="ar-SA"/>
        </w:rPr>
        <w:t>R. v. W.(R.)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2 S.C.R. 122</w:t>
      </w:r>
      <w:r>
        <w:rPr>
          <w:rFonts w:ascii="arial" w:eastAsia="arial" w:hAnsi="arial" w:cs="arial"/>
          <w:color w:val="000000"/>
          <w:sz w:val="20"/>
          <w:lang w:val="en-US" w:eastAsia="en-US" w:bidi="ar-SA"/>
        </w:rPr>
        <w:t>, McLachlin J. (as she then was) explained why courts of appeal must show particular deference to trial courts on issues of credibility. At the same time, however, she noted (at pp. 131- 32) that</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it remains open to an appellate court to overturn a verdict based on findings of credibility where, after considering all the evidence and having due regard to the advantages afforded to the trial judge, it concludes that the verdict is unreasonable.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statutory framework in criminal matters is, of course, different in certain respects. But as a matter of principle, it seems to me that unreasonable findings of fact - relating to credibility, to primary or inferred "evidential" facts, or to facts in issue - are reviewable on appeal because they are "palpably" or "clearly" wrong. The same is true of findings that are unsupported by the evidence. I need hardly repeat, however, that appellate intervention will only be warranted where the court can explain why or in what respect the impugned finding is unreasonable or unsupported by the evidence. And the reviewing court must of course be persuaded that the impugned factual finding is likely to have affected the result.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A trial judge, of course, is in the best position to assess the credibility of witnesses and the weight that should be given to their evidence. In this case, the trial judge appears to have accepted the evidence of Mr. Rekhi and gave less weight to the evidence of Mr. Singh, applying though not necessarily referring to well known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It is, of course, not for me to reweigh the evidence, only to determine whether findings have been made which are shown to be clearly wrong, contain palpable or overriding errors, or to put it another way, are not 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Furthermore, Madam Justice Bruce notes in </w:t>
      </w:r>
      <w:r>
        <w:rPr>
          <w:rFonts w:ascii="arial" w:eastAsia="arial" w:hAnsi="arial" w:cs="arial"/>
          <w:i/>
          <w:color w:val="000000"/>
          <w:sz w:val="20"/>
          <w:lang w:val="en-US" w:eastAsia="en-US" w:bidi="ar-SA"/>
        </w:rPr>
        <w:t>Billabong Road &amp; Bridge Maintenance Inc. v. Brook,</w:t>
      </w:r>
      <w:r>
        <w:rPr>
          <w:rFonts w:ascii="arial" w:eastAsia="arial" w:hAnsi="arial" w:cs="arial"/>
          <w:color w:val="000000"/>
          <w:sz w:val="20"/>
          <w:lang w:val="en-US" w:eastAsia="en-US" w:bidi="ar-SA"/>
        </w:rPr>
        <w:t xml:space="preserve"> </w:t>
      </w:r>
      <w:hyperlink r:id="rId1237" w:history="1">
        <w:r>
          <w:rPr>
            <w:rFonts w:ascii="arial" w:eastAsia="arial" w:hAnsi="arial" w:cs="arial"/>
            <w:i/>
            <w:color w:val="0077CC"/>
            <w:sz w:val="20"/>
            <w:u w:val="single"/>
            <w:shd w:val="clear" w:color="auto" w:fill="FFFFFF"/>
            <w:lang w:val="en-US" w:eastAsia="en-US" w:bidi="ar-SA"/>
          </w:rPr>
          <w:t>2011 BCSC 297</w:t>
        </w:r>
      </w:hyperlink>
      <w:r>
        <w:rPr>
          <w:rFonts w:ascii="arial" w:eastAsia="arial" w:hAnsi="arial" w:cs="arial"/>
          <w:color w:val="000000"/>
          <w:sz w:val="20"/>
          <w:lang w:val="en-US" w:eastAsia="en-US" w:bidi="ar-SA"/>
        </w:rPr>
        <w:t xml:space="preserve"> at para. 23, the standard of appellate review regarding questions of mixed fact and law "remains the more restricted one of 'palpable and overriding error'." As Bruce J. explains,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 question of mixed fact and law because it involves the application of a legal standard to particular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learned Provincial Court judge was faced with a very difficult trial in the sense that the matter was heard five years after the event, the parties had no legal representation and the parties needed an interpreter to give their evidence. The lack of legal representation led to much repetition as the Court tried to clarify the factual situation and see if the legal parameters for breach of contract or a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established. The hearing took three full days and the trial judge gave a 38-page judgment carefully reviewing the aspects of evidence relevant to his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None of the argued grounds of appeal show an error on the part of the learned Provincial Court judge. While the trial judge relied on an expired legal doctrine in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analysis, this error was not palpable and overriding. The trial judge appropriately considered the facts and accordingly I dismiss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With respect to the costs of the appeal, I note that Mr. Lau failed to file any responsive material and took the simple position that the trial judge was right. Accordingly, although he has been successful on the appeal I will not order any costs in his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 CRAWFORD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72" style="position:absolute;z-index:251860992"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Jacobs v. Basil, [2017] B.C.J. No. 1517</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Johal v. Conron, [2013] B.C.J. No. 2318</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R.A.R.B. v. British Columbia, [2001] B.C.J. No. 963</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Russell v. Canada, [2000] B.C.J. No. 848</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Stoneman v. Denman Island Local Trust Committee, [2015] B.C.J. No. 311</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Van den Hemel v. Kugathasan, [2010] B.C.J. No. 1767</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Wong v. South Coast British Columbia Transportation Authority (c.o.b. Translink), [2013] B.C.J. No. 1358</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Morrison v. Gauthier, [2009] B.C.J. No. 1860</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Tabor v. Bridge, [2013] I.L.R. para. M-2711</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W.W. v. Canada (Attorney General), [2002] B.C.J. No. 1821</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Nish v. McLaughlin, [2014] B.C.J. No. 1899</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Ranahan v. Iron Horse Enterprises &amp; Logistics Inc., [2017] B.C.J. No. 871</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Sharma v. Chan, [2017] B.C.J. No. 1055</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Van Hove (Litigation guardian of) v. Boisselle, [2012] B.C.J. No. 667</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Ari v. Insurance Corporation of British Columbia, [2013] I.L.R. para. G-2529</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Boyd v. Shortreed, [2009] B.C.J. No. 2133</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Bulatovic v. Siebert, [2013] B.C.J. No. 268</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Carroll v. Hunter, [2014] B.C.J. No. 2869</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Datoc v. Raj, [2013] B.C.J. No. 338</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Demenuk v. Dhadwal, [2013] B.C.J. No. 2539</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Gulati v. Chan, [2015] B.C.J. No. 533</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Hooper v. Nair, [2009] B.C.J. No. 1292</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Lightstream Telecommunications Inc. v. Telecon Inc., [2018] B.C.J. No. 3590</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Maddex v. Sigouin, [2013] B.C.J. No. 1633</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McMullin v. Trelenberg, [2020] B.C.J. No. 68</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Moulton Contracting Ltd. v. British Columbia, [2014] I.L.R. para. G-2556</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Paquette (Litigation guardian of) v. Surrey School District No. 36, [2014] B.C.J. No. 218</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Reimer v. Rooster's Country Cabaret Ltd., [2013] B.C.J. No. 2663</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Reyes v. Marsden, [2015] B.C.J. No. 1080</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Sikora v. Brown, [2014] B.C.J. No. 31</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Tchao v. Bourdon, [2009] B.C.J. No. 209</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Deol v. Veach, [2011] B.C.J. No. 2011</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Knight v. Li, [2011] B.C.J. No. 236</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Link v. Insurance Corp. of British Columbia, [2014] B.C.J. No. 2357</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MacEachern (Committee of) v. Rennie, [2009] B.C.J. No. 867</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Atkinson (Guardian ad litem of) v. Gypsea Rose (The), [2014] B.C.J. No. 1131</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Bayfield v. British Columbia, [2016] B.C.J. No. 2232</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Beck Estate v. Johnston, Meier Insurance Agencies Ltd., [2010] B.C.J. No. 972</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Bergen v. Guliker, [2014] B.C.J. No. 7</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Bingham v. BMO Nesbitt Burns Inc., [2006] B.C.J. No. 419</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Boyes (Litigation guardian of) v. Wong, [2016] B.C.J. No. 1229</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Brandt v. Moldovan, [2013] B.C.J. No. 1492</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Carew v. Goose, [2005] B.C.J. No. 1457</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C.D. v. Canada (Attorney General), [2013] B.C.J. No. 1086</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Chalmers v. AMO Canada Company, 2009 CCLG para. 25-034</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Devocht v. Hallgren, 2015 OCLG para. 51,861</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Drader v. Boyes, [2009] B.C.J. No. 1740</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Friedrich (Litigation Guardian of) v. Vernon (City), [2008] B.C.J. No. 1749</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Hans v. Volvo Trucks North America Inc., [2016] B.C.J. No. 1318</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 v. Lau, [2012] B.C.J. No. 2561</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upperRoman"/>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3"/>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4"/>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5"/>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144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highway"/>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5"/>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6"/>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8"/>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9"/>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5"/>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6"/>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7"/>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8"/>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10"/>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000007C"/>
    <w:multiLevelType w:val="multilevel"/>
    <w:tmpl w:val="0000007C"/>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000007D"/>
    <w:multiLevelType w:val="multilevel"/>
    <w:tmpl w:val="0000007D"/>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multilevel"/>
    <w:tmpl w:val="0000007E"/>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000007F"/>
    <w:multiLevelType w:val="multilevel"/>
    <w:tmpl w:val="0000007F"/>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0000080"/>
    <w:multiLevelType w:val="multilevel"/>
    <w:tmpl w:val="0000008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00000081"/>
    <w:multiLevelType w:val="multilevel"/>
    <w:tmpl w:val="0000008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00000082"/>
    <w:multiLevelType w:val="multilevel"/>
    <w:tmpl w:val="0000008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00000083"/>
    <w:multiLevelType w:val="multilevel"/>
    <w:tmpl w:val="0000008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00000084"/>
    <w:multiLevelType w:val="multilevel"/>
    <w:tmpl w:val="0000008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00000085"/>
    <w:multiLevelType w:val="multilevel"/>
    <w:tmpl w:val="0000008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00000086"/>
    <w:multiLevelType w:val="multilevel"/>
    <w:tmpl w:val="0000008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00000087"/>
    <w:multiLevelType w:val="multilevel"/>
    <w:tmpl w:val="0000008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00000088"/>
    <w:multiLevelType w:val="multilevel"/>
    <w:tmpl w:val="0000008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00000089"/>
    <w:multiLevelType w:val="multilevel"/>
    <w:tmpl w:val="0000008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0000008A"/>
    <w:multiLevelType w:val="multilevel"/>
    <w:tmpl w:val="0000008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0000008B"/>
    <w:multiLevelType w:val="multilevel"/>
    <w:tmpl w:val="0000008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0000008C"/>
    <w:multiLevelType w:val="multilevel"/>
    <w:tmpl w:val="0000008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0000008D"/>
    <w:multiLevelType w:val="multilevel"/>
    <w:tmpl w:val="0000008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0000008E"/>
    <w:multiLevelType w:val="multilevel"/>
    <w:tmpl w:val="0000008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0000008F"/>
    <w:multiLevelType w:val="multilevel"/>
    <w:tmpl w:val="0000008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00000090"/>
    <w:multiLevelType w:val="multilevel"/>
    <w:tmpl w:val="0000009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00000091"/>
    <w:multiLevelType w:val="multilevel"/>
    <w:tmpl w:val="0000009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00000092"/>
    <w:multiLevelType w:val="multilevel"/>
    <w:tmpl w:val="0000009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00000093"/>
    <w:multiLevelType w:val="multilevel"/>
    <w:tmpl w:val="0000009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00000094"/>
    <w:multiLevelType w:val="multilevel"/>
    <w:tmpl w:val="0000009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00000095"/>
    <w:multiLevelType w:val="multilevel"/>
    <w:tmpl w:val="0000009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00000096"/>
    <w:multiLevelType w:val="multilevel"/>
    <w:tmpl w:val="00000096"/>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00000097"/>
    <w:multiLevelType w:val="multilevel"/>
    <w:tmpl w:val="0000009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00000098"/>
    <w:multiLevelType w:val="multilevel"/>
    <w:tmpl w:val="0000009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00000099"/>
    <w:multiLevelType w:val="multilevel"/>
    <w:tmpl w:val="0000009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0000009A"/>
    <w:multiLevelType w:val="multilevel"/>
    <w:tmpl w:val="0000009A"/>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0000009B"/>
    <w:multiLevelType w:val="multilevel"/>
    <w:tmpl w:val="0000009B"/>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0000009C"/>
    <w:multiLevelType w:val="multilevel"/>
    <w:tmpl w:val="0000009C"/>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0000009D"/>
    <w:multiLevelType w:val="multilevel"/>
    <w:tmpl w:val="0000009D"/>
    <w:lvl w:ilvl="0">
      <w:start w:val="1"/>
      <w:numFmt w:val="decimal"/>
      <w:lvlText w:val="38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0000009E"/>
    <w:multiLevelType w:val="multilevel"/>
    <w:tmpl w:val="0000009E"/>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0000009F"/>
    <w:multiLevelType w:val="multilevel"/>
    <w:tmpl w:val="0000009F"/>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000000A0"/>
    <w:multiLevelType w:val="multilevel"/>
    <w:tmpl w:val="000000A0"/>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000000A1"/>
    <w:multiLevelType w:val="multilevel"/>
    <w:tmpl w:val="000000A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000000A2"/>
    <w:multiLevelType w:val="multilevel"/>
    <w:tmpl w:val="000000A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000000A3"/>
    <w:multiLevelType w:val="multilevel"/>
    <w:tmpl w:val="000000A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000000A4"/>
    <w:multiLevelType w:val="multilevel"/>
    <w:tmpl w:val="000000A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000000A5"/>
    <w:multiLevelType w:val="multilevel"/>
    <w:tmpl w:val="000000A5"/>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000000A6"/>
    <w:multiLevelType w:val="multilevel"/>
    <w:tmpl w:val="000000A6"/>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000000A7"/>
    <w:multiLevelType w:val="multilevel"/>
    <w:tmpl w:val="000000A7"/>
    <w:lvl w:ilvl="0">
      <w:start w:val="1"/>
      <w:numFmt w:val="decimal"/>
      <w:lvlText w:val=" %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000000A8"/>
    <w:multiLevelType w:val="multilevel"/>
    <w:tmpl w:val="000000A8"/>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000000A9"/>
    <w:multiLevelType w:val="multilevel"/>
    <w:tmpl w:val="000000A9"/>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nsid w:val="000000AA"/>
    <w:multiLevelType w:val="multilevel"/>
    <w:tmpl w:val="000000AA"/>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0">
    <w:nsid w:val="000000AB"/>
    <w:multiLevelType w:val="multilevel"/>
    <w:tmpl w:val="000000AB"/>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1">
    <w:nsid w:val="000000AC"/>
    <w:multiLevelType w:val="multilevel"/>
    <w:tmpl w:val="000000AC"/>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2">
    <w:nsid w:val="000000AD"/>
    <w:multiLevelType w:val="multilevel"/>
    <w:tmpl w:val="000000AD"/>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3">
    <w:nsid w:val="000000AE"/>
    <w:multiLevelType w:val="multilevel"/>
    <w:tmpl w:val="000000AE"/>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4">
    <w:nsid w:val="000000AF"/>
    <w:multiLevelType w:val="multilevel"/>
    <w:tmpl w:val="000000AF"/>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5">
    <w:nsid w:val="000000B0"/>
    <w:multiLevelType w:val="multilevel"/>
    <w:tmpl w:val="000000B0"/>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6">
    <w:nsid w:val="000000B1"/>
    <w:multiLevelType w:val="multilevel"/>
    <w:tmpl w:val="000000B1"/>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7">
    <w:nsid w:val="000000B2"/>
    <w:multiLevelType w:val="multilevel"/>
    <w:tmpl w:val="000000B2"/>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8">
    <w:nsid w:val="000000B3"/>
    <w:multiLevelType w:val="multilevel"/>
    <w:tmpl w:val="000000B3"/>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9">
    <w:nsid w:val="000000B4"/>
    <w:multiLevelType w:val="multilevel"/>
    <w:tmpl w:val="000000B4"/>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0">
    <w:nsid w:val="000000B5"/>
    <w:multiLevelType w:val="multilevel"/>
    <w:tmpl w:val="000000B5"/>
    <w:lvl w:ilvl="0">
      <w:start w:val="8"/>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1">
    <w:nsid w:val="000000B6"/>
    <w:multiLevelType w:val="multilevel"/>
    <w:tmpl w:val="000000B6"/>
    <w:lvl w:ilvl="0">
      <w:start w:val="9"/>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2">
    <w:nsid w:val="000000B7"/>
    <w:multiLevelType w:val="multilevel"/>
    <w:tmpl w:val="000000B7"/>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3">
    <w:nsid w:val="000000B8"/>
    <w:multiLevelType w:val="multilevel"/>
    <w:tmpl w:val="000000B8"/>
    <w:lvl w:ilvl="0">
      <w:start w:val="1"/>
      <w:numFmt w:val="decimal"/>
      <w:lvlText w:val="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4">
    <w:nsid w:val="000000B9"/>
    <w:multiLevelType w:val="multilevel"/>
    <w:tmpl w:val="000000B9"/>
    <w:lvl w:ilvl="0">
      <w:start w:val="1"/>
      <w:numFmt w:val="decimal"/>
      <w:lvlText w:val="1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5">
    <w:nsid w:val="000000BA"/>
    <w:multiLevelType w:val="multilevel"/>
    <w:tmpl w:val="000000BA"/>
    <w:lvl w:ilvl="0">
      <w:start w:val="1"/>
      <w:numFmt w:val="decimal"/>
      <w:lvlText w:val="1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6">
    <w:nsid w:val="000000BB"/>
    <w:multiLevelType w:val="multilevel"/>
    <w:tmpl w:val="000000BB"/>
    <w:lvl w:ilvl="0">
      <w:start w:val="1"/>
      <w:numFmt w:val="decimal"/>
      <w:lvlText w:val="1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7">
    <w:nsid w:val="000000BC"/>
    <w:multiLevelType w:val="multilevel"/>
    <w:tmpl w:val="000000BC"/>
    <w:lvl w:ilvl="0">
      <w:start w:val="1"/>
      <w:numFmt w:val="decimal"/>
      <w:lvlText w:val="1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8">
    <w:nsid w:val="000000BD"/>
    <w:multiLevelType w:val="multilevel"/>
    <w:tmpl w:val="000000BD"/>
    <w:lvl w:ilvl="0">
      <w:start w:val="1"/>
      <w:numFmt w:val="decimal"/>
      <w:lvlText w:val="1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9">
    <w:nsid w:val="000000BE"/>
    <w:multiLevelType w:val="multilevel"/>
    <w:tmpl w:val="000000BE"/>
    <w:lvl w:ilvl="0">
      <w:start w:val="1"/>
      <w:numFmt w:val="decimal"/>
      <w:lvlText w:val="17)"/>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0">
    <w:nsid w:val="000000BF"/>
    <w:multiLevelType w:val="multilevel"/>
    <w:tmpl w:val="000000BF"/>
    <w:lvl w:ilvl="0">
      <w:start w:val="1"/>
      <w:numFmt w:val="decimal"/>
      <w:lvlText w:val="18)"/>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1">
    <w:nsid w:val="000000C0"/>
    <w:multiLevelType w:val="multilevel"/>
    <w:tmpl w:val="000000C0"/>
    <w:lvl w:ilvl="0">
      <w:start w:val="1"/>
      <w:numFmt w:val="decimal"/>
      <w:lvlText w:val="1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2">
    <w:nsid w:val="000000C1"/>
    <w:multiLevelType w:val="multilevel"/>
    <w:tmpl w:val="000000C1"/>
    <w:lvl w:ilvl="0">
      <w:start w:val="2"/>
      <w:numFmt w:val="decimal"/>
      <w:lvlText w:val=" %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3">
    <w:nsid w:val="000000C2"/>
    <w:multiLevelType w:val="multilevel"/>
    <w:tmpl w:val="000000C2"/>
    <w:lvl w:ilvl="0">
      <w:start w:val="3"/>
      <w:numFmt w:val="decimal"/>
      <w:lvlText w:val=" %1)"/>
      <w:lvlJc w:val="left"/>
      <w:pPr>
        <w:tabs>
          <w:tab w:val="num" w:pos="1120"/>
        </w:tabs>
        <w:ind w:left="112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4">
    <w:nsid w:val="000000C3"/>
    <w:multiLevelType w:val="multilevel"/>
    <w:tmpl w:val="000000C3"/>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5">
    <w:nsid w:val="000000C4"/>
    <w:multiLevelType w:val="multilevel"/>
    <w:tmpl w:val="000000C4"/>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6">
    <w:nsid w:val="000000C5"/>
    <w:multiLevelType w:val="multilevel"/>
    <w:tmpl w:val="000000C5"/>
    <w:lvl w:ilvl="0">
      <w:start w:val="1"/>
      <w:numFmt w:val="decimal"/>
      <w:lvlText w:val="3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7">
    <w:nsid w:val="000000C6"/>
    <w:multiLevelType w:val="multilevel"/>
    <w:tmpl w:val="000000C6"/>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8">
    <w:nsid w:val="000000C7"/>
    <w:multiLevelType w:val="multilevel"/>
    <w:tmpl w:val="000000C7"/>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9">
    <w:nsid w:val="000000C8"/>
    <w:multiLevelType w:val="multilevel"/>
    <w:tmpl w:val="000000C8"/>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0">
    <w:nsid w:val="000000C9"/>
    <w:multiLevelType w:val="multilevel"/>
    <w:tmpl w:val="000000C9"/>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1">
    <w:nsid w:val="000000CA"/>
    <w:multiLevelType w:val="multilevel"/>
    <w:tmpl w:val="000000CA"/>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2">
    <w:nsid w:val="000000CB"/>
    <w:multiLevelType w:val="multilevel"/>
    <w:tmpl w:val="000000CB"/>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3">
    <w:nsid w:val="000000CC"/>
    <w:multiLevelType w:val="multilevel"/>
    <w:tmpl w:val="000000CC"/>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4">
    <w:nsid w:val="000000CD"/>
    <w:multiLevelType w:val="multilevel"/>
    <w:tmpl w:val="000000CD"/>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5">
    <w:nsid w:val="000000CE"/>
    <w:multiLevelType w:val="multilevel"/>
    <w:tmpl w:val="000000CE"/>
    <w:lvl w:ilvl="0">
      <w:start w:val="8"/>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6">
    <w:nsid w:val="000000CF"/>
    <w:multiLevelType w:val="multilevel"/>
    <w:tmpl w:val="000000CF"/>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7">
    <w:nsid w:val="000000D0"/>
    <w:multiLevelType w:val="multilevel"/>
    <w:tmpl w:val="000000D0"/>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8">
    <w:nsid w:val="000000D1"/>
    <w:multiLevelType w:val="multilevel"/>
    <w:tmpl w:val="000000D1"/>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9">
    <w:nsid w:val="000000D2"/>
    <w:multiLevelType w:val="multilevel"/>
    <w:tmpl w:val="000000D2"/>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0">
    <w:nsid w:val="000000D3"/>
    <w:multiLevelType w:val="multilevel"/>
    <w:tmpl w:val="000000D3"/>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1">
    <w:nsid w:val="000000D4"/>
    <w:multiLevelType w:val="multilevel"/>
    <w:tmpl w:val="000000D4"/>
    <w:lvl w:ilvl="0">
      <w:start w:val="6"/>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2">
    <w:nsid w:val="000000D5"/>
    <w:multiLevelType w:val="multilevel"/>
    <w:tmpl w:val="000000D5"/>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3">
    <w:nsid w:val="000000D6"/>
    <w:multiLevelType w:val="multilevel"/>
    <w:tmpl w:val="000000D6"/>
    <w:lvl w:ilvl="0">
      <w:start w:val="1"/>
      <w:numFmt w:val="decimal"/>
      <w:lvlText w:val="1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4">
    <w:nsid w:val="000000D7"/>
    <w:multiLevelType w:val="multilevel"/>
    <w:tmpl w:val="000000D7"/>
    <w:lvl w:ilvl="0">
      <w:start w:val="1"/>
      <w:numFmt w:val="decimal"/>
      <w:lvlText w:val="1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5">
    <w:nsid w:val="000000D8"/>
    <w:multiLevelType w:val="multilevel"/>
    <w:tmpl w:val="000000D8"/>
    <w:lvl w:ilvl="0">
      <w:start w:val="1"/>
      <w:numFmt w:val="decimal"/>
      <w:lvlText w:val="11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6">
    <w:nsid w:val="000000D9"/>
    <w:multiLevelType w:val="multilevel"/>
    <w:tmpl w:val="000000D9"/>
    <w:lvl w:ilvl="0">
      <w:start w:val="1"/>
      <w:numFmt w:val="decimal"/>
      <w:lvlText w:val="11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7">
    <w:nsid w:val="000000DA"/>
    <w:multiLevelType w:val="multilevel"/>
    <w:tmpl w:val="000000DA"/>
    <w:lvl w:ilvl="0">
      <w:start w:val="1"/>
      <w:numFmt w:val="decimal"/>
      <w:lvlText w:val="11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8">
    <w:nsid w:val="000000DB"/>
    <w:multiLevelType w:val="multilevel"/>
    <w:tmpl w:val="000000DB"/>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9">
    <w:nsid w:val="000000DC"/>
    <w:multiLevelType w:val="multilevel"/>
    <w:tmpl w:val="000000DC"/>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0">
    <w:nsid w:val="000000DD"/>
    <w:multiLevelType w:val="multilevel"/>
    <w:tmpl w:val="000000DD"/>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1">
    <w:nsid w:val="000000DE"/>
    <w:multiLevelType w:val="multilevel"/>
    <w:tmpl w:val="000000DE"/>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2">
    <w:nsid w:val="000000DF"/>
    <w:multiLevelType w:val="multilevel"/>
    <w:tmpl w:val="000000DF"/>
    <w:lvl w:ilvl="0">
      <w:start w:val="5"/>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3">
    <w:nsid w:val="000000E0"/>
    <w:multiLevelType w:val="multilevel"/>
    <w:tmpl w:val="000000E0"/>
    <w:lvl w:ilvl="0">
      <w:start w:val="6"/>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4">
    <w:nsid w:val="000000E1"/>
    <w:multiLevelType w:val="multilevel"/>
    <w:tmpl w:val="000000E1"/>
    <w:lvl w:ilvl="0">
      <w:start w:val="7"/>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5">
    <w:nsid w:val="000000E2"/>
    <w:multiLevelType w:val="multilevel"/>
    <w:tmpl w:val="000000E2"/>
    <w:lvl w:ilvl="0">
      <w:start w:val="8"/>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6">
    <w:nsid w:val="000000E3"/>
    <w:multiLevelType w:val="multilevel"/>
    <w:tmpl w:val="000000E3"/>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7">
    <w:nsid w:val="000000E4"/>
    <w:multiLevelType w:val="multilevel"/>
    <w:tmpl w:val="000000E4"/>
    <w:lvl w:ilvl="0">
      <w:start w:val="10"/>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8">
    <w:nsid w:val="000000E5"/>
    <w:multiLevelType w:val="multilevel"/>
    <w:tmpl w:val="000000E5"/>
    <w:lvl w:ilvl="0">
      <w:start w:val="1"/>
      <w:numFmt w:val="decimal"/>
      <w:lvlText w:val=" %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9">
    <w:nsid w:val="000000E6"/>
    <w:multiLevelType w:val="multilevel"/>
    <w:tmpl w:val="000000E6"/>
    <w:lvl w:ilvl="0">
      <w:start w:val="2"/>
      <w:numFmt w:val="decimal"/>
      <w:lvlText w:val=" %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0">
    <w:nsid w:val="000000E7"/>
    <w:multiLevelType w:val="multilevel"/>
    <w:tmpl w:val="000000E7"/>
    <w:lvl w:ilvl="0">
      <w:start w:val="1"/>
      <w:numFmt w:val="decimal"/>
      <w:lvlText w:val="8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1">
    <w:nsid w:val="000000E8"/>
    <w:multiLevelType w:val="multilevel"/>
    <w:tmpl w:val="000000E8"/>
    <w:lvl w:ilvl="0">
      <w:start w:val="1"/>
      <w:numFmt w:val="decimal"/>
      <w:lvlText w:val="9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2">
    <w:nsid w:val="000000E9"/>
    <w:multiLevelType w:val="multilevel"/>
    <w:tmpl w:val="000000E9"/>
    <w:lvl w:ilvl="0">
      <w:start w:val="1"/>
      <w:numFmt w:val="decimal"/>
      <w:lvlText w:val="9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3">
    <w:nsid w:val="000000EA"/>
    <w:multiLevelType w:val="multilevel"/>
    <w:tmpl w:val="000000EA"/>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4">
    <w:nsid w:val="000000EB"/>
    <w:multiLevelType w:val="multilevel"/>
    <w:tmpl w:val="000000EB"/>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5">
    <w:nsid w:val="000000EC"/>
    <w:multiLevelType w:val="multilevel"/>
    <w:tmpl w:val="000000EC"/>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6">
    <w:nsid w:val="000000ED"/>
    <w:multiLevelType w:val="multilevel"/>
    <w:tmpl w:val="000000ED"/>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7">
    <w:nsid w:val="000000EE"/>
    <w:multiLevelType w:val="multilevel"/>
    <w:tmpl w:val="000000EE"/>
    <w:lvl w:ilvl="0">
      <w:start w:val="5"/>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8">
    <w:nsid w:val="000000EF"/>
    <w:multiLevelType w:val="multilevel"/>
    <w:tmpl w:val="000000EF"/>
    <w:lvl w:ilvl="0">
      <w:start w:val="6"/>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9">
    <w:nsid w:val="000000F0"/>
    <w:multiLevelType w:val="multilevel"/>
    <w:tmpl w:val="000000F0"/>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0">
    <w:nsid w:val="000000F1"/>
    <w:multiLevelType w:val="multilevel"/>
    <w:tmpl w:val="000000F1"/>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1">
    <w:nsid w:val="000000F2"/>
    <w:multiLevelType w:val="multilevel"/>
    <w:tmpl w:val="000000F2"/>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2">
    <w:nsid w:val="000000F3"/>
    <w:multiLevelType w:val="multilevel"/>
    <w:tmpl w:val="000000F3"/>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3">
    <w:nsid w:val="000000F4"/>
    <w:multiLevelType w:val="multilevel"/>
    <w:tmpl w:val="000000F4"/>
    <w:lvl w:ilvl="0">
      <w:start w:val="1"/>
      <w:numFmt w:val="decimal"/>
      <w:lvlText w:val=" %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4">
    <w:nsid w:val="000000F5"/>
    <w:multiLevelType w:val="multilevel"/>
    <w:tmpl w:val="000000F5"/>
    <w:lvl w:ilvl="0">
      <w:start w:val="2"/>
      <w:numFmt w:val="decimal"/>
      <w:lvlText w:val=" %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5">
    <w:nsid w:val="000000F6"/>
    <w:multiLevelType w:val="multilevel"/>
    <w:tmpl w:val="000000F6"/>
    <w:lvl w:ilvl="0">
      <w:start w:val="3"/>
      <w:numFmt w:val="decimal"/>
      <w:lvlText w:val=" %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6">
    <w:nsid w:val="000000F7"/>
    <w:multiLevelType w:val="multilevel"/>
    <w:tmpl w:val="000000F7"/>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7">
    <w:nsid w:val="000000F8"/>
    <w:multiLevelType w:val="multilevel"/>
    <w:tmpl w:val="000000F8"/>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8">
    <w:nsid w:val="000000F9"/>
    <w:multiLevelType w:val="multilevel"/>
    <w:tmpl w:val="000000F9"/>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9">
    <w:nsid w:val="000000FA"/>
    <w:multiLevelType w:val="multilevel"/>
    <w:tmpl w:val="000000FA"/>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0">
    <w:nsid w:val="000000FB"/>
    <w:multiLevelType w:val="multilevel"/>
    <w:tmpl w:val="000000FB"/>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1">
    <w:nsid w:val="000000FC"/>
    <w:multiLevelType w:val="multilevel"/>
    <w:tmpl w:val="000000FC"/>
    <w:lvl w:ilvl="0">
      <w:start w:val="4"/>
      <w:numFmt w:val="decimal"/>
      <w:lvlText w:val=" %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2">
    <w:nsid w:val="000000FD"/>
    <w:multiLevelType w:val="multilevel"/>
    <w:tmpl w:val="000000FD"/>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3">
    <w:nsid w:val="000000FE"/>
    <w:multiLevelType w:val="multilevel"/>
    <w:tmpl w:val="000000FE"/>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4">
    <w:nsid w:val="000000FF"/>
    <w:multiLevelType w:val="multilevel"/>
    <w:tmpl w:val="000000FF"/>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5">
    <w:nsid w:val="00000100"/>
    <w:multiLevelType w:val="multilevel"/>
    <w:tmpl w:val="00000100"/>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6">
    <w:nsid w:val="00000101"/>
    <w:multiLevelType w:val="multilevel"/>
    <w:tmpl w:val="00000101"/>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7">
    <w:nsid w:val="00000102"/>
    <w:multiLevelType w:val="multilevel"/>
    <w:tmpl w:val="00000102"/>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8">
    <w:nsid w:val="00000103"/>
    <w:multiLevelType w:val="multilevel"/>
    <w:tmpl w:val="00000103"/>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9">
    <w:nsid w:val="00000104"/>
    <w:multiLevelType w:val="multilevel"/>
    <w:tmpl w:val="00000104"/>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0">
    <w:nsid w:val="00000105"/>
    <w:multiLevelType w:val="multilevel"/>
    <w:tmpl w:val="00000105"/>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1">
    <w:nsid w:val="00000106"/>
    <w:multiLevelType w:val="multilevel"/>
    <w:tmpl w:val="00000106"/>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2">
    <w:nsid w:val="00000107"/>
    <w:multiLevelType w:val="multilevel"/>
    <w:tmpl w:val="00000107"/>
    <w:lvl w:ilvl="0">
      <w:start w:val="6"/>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3">
    <w:nsid w:val="00000108"/>
    <w:multiLevelType w:val="multilevel"/>
    <w:tmpl w:val="00000108"/>
    <w:lvl w:ilvl="0">
      <w:start w:val="1"/>
      <w:numFmt w:val="decimal"/>
      <w:lvlText w:val=" %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4">
    <w:nsid w:val="00000109"/>
    <w:multiLevelType w:val="multilevel"/>
    <w:tmpl w:val="00000109"/>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5">
    <w:nsid w:val="0000010A"/>
    <w:multiLevelType w:val="multilevel"/>
    <w:tmpl w:val="0000010A"/>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6">
    <w:nsid w:val="0000010B"/>
    <w:multiLevelType w:val="multilevel"/>
    <w:tmpl w:val="0000010B"/>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7">
    <w:nsid w:val="0000010C"/>
    <w:multiLevelType w:val="multilevel"/>
    <w:tmpl w:val="0000010C"/>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8">
    <w:nsid w:val="0000010D"/>
    <w:multiLevelType w:val="multilevel"/>
    <w:tmpl w:val="0000010D"/>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9">
    <w:nsid w:val="0000010E"/>
    <w:multiLevelType w:val="multilevel"/>
    <w:tmpl w:val="0000010E"/>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0">
    <w:nsid w:val="0000010F"/>
    <w:multiLevelType w:val="multilevel"/>
    <w:tmpl w:val="0000010F"/>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1">
    <w:nsid w:val="00000110"/>
    <w:multiLevelType w:val="multilevel"/>
    <w:tmpl w:val="00000110"/>
    <w:lvl w:ilvl="0">
      <w:start w:val="2"/>
      <w:numFmt w:val="decimal"/>
      <w:lvlText w:val=" %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2">
    <w:nsid w:val="00000111"/>
    <w:multiLevelType w:val="multilevel"/>
    <w:tmpl w:val="00000111"/>
    <w:lvl w:ilvl="0">
      <w:start w:val="3"/>
      <w:numFmt w:val="decimal"/>
      <w:lvlText w:val=" %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3">
    <w:nsid w:val="00000112"/>
    <w:multiLevelType w:val="multilevel"/>
    <w:tmpl w:val="00000112"/>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4">
    <w:nsid w:val="00000113"/>
    <w:multiLevelType w:val="multilevel"/>
    <w:tmpl w:val="00000113"/>
    <w:lvl w:ilvl="0">
      <w:start w:val="2"/>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5">
    <w:nsid w:val="00000114"/>
    <w:multiLevelType w:val="multilevel"/>
    <w:tmpl w:val="00000114"/>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6">
    <w:nsid w:val="00000115"/>
    <w:multiLevelType w:val="multilevel"/>
    <w:tmpl w:val="00000115"/>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7">
    <w:nsid w:val="00000116"/>
    <w:multiLevelType w:val="multilevel"/>
    <w:tmpl w:val="00000116"/>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8">
    <w:nsid w:val="00000117"/>
    <w:multiLevelType w:val="multilevel"/>
    <w:tmpl w:val="00000117"/>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9">
    <w:nsid w:val="00000118"/>
    <w:multiLevelType w:val="multilevel"/>
    <w:tmpl w:val="00000118"/>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0">
    <w:nsid w:val="00000119"/>
    <w:multiLevelType w:val="multilevel"/>
    <w:tmpl w:val="00000119"/>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1">
    <w:nsid w:val="0000011A"/>
    <w:multiLevelType w:val="multilevel"/>
    <w:tmpl w:val="0000011A"/>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2">
    <w:nsid w:val="0000011B"/>
    <w:multiLevelType w:val="multilevel"/>
    <w:tmpl w:val="0000011B"/>
    <w:lvl w:ilvl="0">
      <w:start w:val="4"/>
      <w:numFmt w:val="decimal"/>
      <w:lvlText w:val=" %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3">
    <w:nsid w:val="0000011C"/>
    <w:multiLevelType w:val="multilevel"/>
    <w:tmpl w:val="0000011C"/>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4">
    <w:nsid w:val="0000011D"/>
    <w:multiLevelType w:val="multilevel"/>
    <w:tmpl w:val="0000011D"/>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5">
    <w:nsid w:val="0000011E"/>
    <w:multiLevelType w:val="multilevel"/>
    <w:tmpl w:val="0000011E"/>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6">
    <w:nsid w:val="0000011F"/>
    <w:multiLevelType w:val="multilevel"/>
    <w:tmpl w:val="0000011F"/>
    <w:lvl w:ilvl="0">
      <w:start w:val="1"/>
      <w:numFmt w:val="lowerLetter"/>
      <w:lvlText w:val=" %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7">
    <w:nsid w:val="00000120"/>
    <w:multiLevelType w:val="multilevel"/>
    <w:tmpl w:val="00000120"/>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8">
    <w:nsid w:val="00000121"/>
    <w:multiLevelType w:val="multilevel"/>
    <w:tmpl w:val="00000121"/>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9">
    <w:nsid w:val="00000122"/>
    <w:multiLevelType w:val="multilevel"/>
    <w:tmpl w:val="00000122"/>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0">
    <w:nsid w:val="00000123"/>
    <w:multiLevelType w:val="multilevel"/>
    <w:tmpl w:val="00000123"/>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1">
    <w:nsid w:val="00000124"/>
    <w:multiLevelType w:val="multilevel"/>
    <w:tmpl w:val="00000124"/>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2">
    <w:nsid w:val="00000125"/>
    <w:multiLevelType w:val="multilevel"/>
    <w:tmpl w:val="00000125"/>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3">
    <w:nsid w:val="00000126"/>
    <w:multiLevelType w:val="multilevel"/>
    <w:tmpl w:val="00000126"/>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4">
    <w:nsid w:val="00000127"/>
    <w:multiLevelType w:val="multilevel"/>
    <w:tmpl w:val="00000127"/>
    <w:lvl w:ilvl="0">
      <w:start w:val="8"/>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5">
    <w:nsid w:val="00000128"/>
    <w:multiLevelType w:val="multilevel"/>
    <w:tmpl w:val="00000128"/>
    <w:lvl w:ilvl="0">
      <w:start w:val="9"/>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6">
    <w:nsid w:val="00000129"/>
    <w:multiLevelType w:val="multilevel"/>
    <w:tmpl w:val="00000129"/>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7">
    <w:nsid w:val="0000012A"/>
    <w:multiLevelType w:val="multilevel"/>
    <w:tmpl w:val="0000012A"/>
    <w:lvl w:ilvl="0">
      <w:start w:val="1"/>
      <w:numFmt w:val="decimal"/>
      <w:lvlText w:val="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8">
    <w:nsid w:val="0000012B"/>
    <w:multiLevelType w:val="multilevel"/>
    <w:tmpl w:val="0000012B"/>
    <w:lvl w:ilvl="0">
      <w:start w:val="2"/>
      <w:numFmt w:val="lowerLetter"/>
      <w:lvlText w:val=" %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9">
    <w:nsid w:val="0000012C"/>
    <w:multiLevelType w:val="multilevel"/>
    <w:tmpl w:val="0000012C"/>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0">
    <w:nsid w:val="0000012D"/>
    <w:multiLevelType w:val="multilevel"/>
    <w:tmpl w:val="0000012D"/>
    <w:lvl w:ilvl="0">
      <w:start w:val="2"/>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1">
    <w:nsid w:val="0000012E"/>
    <w:multiLevelType w:val="multilevel"/>
    <w:tmpl w:val="0000012E"/>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2">
    <w:nsid w:val="0000012F"/>
    <w:multiLevelType w:val="multilevel"/>
    <w:tmpl w:val="0000012F"/>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3">
    <w:nsid w:val="00000130"/>
    <w:multiLevelType w:val="multilevel"/>
    <w:tmpl w:val="00000130"/>
    <w:lvl w:ilvl="0">
      <w:start w:val="3"/>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4">
    <w:nsid w:val="00000131"/>
    <w:multiLevelType w:val="multilevel"/>
    <w:tmpl w:val="00000131"/>
    <w:lvl w:ilvl="0">
      <w:start w:val="4"/>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5">
    <w:nsid w:val="00000132"/>
    <w:multiLevelType w:val="multilevel"/>
    <w:tmpl w:val="00000132"/>
    <w:lvl w:ilvl="0">
      <w:start w:val="5"/>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6">
    <w:nsid w:val="00000133"/>
    <w:multiLevelType w:val="multilevel"/>
    <w:tmpl w:val="00000133"/>
    <w:lvl w:ilvl="0">
      <w:start w:val="6"/>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7">
    <w:nsid w:val="00000134"/>
    <w:multiLevelType w:val="multilevel"/>
    <w:tmpl w:val="00000134"/>
    <w:lvl w:ilvl="0">
      <w:start w:val="7"/>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8">
    <w:nsid w:val="00000135"/>
    <w:multiLevelType w:val="multilevel"/>
    <w:tmpl w:val="00000135"/>
    <w:lvl w:ilvl="0">
      <w:start w:val="8"/>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9">
    <w:nsid w:val="00000136"/>
    <w:multiLevelType w:val="multilevel"/>
    <w:tmpl w:val="00000136"/>
    <w:lvl w:ilvl="0">
      <w:start w:val="1"/>
      <w:numFmt w:val="lowerRoman"/>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0">
    <w:nsid w:val="00000137"/>
    <w:multiLevelType w:val="multilevel"/>
    <w:tmpl w:val="00000137"/>
    <w:lvl w:ilvl="0">
      <w:start w:val="10"/>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1">
    <w:nsid w:val="00000138"/>
    <w:multiLevelType w:val="multilevel"/>
    <w:tmpl w:val="00000138"/>
    <w:lvl w:ilvl="0">
      <w:start w:val="1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2">
    <w:nsid w:val="00000139"/>
    <w:multiLevelType w:val="multilevel"/>
    <w:tmpl w:val="00000139"/>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3">
    <w:nsid w:val="0000013A"/>
    <w:multiLevelType w:val="multilevel"/>
    <w:tmpl w:val="0000013A"/>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4">
    <w:nsid w:val="0000013B"/>
    <w:multiLevelType w:val="multilevel"/>
    <w:tmpl w:val="0000013B"/>
    <w:lvl w:ilvl="0">
      <w:start w:val="3"/>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5">
    <w:nsid w:val="0000013C"/>
    <w:multiLevelType w:val="multilevel"/>
    <w:tmpl w:val="0000013C"/>
    <w:lvl w:ilvl="0">
      <w:start w:val="4"/>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6">
    <w:nsid w:val="0000013D"/>
    <w:multiLevelType w:val="multilevel"/>
    <w:tmpl w:val="0000013D"/>
    <w:lvl w:ilvl="0">
      <w:start w:val="5"/>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7">
    <w:nsid w:val="0000013E"/>
    <w:multiLevelType w:val="multilevel"/>
    <w:tmpl w:val="0000013E"/>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8">
    <w:nsid w:val="0000013F"/>
    <w:multiLevelType w:val="multilevel"/>
    <w:tmpl w:val="0000013F"/>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9">
    <w:nsid w:val="00000140"/>
    <w:multiLevelType w:val="multilevel"/>
    <w:tmpl w:val="00000140"/>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0">
    <w:nsid w:val="00000141"/>
    <w:multiLevelType w:val="multilevel"/>
    <w:tmpl w:val="00000141"/>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1">
    <w:nsid w:val="00000142"/>
    <w:multiLevelType w:val="multilevel"/>
    <w:tmpl w:val="00000142"/>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2">
    <w:nsid w:val="00000143"/>
    <w:multiLevelType w:val="multilevel"/>
    <w:tmpl w:val="00000143"/>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3">
    <w:nsid w:val="00000144"/>
    <w:multiLevelType w:val="multilevel"/>
    <w:tmpl w:val="00000144"/>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4">
    <w:nsid w:val="00000145"/>
    <w:multiLevelType w:val="multilevel"/>
    <w:tmpl w:val="00000145"/>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5">
    <w:nsid w:val="00000146"/>
    <w:multiLevelType w:val="multilevel"/>
    <w:tmpl w:val="00000146"/>
    <w:lvl w:ilvl="0">
      <w:start w:val="8"/>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6">
    <w:nsid w:val="00000147"/>
    <w:multiLevelType w:val="multilevel"/>
    <w:tmpl w:val="00000147"/>
    <w:lvl w:ilvl="0">
      <w:start w:val="1"/>
      <w:numFmt w:val="decimal"/>
      <w:lvlText w:val="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7">
    <w:nsid w:val="00000148"/>
    <w:multiLevelType w:val="multilevel"/>
    <w:tmpl w:val="00000148"/>
    <w:lvl w:ilvl="0">
      <w:start w:val="10"/>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8">
    <w:nsid w:val="00000149"/>
    <w:multiLevelType w:val="multilevel"/>
    <w:tmpl w:val="00000149"/>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9">
    <w:nsid w:val="0000014A"/>
    <w:multiLevelType w:val="multilevel"/>
    <w:tmpl w:val="0000014A"/>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0">
    <w:nsid w:val="0000014B"/>
    <w:multiLevelType w:val="multilevel"/>
    <w:tmpl w:val="0000014B"/>
    <w:lvl w:ilvl="0">
      <w:start w:val="1"/>
      <w:numFmt w:val="decimal"/>
      <w:lvlText w:val=" %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1">
    <w:nsid w:val="0000014C"/>
    <w:multiLevelType w:val="multilevel"/>
    <w:tmpl w:val="0000014C"/>
    <w:lvl w:ilvl="0">
      <w:start w:val="2"/>
      <w:numFmt w:val="decimal"/>
      <w:lvlText w:val=" %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2">
    <w:nsid w:val="0000014D"/>
    <w:multiLevelType w:val="multilevel"/>
    <w:tmpl w:val="0000014D"/>
    <w:lvl w:ilvl="0">
      <w:start w:val="3"/>
      <w:numFmt w:val="decimal"/>
      <w:lvlText w:val=" %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3">
    <w:nsid w:val="0000014E"/>
    <w:multiLevelType w:val="multilevel"/>
    <w:tmpl w:val="0000014E"/>
    <w:lvl w:ilvl="0">
      <w:start w:val="4"/>
      <w:numFmt w:val="decimal"/>
      <w:lvlText w:val=" %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4">
    <w:nsid w:val="0000014F"/>
    <w:multiLevelType w:val="multilevel"/>
    <w:tmpl w:val="0000014F"/>
    <w:lvl w:ilvl="0">
      <w:start w:val="5"/>
      <w:numFmt w:val="decimal"/>
      <w:lvlText w:val=" %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5">
    <w:nsid w:val="00000150"/>
    <w:multiLevelType w:val="multilevel"/>
    <w:tmpl w:val="00000150"/>
    <w:lvl w:ilvl="0">
      <w:start w:val="6"/>
      <w:numFmt w:val="decimal"/>
      <w:lvlText w:val=" %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6">
    <w:nsid w:val="00000151"/>
    <w:multiLevelType w:val="multilevel"/>
    <w:tmpl w:val="0000015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7">
    <w:nsid w:val="00000152"/>
    <w:multiLevelType w:val="multilevel"/>
    <w:tmpl w:val="00000152"/>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8">
    <w:nsid w:val="00000153"/>
    <w:multiLevelType w:val="multilevel"/>
    <w:tmpl w:val="00000153"/>
    <w:lvl w:ilvl="0">
      <w:start w:val="1"/>
      <w:numFmt w:val="lowerLetter"/>
      <w:lvlText w:val=" %1)"/>
      <w:lvlJc w:val="left"/>
      <w:pPr>
        <w:tabs>
          <w:tab w:val="num" w:pos="1120"/>
        </w:tabs>
        <w:ind w:left="112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9">
    <w:nsid w:val="00000154"/>
    <w:multiLevelType w:val="multilevel"/>
    <w:tmpl w:val="00000154"/>
    <w:lvl w:ilvl="0">
      <w:start w:val="2"/>
      <w:numFmt w:val="lowerLetter"/>
      <w:lvlText w:val=" %1)"/>
      <w:lvlJc w:val="left"/>
      <w:pPr>
        <w:tabs>
          <w:tab w:val="num" w:pos="1120"/>
        </w:tabs>
        <w:ind w:left="112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0">
    <w:nsid w:val="00000155"/>
    <w:multiLevelType w:val="multilevel"/>
    <w:tmpl w:val="00000155"/>
    <w:lvl w:ilvl="0">
      <w:start w:val="3"/>
      <w:numFmt w:val="lowerLetter"/>
      <w:lvlText w:val=" %1)"/>
      <w:lvlJc w:val="left"/>
      <w:pPr>
        <w:tabs>
          <w:tab w:val="num" w:pos="1120"/>
        </w:tabs>
        <w:ind w:left="112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1">
    <w:nsid w:val="00000156"/>
    <w:multiLevelType w:val="multilevel"/>
    <w:tmpl w:val="00000156"/>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2">
    <w:nsid w:val="00000157"/>
    <w:multiLevelType w:val="multilevel"/>
    <w:tmpl w:val="00000157"/>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3">
    <w:nsid w:val="00000158"/>
    <w:multiLevelType w:val="multilevel"/>
    <w:tmpl w:val="00000158"/>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4">
    <w:nsid w:val="00000159"/>
    <w:multiLevelType w:val="multilevel"/>
    <w:tmpl w:val="00000159"/>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5">
    <w:nsid w:val="0000015A"/>
    <w:multiLevelType w:val="multilevel"/>
    <w:tmpl w:val="0000015A"/>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6">
    <w:nsid w:val="0000015B"/>
    <w:multiLevelType w:val="multilevel"/>
    <w:tmpl w:val="0000015B"/>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7">
    <w:nsid w:val="0000015C"/>
    <w:multiLevelType w:val="multilevel"/>
    <w:tmpl w:val="0000015C"/>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8">
    <w:nsid w:val="0000015D"/>
    <w:multiLevelType w:val="multilevel"/>
    <w:tmpl w:val="0000015D"/>
    <w:lvl w:ilvl="0">
      <w:start w:val="1"/>
      <w:numFmt w:val="decimal"/>
      <w:lvlText w:val=" %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9">
    <w:nsid w:val="0000015E"/>
    <w:multiLevelType w:val="multilevel"/>
    <w:tmpl w:val="0000015E"/>
    <w:lvl w:ilvl="0">
      <w:start w:val="2"/>
      <w:numFmt w:val="decimal"/>
      <w:lvlText w:val=" %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0">
    <w:nsid w:val="0000015F"/>
    <w:multiLevelType w:val="multilevel"/>
    <w:tmpl w:val="0000015F"/>
    <w:lvl w:ilvl="0">
      <w:start w:val="3"/>
      <w:numFmt w:val="decimal"/>
      <w:lvlText w:val=" %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1">
    <w:nsid w:val="00000160"/>
    <w:multiLevelType w:val="multilevel"/>
    <w:tmpl w:val="00000160"/>
    <w:lvl w:ilvl="0">
      <w:start w:val="4"/>
      <w:numFmt w:val="decimal"/>
      <w:lvlText w:val=" %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2">
    <w:nsid w:val="00000161"/>
    <w:multiLevelType w:val="multilevel"/>
    <w:tmpl w:val="0000016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3">
    <w:nsid w:val="00000162"/>
    <w:multiLevelType w:val="multilevel"/>
    <w:tmpl w:val="00000162"/>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4">
    <w:nsid w:val="00000163"/>
    <w:multiLevelType w:val="multilevel"/>
    <w:tmpl w:val="00000163"/>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5">
    <w:nsid w:val="00000164"/>
    <w:multiLevelType w:val="multilevel"/>
    <w:tmpl w:val="00000164"/>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6">
    <w:nsid w:val="00000165"/>
    <w:multiLevelType w:val="multilevel"/>
    <w:tmpl w:val="00000165"/>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7">
    <w:nsid w:val="00000166"/>
    <w:multiLevelType w:val="multilevel"/>
    <w:tmpl w:val="00000166"/>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8">
    <w:nsid w:val="00000167"/>
    <w:multiLevelType w:val="multilevel"/>
    <w:tmpl w:val="00000167"/>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9">
    <w:nsid w:val="00000168"/>
    <w:multiLevelType w:val="multilevel"/>
    <w:tmpl w:val="00000168"/>
    <w:lvl w:ilvl="0">
      <w:start w:val="6"/>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0">
    <w:nsid w:val="00000169"/>
    <w:multiLevelType w:val="multilevel"/>
    <w:tmpl w:val="00000169"/>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1">
    <w:nsid w:val="0199E94E"/>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2">
    <w:nsid w:val="05DEEC92"/>
    <w:multiLevelType w:val="multilevel"/>
    <w:tmpl w:val="00000001"/>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3">
    <w:nsid w:val="0635B7B7"/>
    <w:multiLevelType w:val="multilevel"/>
    <w:tmpl w:val="00000001"/>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4">
    <w:nsid w:val="072CEEEC"/>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5">
    <w:nsid w:val="0936DC6C"/>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6">
    <w:nsid w:val="0A13F8C0"/>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7">
    <w:nsid w:val="0AE81294"/>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8">
    <w:nsid w:val="0F0B8F38"/>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9">
    <w:nsid w:val="0F7A25A6"/>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0">
    <w:nsid w:val="108AD9CB"/>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1">
    <w:nsid w:val="1A348036"/>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2">
    <w:nsid w:val="1B8D26AC"/>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3">
    <w:nsid w:val="1DAA465A"/>
    <w:multiLevelType w:val="multilevel"/>
    <w:tmpl w:val="00000001"/>
    <w:lvl w:ilvl="0">
      <w:start w:val="6"/>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4">
    <w:nsid w:val="209BC809"/>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5">
    <w:nsid w:val="22DC1AF3"/>
    <w:multiLevelType w:val="multilevel"/>
    <w:tmpl w:val="00000001"/>
    <w:lvl w:ilvl="0">
      <w:start w:val="1"/>
      <w:numFmt w:val="lowerRoman"/>
      <w:lvlText w:val="(%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6">
    <w:nsid w:val="241EEFED"/>
    <w:multiLevelType w:val="multilevel"/>
    <w:tmpl w:val="00000001"/>
    <w:lvl w:ilvl="0">
      <w:start w:val="1"/>
      <w:numFmt w:val="decimal"/>
      <w:lvlText w:val="1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7">
    <w:nsid w:val="278F661B"/>
    <w:multiLevelType w:val="multilevel"/>
    <w:tmpl w:val="00000001"/>
    <w:lvl w:ilvl="0">
      <w:start w:val="5"/>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8">
    <w:nsid w:val="2A23E920"/>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9">
    <w:nsid w:val="2D828602"/>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0">
    <w:nsid w:val="2DDE8B4C"/>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1">
    <w:nsid w:val="2ECA414E"/>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2">
    <w:nsid w:val="2FAA0E02"/>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3">
    <w:nsid w:val="360BD9E4"/>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4">
    <w:nsid w:val="36F3E0BA"/>
    <w:multiLevelType w:val="multilevel"/>
    <w:tmpl w:val="00000001"/>
    <w:lvl w:ilvl="0">
      <w:start w:val="1"/>
      <w:numFmt w:val="decimal"/>
      <w:lvlText w:val="144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5">
    <w:nsid w:val="3D108F56"/>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6">
    <w:nsid w:val="3DCEA066"/>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7">
    <w:nsid w:val="415ADB87"/>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8">
    <w:nsid w:val="434CDF87"/>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9">
    <w:nsid w:val="45167FE7"/>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0">
    <w:nsid w:val="4A869524"/>
    <w:multiLevelType w:val="multilevel"/>
    <w:tmpl w:val="00000001"/>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1">
    <w:nsid w:val="50A121F2"/>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2">
    <w:nsid w:val="5A9CF185"/>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3">
    <w:nsid w:val="5F6E197C"/>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4">
    <w:nsid w:val="6C2EB4A7"/>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5">
    <w:nsid w:val="6C6CBA4E"/>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6">
    <w:nsid w:val="6E8BA8A8"/>
    <w:multiLevelType w:val="multilevel"/>
    <w:tmpl w:val="00000001"/>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7">
    <w:nsid w:val="71F26A66"/>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8">
    <w:nsid w:val="74144F34"/>
    <w:multiLevelType w:val="multilevel"/>
    <w:tmpl w:val="00000001"/>
    <w:lvl w:ilvl="0">
      <w:start w:val="1"/>
      <w:numFmt w:val="decimal"/>
      <w:lvlText w:val="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9">
    <w:nsid w:val="7711B4ED"/>
    <w:multiLevelType w:val="multilevel"/>
    <w:tmpl w:val="00000001"/>
    <w:lvl w:ilvl="0">
      <w:start w:val="1"/>
      <w:numFmt w:val="decim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0">
    <w:nsid w:val="78AC1C18"/>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1">
    <w:nsid w:val="7958195E"/>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2">
    <w:nsid w:val="7AC32ABD"/>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3">
    <w:nsid w:val="7D409DAE"/>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4">
    <w:nsid w:val="7EA72EB6"/>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5">
    <w:nsid w:val="7EF49A60"/>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367"/>
  </w:num>
  <w:num w:numId="168">
    <w:abstractNumId w:val="369"/>
  </w:num>
  <w:num w:numId="169">
    <w:abstractNumId w:val="373"/>
  </w:num>
  <w:num w:numId="170">
    <w:abstractNumId w:val="374"/>
  </w:num>
  <w:num w:numId="171">
    <w:abstractNumId w:val="383"/>
  </w:num>
  <w:num w:numId="172">
    <w:abstractNumId w:val="395"/>
  </w:num>
  <w:num w:numId="173">
    <w:abstractNumId w:val="382"/>
  </w:num>
  <w:num w:numId="174">
    <w:abstractNumId w:val="401"/>
  </w:num>
  <w:num w:numId="175">
    <w:abstractNumId w:val="399"/>
  </w:num>
  <w:num w:numId="176">
    <w:abstractNumId w:val="362"/>
  </w:num>
  <w:num w:numId="177">
    <w:abstractNumId w:val="385"/>
  </w:num>
  <w:num w:numId="178">
    <w:abstractNumId w:val="393"/>
  </w:num>
  <w:num w:numId="179">
    <w:abstractNumId w:val="390"/>
  </w:num>
  <w:num w:numId="180">
    <w:abstractNumId w:val="370"/>
  </w:num>
  <w:num w:numId="181">
    <w:abstractNumId w:val="377"/>
  </w:num>
  <w:num w:numId="182">
    <w:abstractNumId w:val="398"/>
  </w:num>
  <w:num w:numId="183">
    <w:abstractNumId w:val="387"/>
  </w:num>
  <w:num w:numId="184">
    <w:abstractNumId w:val="403"/>
  </w:num>
  <w:num w:numId="185">
    <w:abstractNumId w:val="378"/>
  </w:num>
  <w:num w:numId="186">
    <w:abstractNumId w:val="394"/>
  </w:num>
  <w:num w:numId="187">
    <w:abstractNumId w:val="364"/>
  </w:num>
  <w:num w:numId="188">
    <w:abstractNumId w:val="388"/>
  </w:num>
  <w:num w:numId="189">
    <w:abstractNumId w:val="389"/>
  </w:num>
  <w:num w:numId="190">
    <w:abstractNumId w:val="397"/>
  </w:num>
  <w:num w:numId="191">
    <w:abstractNumId w:val="392"/>
  </w:num>
  <w:num w:numId="192">
    <w:abstractNumId w:val="400"/>
  </w:num>
  <w:num w:numId="193">
    <w:abstractNumId w:val="375"/>
  </w:num>
  <w:num w:numId="194">
    <w:abstractNumId w:val="361"/>
  </w:num>
  <w:num w:numId="195">
    <w:abstractNumId w:val="365"/>
  </w:num>
  <w:num w:numId="196">
    <w:abstractNumId w:val="386"/>
  </w:num>
  <w:num w:numId="197">
    <w:abstractNumId w:val="371"/>
  </w:num>
  <w:num w:numId="198">
    <w:abstractNumId w:val="384"/>
  </w:num>
  <w:num w:numId="199">
    <w:abstractNumId w:val="380"/>
  </w:num>
  <w:num w:numId="200">
    <w:abstractNumId w:val="391"/>
  </w:num>
  <w:num w:numId="201">
    <w:abstractNumId w:val="379"/>
  </w:num>
  <w:num w:numId="202">
    <w:abstractNumId w:val="363"/>
  </w:num>
  <w:num w:numId="203">
    <w:abstractNumId w:val="396"/>
  </w:num>
  <w:num w:numId="204">
    <w:abstractNumId w:val="405"/>
  </w:num>
  <w:num w:numId="205">
    <w:abstractNumId w:val="366"/>
  </w:num>
  <w:num w:numId="206">
    <w:abstractNumId w:val="402"/>
  </w:num>
  <w:num w:numId="207">
    <w:abstractNumId w:val="368"/>
  </w:num>
  <w:num w:numId="208">
    <w:abstractNumId w:val="376"/>
  </w:num>
  <w:num w:numId="209">
    <w:abstractNumId w:val="372"/>
  </w:num>
  <w:num w:numId="210">
    <w:abstractNumId w:val="404"/>
  </w:num>
  <w:num w:numId="211">
    <w:abstractNumId w:val="166"/>
  </w:num>
  <w:num w:numId="212">
    <w:abstractNumId w:val="167"/>
  </w:num>
  <w:num w:numId="213">
    <w:abstractNumId w:val="168"/>
  </w:num>
  <w:num w:numId="214">
    <w:abstractNumId w:val="169"/>
  </w:num>
  <w:num w:numId="215">
    <w:abstractNumId w:val="170"/>
  </w:num>
  <w:num w:numId="216">
    <w:abstractNumId w:val="171"/>
  </w:num>
  <w:num w:numId="217">
    <w:abstractNumId w:val="172"/>
  </w:num>
  <w:num w:numId="218">
    <w:abstractNumId w:val="173"/>
  </w:num>
  <w:num w:numId="219">
    <w:abstractNumId w:val="174"/>
  </w:num>
  <w:num w:numId="220">
    <w:abstractNumId w:val="175"/>
  </w:num>
  <w:num w:numId="221">
    <w:abstractNumId w:val="176"/>
  </w:num>
  <w:num w:numId="222">
    <w:abstractNumId w:val="177"/>
  </w:num>
  <w:num w:numId="223">
    <w:abstractNumId w:val="178"/>
  </w:num>
  <w:num w:numId="224">
    <w:abstractNumId w:val="179"/>
  </w:num>
  <w:num w:numId="225">
    <w:abstractNumId w:val="180"/>
  </w:num>
  <w:num w:numId="226">
    <w:abstractNumId w:val="181"/>
  </w:num>
  <w:num w:numId="227">
    <w:abstractNumId w:val="182"/>
  </w:num>
  <w:num w:numId="228">
    <w:abstractNumId w:val="183"/>
  </w:num>
  <w:num w:numId="229">
    <w:abstractNumId w:val="184"/>
  </w:num>
  <w:num w:numId="230">
    <w:abstractNumId w:val="185"/>
  </w:num>
  <w:num w:numId="231">
    <w:abstractNumId w:val="186"/>
  </w:num>
  <w:num w:numId="232">
    <w:abstractNumId w:val="187"/>
  </w:num>
  <w:num w:numId="233">
    <w:abstractNumId w:val="188"/>
  </w:num>
  <w:num w:numId="234">
    <w:abstractNumId w:val="189"/>
  </w:num>
  <w:num w:numId="235">
    <w:abstractNumId w:val="190"/>
  </w:num>
  <w:num w:numId="236">
    <w:abstractNumId w:val="191"/>
  </w:num>
  <w:num w:numId="237">
    <w:abstractNumId w:val="192"/>
  </w:num>
  <w:num w:numId="238">
    <w:abstractNumId w:val="193"/>
  </w:num>
  <w:num w:numId="239">
    <w:abstractNumId w:val="194"/>
  </w:num>
  <w:num w:numId="240">
    <w:abstractNumId w:val="195"/>
  </w:num>
  <w:num w:numId="241">
    <w:abstractNumId w:val="196"/>
  </w:num>
  <w:num w:numId="242">
    <w:abstractNumId w:val="197"/>
  </w:num>
  <w:num w:numId="243">
    <w:abstractNumId w:val="198"/>
  </w:num>
  <w:num w:numId="244">
    <w:abstractNumId w:val="199"/>
  </w:num>
  <w:num w:numId="245">
    <w:abstractNumId w:val="200"/>
  </w:num>
  <w:num w:numId="246">
    <w:abstractNumId w:val="201"/>
  </w:num>
  <w:num w:numId="247">
    <w:abstractNumId w:val="202"/>
  </w:num>
  <w:num w:numId="248">
    <w:abstractNumId w:val="203"/>
  </w:num>
  <w:num w:numId="249">
    <w:abstractNumId w:val="204"/>
  </w:num>
  <w:num w:numId="250">
    <w:abstractNumId w:val="205"/>
  </w:num>
  <w:num w:numId="251">
    <w:abstractNumId w:val="206"/>
  </w:num>
  <w:num w:numId="252">
    <w:abstractNumId w:val="207"/>
  </w:num>
  <w:num w:numId="253">
    <w:abstractNumId w:val="208"/>
  </w:num>
  <w:num w:numId="254">
    <w:abstractNumId w:val="209"/>
  </w:num>
  <w:num w:numId="255">
    <w:abstractNumId w:val="210"/>
  </w:num>
  <w:num w:numId="256">
    <w:abstractNumId w:val="211"/>
  </w:num>
  <w:num w:numId="257">
    <w:abstractNumId w:val="212"/>
  </w:num>
  <w:num w:numId="258">
    <w:abstractNumId w:val="213"/>
  </w:num>
  <w:num w:numId="259">
    <w:abstractNumId w:val="214"/>
  </w:num>
  <w:num w:numId="260">
    <w:abstractNumId w:val="215"/>
  </w:num>
  <w:num w:numId="261">
    <w:abstractNumId w:val="216"/>
  </w:num>
  <w:num w:numId="262">
    <w:abstractNumId w:val="217"/>
  </w:num>
  <w:num w:numId="263">
    <w:abstractNumId w:val="218"/>
  </w:num>
  <w:num w:numId="264">
    <w:abstractNumId w:val="219"/>
  </w:num>
  <w:num w:numId="265">
    <w:abstractNumId w:val="220"/>
  </w:num>
  <w:num w:numId="266">
    <w:abstractNumId w:val="221"/>
  </w:num>
  <w:num w:numId="267">
    <w:abstractNumId w:val="222"/>
  </w:num>
  <w:num w:numId="268">
    <w:abstractNumId w:val="223"/>
  </w:num>
  <w:num w:numId="269">
    <w:abstractNumId w:val="224"/>
  </w:num>
  <w:num w:numId="270">
    <w:abstractNumId w:val="225"/>
  </w:num>
  <w:num w:numId="271">
    <w:abstractNumId w:val="226"/>
  </w:num>
  <w:num w:numId="272">
    <w:abstractNumId w:val="227"/>
  </w:num>
  <w:num w:numId="273">
    <w:abstractNumId w:val="228"/>
  </w:num>
  <w:num w:numId="274">
    <w:abstractNumId w:val="229"/>
  </w:num>
  <w:num w:numId="275">
    <w:abstractNumId w:val="230"/>
  </w:num>
  <w:num w:numId="276">
    <w:abstractNumId w:val="231"/>
  </w:num>
  <w:num w:numId="277">
    <w:abstractNumId w:val="232"/>
  </w:num>
  <w:num w:numId="278">
    <w:abstractNumId w:val="233"/>
  </w:num>
  <w:num w:numId="279">
    <w:abstractNumId w:val="234"/>
  </w:num>
  <w:num w:numId="280">
    <w:abstractNumId w:val="235"/>
  </w:num>
  <w:num w:numId="281">
    <w:abstractNumId w:val="236"/>
  </w:num>
  <w:num w:numId="282">
    <w:abstractNumId w:val="237"/>
  </w:num>
  <w:num w:numId="283">
    <w:abstractNumId w:val="238"/>
  </w:num>
  <w:num w:numId="284">
    <w:abstractNumId w:val="239"/>
  </w:num>
  <w:num w:numId="285">
    <w:abstractNumId w:val="240"/>
  </w:num>
  <w:num w:numId="286">
    <w:abstractNumId w:val="241"/>
  </w:num>
  <w:num w:numId="287">
    <w:abstractNumId w:val="242"/>
  </w:num>
  <w:num w:numId="288">
    <w:abstractNumId w:val="243"/>
  </w:num>
  <w:num w:numId="289">
    <w:abstractNumId w:val="244"/>
  </w:num>
  <w:num w:numId="290">
    <w:abstractNumId w:val="245"/>
  </w:num>
  <w:num w:numId="291">
    <w:abstractNumId w:val="246"/>
  </w:num>
  <w:num w:numId="292">
    <w:abstractNumId w:val="247"/>
  </w:num>
  <w:num w:numId="293">
    <w:abstractNumId w:val="248"/>
  </w:num>
  <w:num w:numId="294">
    <w:abstractNumId w:val="249"/>
  </w:num>
  <w:num w:numId="295">
    <w:abstractNumId w:val="250"/>
  </w:num>
  <w:num w:numId="296">
    <w:abstractNumId w:val="251"/>
  </w:num>
  <w:num w:numId="297">
    <w:abstractNumId w:val="252"/>
  </w:num>
  <w:num w:numId="298">
    <w:abstractNumId w:val="253"/>
  </w:num>
  <w:num w:numId="299">
    <w:abstractNumId w:val="254"/>
  </w:num>
  <w:num w:numId="300">
    <w:abstractNumId w:val="255"/>
  </w:num>
  <w:num w:numId="301">
    <w:abstractNumId w:val="256"/>
  </w:num>
  <w:num w:numId="302">
    <w:abstractNumId w:val="257"/>
  </w:num>
  <w:num w:numId="303">
    <w:abstractNumId w:val="258"/>
  </w:num>
  <w:num w:numId="304">
    <w:abstractNumId w:val="259"/>
  </w:num>
  <w:num w:numId="305">
    <w:abstractNumId w:val="260"/>
  </w:num>
  <w:num w:numId="306">
    <w:abstractNumId w:val="261"/>
  </w:num>
  <w:num w:numId="307">
    <w:abstractNumId w:val="262"/>
  </w:num>
  <w:num w:numId="308">
    <w:abstractNumId w:val="263"/>
  </w:num>
  <w:num w:numId="309">
    <w:abstractNumId w:val="264"/>
  </w:num>
  <w:num w:numId="310">
    <w:abstractNumId w:val="265"/>
  </w:num>
  <w:num w:numId="311">
    <w:abstractNumId w:val="266"/>
  </w:num>
  <w:num w:numId="312">
    <w:abstractNumId w:val="267"/>
  </w:num>
  <w:num w:numId="313">
    <w:abstractNumId w:val="268"/>
  </w:num>
  <w:num w:numId="314">
    <w:abstractNumId w:val="269"/>
  </w:num>
  <w:num w:numId="315">
    <w:abstractNumId w:val="270"/>
  </w:num>
  <w:num w:numId="316">
    <w:abstractNumId w:val="271"/>
  </w:num>
  <w:num w:numId="317">
    <w:abstractNumId w:val="272"/>
  </w:num>
  <w:num w:numId="318">
    <w:abstractNumId w:val="273"/>
  </w:num>
  <w:num w:numId="319">
    <w:abstractNumId w:val="274"/>
  </w:num>
  <w:num w:numId="320">
    <w:abstractNumId w:val="275"/>
  </w:num>
  <w:num w:numId="321">
    <w:abstractNumId w:val="276"/>
  </w:num>
  <w:num w:numId="322">
    <w:abstractNumId w:val="277"/>
  </w:num>
  <w:num w:numId="323">
    <w:abstractNumId w:val="278"/>
  </w:num>
  <w:num w:numId="324">
    <w:abstractNumId w:val="279"/>
  </w:num>
  <w:num w:numId="325">
    <w:abstractNumId w:val="280"/>
  </w:num>
  <w:num w:numId="326">
    <w:abstractNumId w:val="281"/>
  </w:num>
  <w:num w:numId="327">
    <w:abstractNumId w:val="282"/>
  </w:num>
  <w:num w:numId="328">
    <w:abstractNumId w:val="283"/>
  </w:num>
  <w:num w:numId="329">
    <w:abstractNumId w:val="284"/>
  </w:num>
  <w:num w:numId="330">
    <w:abstractNumId w:val="285"/>
  </w:num>
  <w:num w:numId="331">
    <w:abstractNumId w:val="286"/>
  </w:num>
  <w:num w:numId="332">
    <w:abstractNumId w:val="287"/>
  </w:num>
  <w:num w:numId="333">
    <w:abstractNumId w:val="288"/>
  </w:num>
  <w:num w:numId="334">
    <w:abstractNumId w:val="289"/>
  </w:num>
  <w:num w:numId="335">
    <w:abstractNumId w:val="290"/>
  </w:num>
  <w:num w:numId="336">
    <w:abstractNumId w:val="291"/>
  </w:num>
  <w:num w:numId="337">
    <w:abstractNumId w:val="292"/>
  </w:num>
  <w:num w:numId="338">
    <w:abstractNumId w:val="293"/>
  </w:num>
  <w:num w:numId="339">
    <w:abstractNumId w:val="294"/>
  </w:num>
  <w:num w:numId="340">
    <w:abstractNumId w:val="295"/>
  </w:num>
  <w:num w:numId="341">
    <w:abstractNumId w:val="296"/>
  </w:num>
  <w:num w:numId="342">
    <w:abstractNumId w:val="297"/>
  </w:num>
  <w:num w:numId="343">
    <w:abstractNumId w:val="298"/>
  </w:num>
  <w:num w:numId="344">
    <w:abstractNumId w:val="299"/>
  </w:num>
  <w:num w:numId="345">
    <w:abstractNumId w:val="300"/>
  </w:num>
  <w:num w:numId="346">
    <w:abstractNumId w:val="301"/>
  </w:num>
  <w:num w:numId="347">
    <w:abstractNumId w:val="302"/>
  </w:num>
  <w:num w:numId="348">
    <w:abstractNumId w:val="303"/>
  </w:num>
  <w:num w:numId="349">
    <w:abstractNumId w:val="304"/>
  </w:num>
  <w:num w:numId="350">
    <w:abstractNumId w:val="305"/>
  </w:num>
  <w:num w:numId="351">
    <w:abstractNumId w:val="306"/>
  </w:num>
  <w:num w:numId="352">
    <w:abstractNumId w:val="307"/>
  </w:num>
  <w:num w:numId="353">
    <w:abstractNumId w:val="308"/>
  </w:num>
  <w:num w:numId="354">
    <w:abstractNumId w:val="309"/>
  </w:num>
  <w:num w:numId="355">
    <w:abstractNumId w:val="310"/>
  </w:num>
  <w:num w:numId="356">
    <w:abstractNumId w:val="311"/>
  </w:num>
  <w:num w:numId="357">
    <w:abstractNumId w:val="312"/>
  </w:num>
  <w:num w:numId="358">
    <w:abstractNumId w:val="313"/>
  </w:num>
  <w:num w:numId="359">
    <w:abstractNumId w:val="314"/>
  </w:num>
  <w:num w:numId="360">
    <w:abstractNumId w:val="315"/>
  </w:num>
  <w:num w:numId="361">
    <w:abstractNumId w:val="316"/>
  </w:num>
  <w:num w:numId="362">
    <w:abstractNumId w:val="317"/>
  </w:num>
  <w:num w:numId="363">
    <w:abstractNumId w:val="318"/>
  </w:num>
  <w:num w:numId="364">
    <w:abstractNumId w:val="319"/>
  </w:num>
  <w:num w:numId="365">
    <w:abstractNumId w:val="320"/>
  </w:num>
  <w:num w:numId="366">
    <w:abstractNumId w:val="321"/>
  </w:num>
  <w:num w:numId="367">
    <w:abstractNumId w:val="322"/>
  </w:num>
  <w:num w:numId="368">
    <w:abstractNumId w:val="323"/>
  </w:num>
  <w:num w:numId="369">
    <w:abstractNumId w:val="324"/>
  </w:num>
  <w:num w:numId="370">
    <w:abstractNumId w:val="325"/>
  </w:num>
  <w:num w:numId="371">
    <w:abstractNumId w:val="326"/>
  </w:num>
  <w:num w:numId="372">
    <w:abstractNumId w:val="327"/>
  </w:num>
  <w:num w:numId="373">
    <w:abstractNumId w:val="328"/>
  </w:num>
  <w:num w:numId="374">
    <w:abstractNumId w:val="329"/>
  </w:num>
  <w:num w:numId="375">
    <w:abstractNumId w:val="330"/>
  </w:num>
  <w:num w:numId="376">
    <w:abstractNumId w:val="331"/>
  </w:num>
  <w:num w:numId="377">
    <w:abstractNumId w:val="332"/>
  </w:num>
  <w:num w:numId="378">
    <w:abstractNumId w:val="333"/>
  </w:num>
  <w:num w:numId="379">
    <w:abstractNumId w:val="334"/>
  </w:num>
  <w:num w:numId="380">
    <w:abstractNumId w:val="335"/>
  </w:num>
  <w:num w:numId="381">
    <w:abstractNumId w:val="336"/>
  </w:num>
  <w:num w:numId="382">
    <w:abstractNumId w:val="337"/>
  </w:num>
  <w:num w:numId="383">
    <w:abstractNumId w:val="338"/>
  </w:num>
  <w:num w:numId="384">
    <w:abstractNumId w:val="339"/>
  </w:num>
  <w:num w:numId="385">
    <w:abstractNumId w:val="340"/>
  </w:num>
  <w:num w:numId="386">
    <w:abstractNumId w:val="341"/>
  </w:num>
  <w:num w:numId="387">
    <w:abstractNumId w:val="342"/>
  </w:num>
  <w:num w:numId="388">
    <w:abstractNumId w:val="343"/>
  </w:num>
  <w:num w:numId="389">
    <w:abstractNumId w:val="344"/>
  </w:num>
  <w:num w:numId="390">
    <w:abstractNumId w:val="345"/>
  </w:num>
  <w:num w:numId="391">
    <w:abstractNumId w:val="346"/>
  </w:num>
  <w:num w:numId="392">
    <w:abstractNumId w:val="347"/>
  </w:num>
  <w:num w:numId="393">
    <w:abstractNumId w:val="348"/>
  </w:num>
  <w:num w:numId="394">
    <w:abstractNumId w:val="349"/>
  </w:num>
  <w:num w:numId="395">
    <w:abstractNumId w:val="350"/>
  </w:num>
  <w:num w:numId="396">
    <w:abstractNumId w:val="351"/>
  </w:num>
  <w:num w:numId="397">
    <w:abstractNumId w:val="352"/>
  </w:num>
  <w:num w:numId="398">
    <w:abstractNumId w:val="353"/>
  </w:num>
  <w:num w:numId="399">
    <w:abstractNumId w:val="354"/>
  </w:num>
  <w:num w:numId="400">
    <w:abstractNumId w:val="355"/>
  </w:num>
  <w:num w:numId="401">
    <w:abstractNumId w:val="356"/>
  </w:num>
  <w:num w:numId="402">
    <w:abstractNumId w:val="357"/>
  </w:num>
  <w:num w:numId="403">
    <w:abstractNumId w:val="358"/>
  </w:num>
  <w:num w:numId="404">
    <w:abstractNumId w:val="359"/>
  </w:num>
  <w:num w:numId="405">
    <w:abstractNumId w:val="360"/>
  </w:num>
  <w:num w:numId="406">
    <w:abstractNumId w:val="38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P5N-TT41-JKPJ-G259-00000-00&amp;context=" TargetMode="External" /><Relationship Id="rId100" Type="http://schemas.openxmlformats.org/officeDocument/2006/relationships/hyperlink" Target="https://advance.lexis.com/api/document?collection=cases-ca&amp;id=urn:contentItem:5F7T-S7N1-DXWW-206B-00000-00&amp;context=" TargetMode="External" /><Relationship Id="rId1000" Type="http://schemas.openxmlformats.org/officeDocument/2006/relationships/hyperlink" Target="https://advance.lexis.com/api/document?collection=cases-ca&amp;id=urn:contentItem:5F7T-S721-F57G-S14M-00000-00&amp;context=" TargetMode="External" /><Relationship Id="rId1001" Type="http://schemas.openxmlformats.org/officeDocument/2006/relationships/hyperlink" Target="https://advance.lexis.com/api/document?collection=cases-ca&amp;id=urn:contentItem:5F8P-SDF1-JXNB-64WN-00000-00&amp;context=" TargetMode="External" /><Relationship Id="rId1002" Type="http://schemas.openxmlformats.org/officeDocument/2006/relationships/hyperlink" Target="https://advance.lexis.com/api/document?collection=cases-ca&amp;id=urn:contentItem:5F7T-S7B1-JSRM-6054-00000-00&amp;context=" TargetMode="External" /><Relationship Id="rId1003" Type="http://schemas.openxmlformats.org/officeDocument/2006/relationships/header" Target="header127.xml" /><Relationship Id="rId1004" Type="http://schemas.openxmlformats.org/officeDocument/2006/relationships/header" Target="header128.xml" /><Relationship Id="rId1005" Type="http://schemas.openxmlformats.org/officeDocument/2006/relationships/footer" Target="footer127.xml" /><Relationship Id="rId1006" Type="http://schemas.openxmlformats.org/officeDocument/2006/relationships/footer" Target="footer128.xml" /><Relationship Id="rId1007" Type="http://schemas.openxmlformats.org/officeDocument/2006/relationships/header" Target="header129.xml" /><Relationship Id="rId1008" Type="http://schemas.openxmlformats.org/officeDocument/2006/relationships/footer" Target="footer129.xml" /><Relationship Id="rId1009" Type="http://schemas.openxmlformats.org/officeDocument/2006/relationships/hyperlink" Target="https://advance.lexis.com/api/document?collection=cases-ca&amp;id=urn:contentItem:5F7T-S7D1-JXG3-X12R-00000-00&amp;context=" TargetMode="External" /><Relationship Id="rId101" Type="http://schemas.openxmlformats.org/officeDocument/2006/relationships/hyperlink" Target="https://advance.lexis.com/api/document?collection=cases-ca&amp;id=urn:contentItem:5F7T-S7K1-JWXF-20X0-00000-00&amp;context=" TargetMode="External" /><Relationship Id="rId1010" Type="http://schemas.openxmlformats.org/officeDocument/2006/relationships/hyperlink" Target="https://advance.lexis.com/api/document?collection=cases-ca&amp;id=urn:contentItem:5F7T-S7D1-JG02-S2RP-00000-00&amp;context=" TargetMode="External" /><Relationship Id="rId1011" Type="http://schemas.openxmlformats.org/officeDocument/2006/relationships/hyperlink" Target="https://advance.lexis.com/api/document?collection=cases-ca&amp;id=urn:contentItem:5F7T-S7C1-JS0R-22G1-00000-00&amp;context=" TargetMode="External" /><Relationship Id="rId1012" Type="http://schemas.openxmlformats.org/officeDocument/2006/relationships/hyperlink" Target="https://advance.lexis.com/api/document?collection=cases-ca&amp;id=urn:contentItem:5F7T-S6V1-JFKM-6132-00000-00&amp;context=" TargetMode="External" /><Relationship Id="rId1013" Type="http://schemas.openxmlformats.org/officeDocument/2006/relationships/hyperlink" Target="https://advance.lexis.com/api/document?collection=cases-ca&amp;id=urn:contentItem:5F7T-S6X1-FBN1-20T9-00000-00&amp;context=" TargetMode="External" /><Relationship Id="rId1014" Type="http://schemas.openxmlformats.org/officeDocument/2006/relationships/hyperlink" Target="https://advance.lexis.com/api/document?collection=cases-ca&amp;id=urn:contentItem:5F8T-N3V1-FC1F-M48M-00000-00&amp;context=" TargetMode="External" /><Relationship Id="rId1015" Type="http://schemas.openxmlformats.org/officeDocument/2006/relationships/hyperlink" Target="https://advance.lexis.com/api/document?collection=cases-ca&amp;id=urn:contentItem:5F7T-S761-F7ND-G4DM-00000-00&amp;context=" TargetMode="External" /><Relationship Id="rId1016" Type="http://schemas.openxmlformats.org/officeDocument/2006/relationships/hyperlink" Target="https://advance.lexis.com/api/document?collection=cases-ca&amp;id=urn:contentItem:5F7T-S6V1-JTNR-M3F7-00000-00&amp;context=" TargetMode="External" /><Relationship Id="rId1017" Type="http://schemas.openxmlformats.org/officeDocument/2006/relationships/hyperlink" Target="https://advance.lexis.com/api/document?collection=cases-ca&amp;id=urn:contentItem:5F7T-S731-F1WF-M25F-00000-00&amp;context=" TargetMode="External" /><Relationship Id="rId1018" Type="http://schemas.openxmlformats.org/officeDocument/2006/relationships/hyperlink" Target="https://advance.lexis.com/api/document?collection=cases-ca&amp;id=urn:contentItem:5F7T-S721-JSC5-M3N7-00000-00&amp;context=" TargetMode="External" /><Relationship Id="rId1019" Type="http://schemas.openxmlformats.org/officeDocument/2006/relationships/hyperlink" Target="https://advance.lexis.com/api/document?collection=cases-ca&amp;id=urn:contentItem:5F7T-S741-F528-G21K-00000-00&amp;context=" TargetMode="External" /><Relationship Id="rId102" Type="http://schemas.openxmlformats.org/officeDocument/2006/relationships/hyperlink" Target="https://advance.lexis.com/api/document?collection=cases-ca&amp;id=urn:contentItem:5F7T-S7P1-JCRC-B2C3-00000-00&amp;context=" TargetMode="External" /><Relationship Id="rId1020" Type="http://schemas.openxmlformats.org/officeDocument/2006/relationships/hyperlink" Target="https://advance.lexis.com/api/document?collection=cases-ca&amp;id=urn:contentItem:5F7T-S741-F7VM-S324-00000-00&amp;context=" TargetMode="External" /><Relationship Id="rId1021" Type="http://schemas.openxmlformats.org/officeDocument/2006/relationships/hyperlink" Target="https://advance.lexis.com/api/document?collection=cases-ca&amp;id=urn:contentItem:5F7T-S7C1-JS0R-22GW-00000-00&amp;context=" TargetMode="External" /><Relationship Id="rId1022" Type="http://schemas.openxmlformats.org/officeDocument/2006/relationships/hyperlink" Target="https://advance.lexis.com/api/document?collection=cases-ca&amp;id=urn:contentItem:5F7T-S761-JGHR-M2F7-00000-00&amp;context=" TargetMode="External" /><Relationship Id="rId1023" Type="http://schemas.openxmlformats.org/officeDocument/2006/relationships/hyperlink" Target="https://advance.lexis.com/api/document?collection=cases-ca&amp;id=urn:contentItem:5F7T-S781-FH4C-X2NN-00000-00&amp;context=" TargetMode="External" /><Relationship Id="rId1024" Type="http://schemas.openxmlformats.org/officeDocument/2006/relationships/hyperlink" Target="https://advance.lexis.com/api/document?collection=cases-ca&amp;id=urn:contentItem:5F7T-S771-JW5H-X26X-00000-00&amp;context=" TargetMode="External" /><Relationship Id="rId1025" Type="http://schemas.openxmlformats.org/officeDocument/2006/relationships/hyperlink" Target="https://advance.lexis.com/api/document?collection=cases-ca&amp;id=urn:contentItem:5F7T-S781-JC5P-G1HX-00000-00&amp;context=" TargetMode="External" /><Relationship Id="rId1026" Type="http://schemas.openxmlformats.org/officeDocument/2006/relationships/hyperlink" Target="https://advance.lexis.com/api/document?collection=cases-ca&amp;id=urn:contentItem:5F7T-S751-JCJ5-24BB-00000-00&amp;context=" TargetMode="External" /><Relationship Id="rId1027" Type="http://schemas.openxmlformats.org/officeDocument/2006/relationships/hyperlink" Target="https://advance.lexis.com/api/document?collection=cases-ca&amp;id=urn:contentItem:5F8T-N3V1-JF75-M3VR-00000-00&amp;context=" TargetMode="External" /><Relationship Id="rId1028" Type="http://schemas.openxmlformats.org/officeDocument/2006/relationships/hyperlink" Target="https://advance.lexis.com/api/document?collection=cases-ca&amp;id=urn:contentItem:5F8T-N3V1-JF75-M3GT-00000-00&amp;context=" TargetMode="External" /><Relationship Id="rId1029" Type="http://schemas.openxmlformats.org/officeDocument/2006/relationships/hyperlink" Target="https://advance.lexis.com/api/document?collection=cases-ca&amp;id=urn:contentItem:5F7V-3DH1-JCRC-B4M5-00000-00&amp;context=" TargetMode="External" /><Relationship Id="rId103" Type="http://schemas.openxmlformats.org/officeDocument/2006/relationships/hyperlink" Target="https://advance.lexis.com/api/document?collection=cases-ca&amp;id=urn:contentItem:5F7T-S7K1-JKHB-62KK-00000-00&amp;context=" TargetMode="External" /><Relationship Id="rId1030" Type="http://schemas.openxmlformats.org/officeDocument/2006/relationships/hyperlink" Target="https://advance.lexis.com/api/document?collection=cases-ca&amp;id=urn:contentItem:5F7V-3DH1-JCRC-B4XD-00000-00&amp;context=" TargetMode="External" /><Relationship Id="rId1031" Type="http://schemas.openxmlformats.org/officeDocument/2006/relationships/hyperlink" Target="https://advance.lexis.com/api/document?collection=cases-ca&amp;id=urn:contentItem:5F8P-SDN1-JNCK-21F1-00000-00&amp;context=" TargetMode="External" /><Relationship Id="rId1032" Type="http://schemas.openxmlformats.org/officeDocument/2006/relationships/hyperlink" Target="https://advance.lexis.com/api/document?collection=cases-ca&amp;id=urn:contentItem:5F82-1SF1-F1P7-B3HD-00000-00&amp;context=" TargetMode="External" /><Relationship Id="rId1033" Type="http://schemas.openxmlformats.org/officeDocument/2006/relationships/hyperlink" Target="https://advance.lexis.com/api/document?collection=cases-ca&amp;id=urn:contentItem:5F7T-S771-JN14-G2B8-00000-00&amp;context=" TargetMode="External" /><Relationship Id="rId1034" Type="http://schemas.openxmlformats.org/officeDocument/2006/relationships/hyperlink" Target="https://advance.lexis.com/api/document?collection=cases-ca&amp;id=urn:contentItem:5F7T-S701-JK4W-M0S0-00000-00&amp;context=" TargetMode="External" /><Relationship Id="rId1035" Type="http://schemas.openxmlformats.org/officeDocument/2006/relationships/hyperlink" Target="https://advance.lexis.com/api/document?collection=cases-ca&amp;id=urn:contentItem:5F8T-N3S1-JBDT-B087-00000-00&amp;context=" TargetMode="External" /><Relationship Id="rId1036" Type="http://schemas.openxmlformats.org/officeDocument/2006/relationships/header" Target="header130.xml" /><Relationship Id="rId1037" Type="http://schemas.openxmlformats.org/officeDocument/2006/relationships/header" Target="header131.xml" /><Relationship Id="rId1038" Type="http://schemas.openxmlformats.org/officeDocument/2006/relationships/footer" Target="footer130.xml" /><Relationship Id="rId1039" Type="http://schemas.openxmlformats.org/officeDocument/2006/relationships/footer" Target="footer131.xml" /><Relationship Id="rId104" Type="http://schemas.openxmlformats.org/officeDocument/2006/relationships/hyperlink" Target="https://advance.lexis.com/api/document?collection=cases-ca&amp;id=urn:contentItem:5F7T-S7K1-F1H1-221V-00000-00&amp;context=" TargetMode="External" /><Relationship Id="rId1040" Type="http://schemas.openxmlformats.org/officeDocument/2006/relationships/header" Target="header132.xml" /><Relationship Id="rId1041" Type="http://schemas.openxmlformats.org/officeDocument/2006/relationships/footer" Target="footer132.xml" /><Relationship Id="rId1042" Type="http://schemas.openxmlformats.org/officeDocument/2006/relationships/hyperlink" Target="https://advance.lexis.com/api/document?collection=cases-ca&amp;id=urn:contentItem:5F7T-S7N1-DXWW-20P0-00000-00&amp;context=" TargetMode="External" /><Relationship Id="rId1043" Type="http://schemas.openxmlformats.org/officeDocument/2006/relationships/hyperlink" Target="https://advance.lexis.com/api/document?collection=legislation-ca&amp;id=urn:contentItem:5VYK-4801-JCJ5-203X-00000-00&amp;context=" TargetMode="External" /><Relationship Id="rId1044" Type="http://schemas.openxmlformats.org/officeDocument/2006/relationships/hyperlink" Target="https://advance.lexis.com/api/document?collection=legislation-ca&amp;id=urn:contentItem:5F41-1FJ1-JPGX-S0RT-00000-00&amp;context=" TargetMode="External" /><Relationship Id="rId1045" Type="http://schemas.openxmlformats.org/officeDocument/2006/relationships/hyperlink" Target="https://advance.lexis.com/api/document?collection=legislation-ca&amp;id=urn:contentItem:5F3B-BBP1-JNY7-X0HB-00000-00&amp;context=" TargetMode="External" /><Relationship Id="rId1046" Type="http://schemas.openxmlformats.org/officeDocument/2006/relationships/hyperlink" Target="https://advance.lexis.com/api/document?collection=cases-ca&amp;id=urn:contentItem:5F7T-S761-JCBX-S0MX-00000-00&amp;context=" TargetMode="External" /><Relationship Id="rId1047" Type="http://schemas.openxmlformats.org/officeDocument/2006/relationships/hyperlink" Target="https://advance.lexis.com/api/document?collection=cases-ca&amp;id=urn:contentItem:5F8T-N3V1-JTGH-B19J-00000-00&amp;context=" TargetMode="External" /><Relationship Id="rId1048" Type="http://schemas.openxmlformats.org/officeDocument/2006/relationships/hyperlink" Target="https://advance.lexis.com/api/document?collection=legislation-ca&amp;id=urn:contentItem:5W07-7G11-F5KY-B4MR-00000-00&amp;context=" TargetMode="External" /><Relationship Id="rId1049" Type="http://schemas.openxmlformats.org/officeDocument/2006/relationships/hyperlink" Target="https://advance.lexis.com/api/document?collection=legislation-ca&amp;id=urn:contentItem:5W07-7G11-JN6B-S0D8-00000-00&amp;context=" TargetMode="External" /><Relationship Id="rId105" Type="http://schemas.openxmlformats.org/officeDocument/2006/relationships/hyperlink" Target="https://advance.lexis.com/api/document?collection=cases-ca&amp;id=urn:contentItem:5F7T-S7H1-JFSV-G35Y-00000-00&amp;context=" TargetMode="External" /><Relationship Id="rId1050" Type="http://schemas.openxmlformats.org/officeDocument/2006/relationships/hyperlink" Target="https://advance.lexis.com/api/document?collection=cases-ca&amp;id=urn:contentItem:5F7T-S7K1-JKHB-630S-00000-00&amp;context=" TargetMode="External" /><Relationship Id="rId1051" Type="http://schemas.openxmlformats.org/officeDocument/2006/relationships/hyperlink" Target="https://advance.lexis.com/api/document?collection=cases-ca&amp;id=urn:contentItem:5F7T-S7D1-JG02-S2T7-00000-00&amp;context=" TargetMode="External" /><Relationship Id="rId1052" Type="http://schemas.openxmlformats.org/officeDocument/2006/relationships/hyperlink" Target="https://advance.lexis.com/api/document?collection=cases-ca&amp;id=urn:contentItem:5F16-93C1-JSJC-X4SW-00000-00&amp;context=" TargetMode="External" /><Relationship Id="rId1053" Type="http://schemas.openxmlformats.org/officeDocument/2006/relationships/hyperlink" Target="https://advance.lexis.com/api/document?collection=cases-ca&amp;id=urn:contentItem:5F8T-N3T1-JJSF-23F8-00000-00&amp;context=" TargetMode="External" /><Relationship Id="rId1054" Type="http://schemas.openxmlformats.org/officeDocument/2006/relationships/hyperlink" Target="https://advance.lexis.com/api/document?collection=cases-ca&amp;id=urn:contentItem:5F7T-S771-JWBS-61CX-00000-00&amp;context=" TargetMode="External" /><Relationship Id="rId1055" Type="http://schemas.openxmlformats.org/officeDocument/2006/relationships/hyperlink" Target="https://advance.lexis.com/api/document?collection=cases-ca&amp;id=urn:contentItem:5F8P-SCT1-FCCX-6441-00000-00&amp;context=" TargetMode="External" /><Relationship Id="rId1056" Type="http://schemas.openxmlformats.org/officeDocument/2006/relationships/hyperlink" Target="https://advance.lexis.com/api/document?collection=cases-ca&amp;id=urn:contentItem:5F8P-SCY1-JC5P-G11T-00000-00&amp;context=" TargetMode="External" /><Relationship Id="rId1057" Type="http://schemas.openxmlformats.org/officeDocument/2006/relationships/hyperlink" Target="https://advance.lexis.com/api/document?collection=cases-ca&amp;id=urn:contentItem:5F7V-3DJ1-JK4W-M3GG-00000-00&amp;context=" TargetMode="External" /><Relationship Id="rId1058" Type="http://schemas.openxmlformats.org/officeDocument/2006/relationships/hyperlink" Target="https://advance.lexis.com/api/document?collection=cases-ca&amp;id=urn:contentItem:5F8P-SF01-JNY7-X51R-00000-00&amp;context=" TargetMode="External" /><Relationship Id="rId1059" Type="http://schemas.openxmlformats.org/officeDocument/2006/relationships/hyperlink" Target="https://advance.lexis.com/api/document?collection=cases-ca&amp;id=urn:contentItem:5F7T-XPY1-DXHD-G1MC-00000-00&amp;context=" TargetMode="External" /><Relationship Id="rId106" Type="http://schemas.openxmlformats.org/officeDocument/2006/relationships/hyperlink" Target="https://advance.lexis.com/api/document?collection=cases-ca&amp;id=urn:contentItem:5F7T-S7K1-F1H1-227X-00000-00&amp;context=" TargetMode="External" /><Relationship Id="rId1060" Type="http://schemas.openxmlformats.org/officeDocument/2006/relationships/hyperlink" Target="https://advance.lexis.com/api/document?collection=cases-ca&amp;id=urn:contentItem:5F7T-XPY1-JWBS-635K-00000-00&amp;context=" TargetMode="External" /><Relationship Id="rId1061" Type="http://schemas.openxmlformats.org/officeDocument/2006/relationships/hyperlink" Target="https://advance.lexis.com/api/document?collection=cases-ca&amp;id=urn:contentItem:5F7T-S7M1-JCRC-B1MC-00000-00&amp;context=" TargetMode="External" /><Relationship Id="rId1062" Type="http://schemas.openxmlformats.org/officeDocument/2006/relationships/header" Target="header133.xml" /><Relationship Id="rId1063" Type="http://schemas.openxmlformats.org/officeDocument/2006/relationships/header" Target="header134.xml" /><Relationship Id="rId1064" Type="http://schemas.openxmlformats.org/officeDocument/2006/relationships/footer" Target="footer133.xml" /><Relationship Id="rId1065" Type="http://schemas.openxmlformats.org/officeDocument/2006/relationships/footer" Target="footer134.xml" /><Relationship Id="rId1066" Type="http://schemas.openxmlformats.org/officeDocument/2006/relationships/header" Target="header135.xml" /><Relationship Id="rId1067" Type="http://schemas.openxmlformats.org/officeDocument/2006/relationships/footer" Target="footer135.xml" /><Relationship Id="rId1068" Type="http://schemas.openxmlformats.org/officeDocument/2006/relationships/hyperlink" Target="https://advance.lexis.com/api/document?collection=cases-ca&amp;id=urn:contentItem:5K6Y-0C71-JJ6S-626T-00000-00&amp;context=" TargetMode="External" /><Relationship Id="rId1069" Type="http://schemas.openxmlformats.org/officeDocument/2006/relationships/hyperlink" Target="https://advance.lexis.com/api/document?collection=cases-ca&amp;id=urn:contentItem:5F7T-S7J1-JNS1-M2FN-00000-00&amp;context=" TargetMode="External" /><Relationship Id="rId107" Type="http://schemas.openxmlformats.org/officeDocument/2006/relationships/hyperlink" Target="https://advance.lexis.com/api/document?collection=cases-ca&amp;id=urn:contentItem:5F7T-S6V1-JFKM-6133-00000-00&amp;context=" TargetMode="External" /><Relationship Id="rId1070" Type="http://schemas.openxmlformats.org/officeDocument/2006/relationships/hyperlink" Target="https://advance.lexis.com/api/document?collection=legislation-ca&amp;id=urn:contentItem:5F41-1FJ1-JK4W-M0JW-00000-00&amp;context=" TargetMode="External" /><Relationship Id="rId1071" Type="http://schemas.openxmlformats.org/officeDocument/2006/relationships/hyperlink" Target="https://advance.lexis.com/api/document?collection=legislation-ca&amp;id=urn:contentItem:5TBM-3RN1-FBV7-B0M1-00000-00&amp;context=" TargetMode="External" /><Relationship Id="rId1072" Type="http://schemas.openxmlformats.org/officeDocument/2006/relationships/hyperlink" Target="https://advance.lexis.com/api/document?collection=cases-ca&amp;id=urn:contentItem:5F7T-S7D1-JN6B-S159-00000-00&amp;context=" TargetMode="External" /><Relationship Id="rId1073" Type="http://schemas.openxmlformats.org/officeDocument/2006/relationships/hyperlink" Target="https://advance.lexis.com/api/document?collection=cases-ca&amp;id=urn:contentItem:5F8T-N3V1-FC1F-M486-00000-00&amp;context=" TargetMode="External" /><Relationship Id="rId1074" Type="http://schemas.openxmlformats.org/officeDocument/2006/relationships/hyperlink" Target="https://advance.lexis.com/api/document?collection=cases-ca&amp;id=urn:contentItem:5F8T-N3V1-FC1F-M497-00000-00&amp;context=" TargetMode="External" /><Relationship Id="rId1075" Type="http://schemas.openxmlformats.org/officeDocument/2006/relationships/hyperlink" Target="https://advance.lexis.com/api/document?collection=cases-ca&amp;id=urn:contentItem:5F7T-S7D1-JS5Y-B2D4-00000-00&amp;context=" TargetMode="External" /><Relationship Id="rId1076" Type="http://schemas.openxmlformats.org/officeDocument/2006/relationships/hyperlink" Target="https://advance.lexis.com/api/document?collection=cases-ca&amp;id=urn:contentItem:5F7T-S7G1-F5KY-B1HV-00000-00&amp;context=" TargetMode="External" /><Relationship Id="rId1077" Type="http://schemas.openxmlformats.org/officeDocument/2006/relationships/hyperlink" Target="https://advance.lexis.com/api/document?collection=cases-ca&amp;id=urn:contentItem:5F7T-S6W1-JYYX-61GR-00000-00&amp;context=" TargetMode="External" /><Relationship Id="rId1078" Type="http://schemas.openxmlformats.org/officeDocument/2006/relationships/hyperlink" Target="https://advance.lexis.com/api/document?collection=cases-ca&amp;id=urn:contentItem:5F8T-N3V1-JTGH-B1F4-00000-00&amp;context=" TargetMode="External" /><Relationship Id="rId1079" Type="http://schemas.openxmlformats.org/officeDocument/2006/relationships/hyperlink" Target="https://advance.lexis.com/api/document?collection=cases-ca&amp;id=urn:contentItem:5F7T-S771-JTGH-B1KF-00000-00&amp;context=" TargetMode="External" /><Relationship Id="rId108" Type="http://schemas.openxmlformats.org/officeDocument/2006/relationships/hyperlink" Target="https://advance.lexis.com/api/document?collection=cases-ca&amp;id=urn:contentItem:5F7T-S7K1-F528-G34G-00000-00&amp;context=" TargetMode="External" /><Relationship Id="rId1080" Type="http://schemas.openxmlformats.org/officeDocument/2006/relationships/hyperlink" Target="https://advance.lexis.com/api/document?collection=cases-ca&amp;id=urn:contentItem:5F7T-S741-F1H1-21F3-00000-00&amp;context=" TargetMode="External" /><Relationship Id="rId1081" Type="http://schemas.openxmlformats.org/officeDocument/2006/relationships/hyperlink" Target="https://advance.lexis.com/api/document?collection=cases-ca&amp;id=urn:contentItem:5F7T-S701-JJ6S-61SS-00000-00&amp;context=" TargetMode="External" /><Relationship Id="rId1082" Type="http://schemas.openxmlformats.org/officeDocument/2006/relationships/hyperlink" Target="https://advance.lexis.com/api/document?collection=cases-ca&amp;id=urn:contentItem:5F7T-S711-F5KY-B0SS-00000-00&amp;context=" TargetMode="External" /><Relationship Id="rId1083" Type="http://schemas.openxmlformats.org/officeDocument/2006/relationships/hyperlink" Target="https://advance.lexis.com/api/document?collection=cases-ca&amp;id=urn:contentItem:5F8P-SF11-JF1Y-B32K-00000-00&amp;context=" TargetMode="External" /><Relationship Id="rId1084" Type="http://schemas.openxmlformats.org/officeDocument/2006/relationships/hyperlink" Target="https://advance.lexis.com/api/document?collection=cases-ca&amp;id=urn:contentItem:5F81-VJX1-JP9P-G4WT-00000-00&amp;context=" TargetMode="External" /><Relationship Id="rId1085" Type="http://schemas.openxmlformats.org/officeDocument/2006/relationships/hyperlink" Target="https://advance.lexis.com/api/document?collection=cases-ca&amp;id=urn:contentItem:5F7T-S751-FJDY-X419-00000-00&amp;context=" TargetMode="External" /><Relationship Id="rId1086" Type="http://schemas.openxmlformats.org/officeDocument/2006/relationships/hyperlink" Target="https://advance.lexis.com/api/document?collection=cases-ca&amp;id=urn:contentItem:5F7T-S7C1-JCJ5-20KN-00000-00&amp;context=" TargetMode="External" /><Relationship Id="rId1087" Type="http://schemas.openxmlformats.org/officeDocument/2006/relationships/header" Target="header136.xml" /><Relationship Id="rId1088" Type="http://schemas.openxmlformats.org/officeDocument/2006/relationships/header" Target="header137.xml" /><Relationship Id="rId1089" Type="http://schemas.openxmlformats.org/officeDocument/2006/relationships/footer" Target="footer136.xml" /><Relationship Id="rId109" Type="http://schemas.openxmlformats.org/officeDocument/2006/relationships/hyperlink" Target="https://advance.lexis.com/api/document?collection=cases-ca&amp;id=urn:contentItem:5F7T-S7N1-JWR6-S2BY-00000-00&amp;context=" TargetMode="External" /><Relationship Id="rId1090" Type="http://schemas.openxmlformats.org/officeDocument/2006/relationships/footer" Target="footer137.xml" /><Relationship Id="rId1091" Type="http://schemas.openxmlformats.org/officeDocument/2006/relationships/header" Target="header138.xml" /><Relationship Id="rId1092" Type="http://schemas.openxmlformats.org/officeDocument/2006/relationships/footer" Target="footer138.xml" /><Relationship Id="rId1093" Type="http://schemas.openxmlformats.org/officeDocument/2006/relationships/hyperlink" Target="https://advance.lexis.com/api/document?collection=cases-ca&amp;id=urn:contentItem:5K6X-MDG1-FK0M-S3HH-00000-00&amp;context=" TargetMode="External" /><Relationship Id="rId1094" Type="http://schemas.openxmlformats.org/officeDocument/2006/relationships/hyperlink" Target="https://advance.lexis.com/api/document?collection=cases-ca&amp;id=urn:contentItem:5GCC-XVC1-F900-G4N4-00000-00&amp;context=" TargetMode="External" /><Relationship Id="rId1095" Type="http://schemas.openxmlformats.org/officeDocument/2006/relationships/hyperlink" Target="https://advance.lexis.com/api/document?collection=legislation-ca&amp;id=urn:contentItem:5F41-1FJ1-JBDT-B06F-00000-00&amp;context=" TargetMode="External" /><Relationship Id="rId1096" Type="http://schemas.openxmlformats.org/officeDocument/2006/relationships/hyperlink" Target="https://advance.lexis.com/api/document?collection=cases-ca&amp;id=urn:contentItem:5F7T-S741-F1H1-21RG-00000-00&amp;context=" TargetMode="External" /><Relationship Id="rId1097" Type="http://schemas.openxmlformats.org/officeDocument/2006/relationships/hyperlink" Target="https://advance.lexis.com/api/document?collection=cases-ca&amp;id=urn:contentItem:5G6F-0731-JSJC-X1BB-00000-00&amp;context=" TargetMode="External" /><Relationship Id="rId1098" Type="http://schemas.openxmlformats.org/officeDocument/2006/relationships/hyperlink" Target="https://advance.lexis.com/api/document?collection=legislation-ca&amp;id=urn:contentItem:5VYK-WB51-K054-G4Y8-00000-00&amp;context=" TargetMode="External" /><Relationship Id="rId1099" Type="http://schemas.openxmlformats.org/officeDocument/2006/relationships/hyperlink" Target="https://advance.lexis.com/api/document?collection=cases-ca&amp;id=urn:contentItem:5F7T-S7P1-JSJC-X1S5-00000-00&amp;context=" TargetMode="External" /><Relationship Id="rId11" Type="http://schemas.openxmlformats.org/officeDocument/2006/relationships/hyperlink" Target="https://advance.lexis.com/api/document?collection=cases-ca&amp;id=urn:contentItem:5R56-8V41-F22N-X3MV-00000-00&amp;context=" TargetMode="External" /><Relationship Id="rId110" Type="http://schemas.openxmlformats.org/officeDocument/2006/relationships/hyperlink" Target="https://advance.lexis.com/api/document?collection=cases-ca&amp;id=urn:contentItem:5F7T-S7J1-JYYX-62G8-00000-00&amp;context=" TargetMode="External" /><Relationship Id="rId1100" Type="http://schemas.openxmlformats.org/officeDocument/2006/relationships/hyperlink" Target="https://advance.lexis.com/api/document?collection=cases-ca&amp;id=urn:contentItem:5F7T-S7J1-FGCG-S0GV-00000-00&amp;context=" TargetMode="External" /><Relationship Id="rId1101" Type="http://schemas.openxmlformats.org/officeDocument/2006/relationships/hyperlink" Target="https://advance.lexis.com/api/document?collection=cases-ca&amp;id=urn:contentItem:5F7T-S721-F06F-2327-00000-00&amp;context=" TargetMode="External" /><Relationship Id="rId1102" Type="http://schemas.openxmlformats.org/officeDocument/2006/relationships/hyperlink" Target="https://advance.lexis.com/api/document?collection=cases-ca&amp;id=urn:contentItem:5F7T-S7H1-F4GK-M3F9-00000-00&amp;context=" TargetMode="External" /><Relationship Id="rId1103" Type="http://schemas.openxmlformats.org/officeDocument/2006/relationships/hyperlink" Target="https://advance.lexis.com/api/document?collection=cases-ca&amp;id=urn:contentItem:5F7T-S7P1-JSJC-X1TK-00000-00&amp;context=" TargetMode="External" /><Relationship Id="rId1104" Type="http://schemas.openxmlformats.org/officeDocument/2006/relationships/hyperlink" Target="https://advance.lexis.com/api/document?collection=cases-ca&amp;id=urn:contentItem:5GCC-XVB1-FK0M-S4YB-00000-00&amp;context=" TargetMode="External" /><Relationship Id="rId1105" Type="http://schemas.openxmlformats.org/officeDocument/2006/relationships/hyperlink" Target="https://advance.lexis.com/api/document?collection=cases-ca&amp;id=urn:contentItem:5F7T-S7F1-FJTD-G3N4-00000-00&amp;context=" TargetMode="External" /><Relationship Id="rId1106" Type="http://schemas.openxmlformats.org/officeDocument/2006/relationships/hyperlink" Target="https://advance.lexis.com/api/document?collection=cases-ca&amp;id=urn:contentItem:5F7T-S7K1-JNY7-X4VC-00000-00&amp;context=" TargetMode="External" /><Relationship Id="rId1107" Type="http://schemas.openxmlformats.org/officeDocument/2006/relationships/header" Target="header139.xml" /><Relationship Id="rId1108" Type="http://schemas.openxmlformats.org/officeDocument/2006/relationships/header" Target="header140.xml" /><Relationship Id="rId1109" Type="http://schemas.openxmlformats.org/officeDocument/2006/relationships/footer" Target="footer139.xml" /><Relationship Id="rId111" Type="http://schemas.openxmlformats.org/officeDocument/2006/relationships/hyperlink" Target="https://advance.lexis.com/api/document?collection=cases-ca&amp;id=urn:contentItem:5F7T-S7P1-F2TK-239T-00000-00&amp;context=" TargetMode="External" /><Relationship Id="rId1110" Type="http://schemas.openxmlformats.org/officeDocument/2006/relationships/footer" Target="footer140.xml" /><Relationship Id="rId1111" Type="http://schemas.openxmlformats.org/officeDocument/2006/relationships/header" Target="header141.xml" /><Relationship Id="rId1112" Type="http://schemas.openxmlformats.org/officeDocument/2006/relationships/footer" Target="footer141.xml" /><Relationship Id="rId1113" Type="http://schemas.openxmlformats.org/officeDocument/2006/relationships/hyperlink" Target="https://advance.lexis.com/api/document?collection=cases-ca&amp;id=urn:contentItem:5F7T-S7J1-JYYX-629N-00000-00&amp;context=" TargetMode="External" /><Relationship Id="rId1114" Type="http://schemas.openxmlformats.org/officeDocument/2006/relationships/hyperlink" Target="https://advance.lexis.com/api/document?collection=legislation-ca&amp;id=urn:contentItem:5F3B-B881-JKHB-602H-00000-00&amp;context=" TargetMode="External" /><Relationship Id="rId1115" Type="http://schemas.openxmlformats.org/officeDocument/2006/relationships/hyperlink" Target="https://advance.lexis.com/api/document?collection=legislation-ca&amp;id=urn:contentItem:5F3B-B8K1-F81W-220F-00000-00&amp;context=" TargetMode="External" /><Relationship Id="rId1116" Type="http://schemas.openxmlformats.org/officeDocument/2006/relationships/hyperlink" Target="https://advance.lexis.com/api/document?collection=legislation-ca&amp;id=urn:contentItem:5XKD-VS41-JKB3-X25J-00000-00&amp;context=" TargetMode="External" /><Relationship Id="rId1117" Type="http://schemas.openxmlformats.org/officeDocument/2006/relationships/hyperlink" Target="https://advance.lexis.com/api/document?collection=legislation-ca&amp;id=urn:contentItem:5VYK-WB51-JW09-M4VW-00000-00&amp;context=" TargetMode="External" /><Relationship Id="rId1118" Type="http://schemas.openxmlformats.org/officeDocument/2006/relationships/hyperlink" Target="https://advance.lexis.com/api/document?collection=legislation-ca&amp;id=urn:contentItem:5VYK-WB21-FBN1-24MH-00000-00&amp;context=" TargetMode="External" /><Relationship Id="rId1119" Type="http://schemas.openxmlformats.org/officeDocument/2006/relationships/hyperlink" Target="https://advance.lexis.com/api/document?collection=cases-ca&amp;id=urn:contentItem:5F7T-XPX1-JN6B-S34M-00000-00&amp;context=" TargetMode="External" /><Relationship Id="rId112" Type="http://schemas.openxmlformats.org/officeDocument/2006/relationships/hyperlink" Target="https://advance.lexis.com/api/document?collection=cases-ca&amp;id=urn:contentItem:5F7T-S7K1-F1H1-22C1-00000-00&amp;context=" TargetMode="External" /><Relationship Id="rId1120" Type="http://schemas.openxmlformats.org/officeDocument/2006/relationships/hyperlink" Target="https://advance.lexis.com/api/document?collection=cases-ca&amp;id=urn:contentItem:5F16-9361-F4GK-M36P-00000-00&amp;context=" TargetMode="External" /><Relationship Id="rId1121" Type="http://schemas.openxmlformats.org/officeDocument/2006/relationships/hyperlink" Target="https://advance.lexis.com/api/document?collection=legislation-ca&amp;id=urn:contentItem:5VYK-WB31-JWXF-20XR-00000-00&amp;context=" TargetMode="External" /><Relationship Id="rId1122" Type="http://schemas.openxmlformats.org/officeDocument/2006/relationships/hyperlink" Target="https://advance.lexis.com/api/document?collection=cases-ca&amp;id=urn:contentItem:5F7F-5RH1-FD4T-B0FB-00000-00&amp;context=" TargetMode="External" /><Relationship Id="rId1123" Type="http://schemas.openxmlformats.org/officeDocument/2006/relationships/hyperlink" Target="https://advance.lexis.com/api/document?collection=cases-ca&amp;id=urn:contentItem:5F7T-S7G1-JWR6-S1NB-00000-00&amp;context=" TargetMode="External" /><Relationship Id="rId1124" Type="http://schemas.openxmlformats.org/officeDocument/2006/relationships/hyperlink" Target="https://advance.lexis.com/api/document?collection=cases-ca&amp;id=urn:contentItem:5F8T-N3V1-FC1F-M3Y6-00000-00&amp;context=" TargetMode="External" /><Relationship Id="rId1125" Type="http://schemas.openxmlformats.org/officeDocument/2006/relationships/hyperlink" Target="https://advance.lexis.com/api/document?collection=cases-ca&amp;id=urn:contentItem:5F8P-SCR1-JB2B-S4RR-00000-00&amp;context=" TargetMode="External" /><Relationship Id="rId1126" Type="http://schemas.openxmlformats.org/officeDocument/2006/relationships/hyperlink" Target="https://advance.lexis.com/api/document?collection=cases-ca&amp;id=urn:contentItem:5F7T-S7G1-JBT7-X413-00000-00&amp;context=" TargetMode="External" /><Relationship Id="rId1127" Type="http://schemas.openxmlformats.org/officeDocument/2006/relationships/hyperlink" Target="https://advance.lexis.com/api/document?collection=cases-ca&amp;id=urn:contentItem:5F7T-S7F1-JX3N-B1XN-00000-00&amp;context=" TargetMode="External" /><Relationship Id="rId1128" Type="http://schemas.openxmlformats.org/officeDocument/2006/relationships/hyperlink" Target="https://advance.lexis.com/api/document?collection=cases-ca&amp;id=urn:contentItem:5F7T-S761-F7ND-G48N-00000-00&amp;context=" TargetMode="External" /><Relationship Id="rId1129" Type="http://schemas.openxmlformats.org/officeDocument/2006/relationships/hyperlink" Target="https://advance.lexis.com/api/document?collection=cases-ca&amp;id=urn:contentItem:5F7T-S7B1-FH4C-X3V5-00000-00&amp;context=" TargetMode="External" /><Relationship Id="rId113" Type="http://schemas.openxmlformats.org/officeDocument/2006/relationships/header" Target="header7.xml" /><Relationship Id="rId1130" Type="http://schemas.openxmlformats.org/officeDocument/2006/relationships/hyperlink" Target="https://advance.lexis.com/api/document?collection=cases-ca&amp;id=urn:contentItem:5F7T-S771-JN14-G2D4-00000-00&amp;context=" TargetMode="External" /><Relationship Id="rId1131" Type="http://schemas.openxmlformats.org/officeDocument/2006/relationships/hyperlink" Target="https://advance.lexis.com/api/document?collection=cases-ca&amp;id=urn:contentItem:5F7F-5RH1-FD4T-B03P-00000-00&amp;context=" TargetMode="External" /><Relationship Id="rId1132" Type="http://schemas.openxmlformats.org/officeDocument/2006/relationships/hyperlink" Target="https://advance.lexis.com/api/document?collection=cases-ca&amp;id=urn:contentItem:5F81-VJY1-JWBS-64RM-00000-00&amp;context=" TargetMode="External" /><Relationship Id="rId1133" Type="http://schemas.openxmlformats.org/officeDocument/2006/relationships/hyperlink" Target="https://advance.lexis.com/api/document?collection=cases-ca&amp;id=urn:contentItem:5F82-1SH1-F8KH-X1N0-00000-00&amp;context=" TargetMode="External" /><Relationship Id="rId1134" Type="http://schemas.openxmlformats.org/officeDocument/2006/relationships/hyperlink" Target="https://advance.lexis.com/api/document?collection=cases-ca&amp;id=urn:contentItem:5F7T-S7H1-JCRC-B142-00000-00&amp;context=" TargetMode="External" /><Relationship Id="rId1135" Type="http://schemas.openxmlformats.org/officeDocument/2006/relationships/hyperlink" Target="https://advance.lexis.com/api/document?collection=cases-ca&amp;id=urn:contentItem:5F8T-N3T1-JGHR-M29X-00000-00&amp;context=" TargetMode="External" /><Relationship Id="rId1136" Type="http://schemas.openxmlformats.org/officeDocument/2006/relationships/hyperlink" Target="https://advance.lexis.com/api/document?collection=cases-ca&amp;id=urn:contentItem:5F81-VJX1-FGY5-M3RC-00000-00&amp;context=" TargetMode="External" /><Relationship Id="rId1137" Type="http://schemas.openxmlformats.org/officeDocument/2006/relationships/hyperlink" Target="https://advance.lexis.com/api/document?collection=cases-ca&amp;id=urn:contentItem:5F8T-N3V1-JF75-M3JV-00000-00&amp;context=" TargetMode="External" /><Relationship Id="rId1138" Type="http://schemas.openxmlformats.org/officeDocument/2006/relationships/hyperlink" Target="https://advance.lexis.com/api/document?collection=cases-ca&amp;id=urn:contentItem:5F8T-N3T1-JJSF-23B2-00000-00&amp;context=" TargetMode="External" /><Relationship Id="rId1139" Type="http://schemas.openxmlformats.org/officeDocument/2006/relationships/hyperlink" Target="https://advance.lexis.com/api/document?collection=cases-ca&amp;id=urn:contentItem:5F7T-S6X1-F06F-22JH-00000-00&amp;context=" TargetMode="External" /><Relationship Id="rId114" Type="http://schemas.openxmlformats.org/officeDocument/2006/relationships/header" Target="header8.xml" /><Relationship Id="rId1140" Type="http://schemas.openxmlformats.org/officeDocument/2006/relationships/header" Target="header142.xml" /><Relationship Id="rId1141" Type="http://schemas.openxmlformats.org/officeDocument/2006/relationships/header" Target="header143.xml" /><Relationship Id="rId1142" Type="http://schemas.openxmlformats.org/officeDocument/2006/relationships/footer" Target="footer142.xml" /><Relationship Id="rId1143" Type="http://schemas.openxmlformats.org/officeDocument/2006/relationships/footer" Target="footer143.xml" /><Relationship Id="rId1144" Type="http://schemas.openxmlformats.org/officeDocument/2006/relationships/header" Target="header144.xml" /><Relationship Id="rId1145" Type="http://schemas.openxmlformats.org/officeDocument/2006/relationships/footer" Target="footer144.xml" /><Relationship Id="rId1146" Type="http://schemas.openxmlformats.org/officeDocument/2006/relationships/hyperlink" Target="https://advance.lexis.com/api/document?collection=cases-ca&amp;id=urn:contentItem:5F7T-S7H1-F4GK-M3FY-00000-00&amp;context=" TargetMode="External" /><Relationship Id="rId1147" Type="http://schemas.openxmlformats.org/officeDocument/2006/relationships/hyperlink" Target="https://advance.lexis.com/api/document?collection=cases-ca&amp;id=urn:contentItem:5K6Y-81M1-DXHD-G2BF-00000-00&amp;context=" TargetMode="External" /><Relationship Id="rId1148" Type="http://schemas.openxmlformats.org/officeDocument/2006/relationships/hyperlink" Target="https://advance.lexis.com/api/document?collection=legislation-ca&amp;id=urn:contentItem:5GBY-CM31-JYYX-633F-00000-00&amp;context=" TargetMode="External" /><Relationship Id="rId1149" Type="http://schemas.openxmlformats.org/officeDocument/2006/relationships/hyperlink" Target="https://advance.lexis.com/api/document?collection=cases-ca&amp;id=urn:contentItem:5F7T-S7G1-JWR6-S218-00000-00&amp;context=" TargetMode="External" /><Relationship Id="rId115" Type="http://schemas.openxmlformats.org/officeDocument/2006/relationships/footer" Target="footer7.xml" /><Relationship Id="rId1150" Type="http://schemas.openxmlformats.org/officeDocument/2006/relationships/hyperlink" Target="https://advance.lexis.com/api/document?collection=cases-ca&amp;id=urn:contentItem:5F7T-S7G1-JBT7-X3JN-00000-00&amp;context=" TargetMode="External" /><Relationship Id="rId1151" Type="http://schemas.openxmlformats.org/officeDocument/2006/relationships/hyperlink" Target="https://advance.lexis.com/api/document?collection=cases-ca&amp;id=urn:contentItem:5F7T-S7G1-F5KY-B1WT-00000-00&amp;context=" TargetMode="External" /><Relationship Id="rId1152" Type="http://schemas.openxmlformats.org/officeDocument/2006/relationships/hyperlink" Target="https://advance.lexis.com/api/document?collection=cases-ca&amp;id=urn:contentItem:5F7T-S7G1-JWR6-S1MK-00000-00&amp;context=" TargetMode="External" /><Relationship Id="rId1153" Type="http://schemas.openxmlformats.org/officeDocument/2006/relationships/hyperlink" Target="https://advance.lexis.com/api/document?collection=cases-ca&amp;id=urn:contentItem:5F7T-S6S1-DXHD-G0S7-00000-00&amp;context=" TargetMode="External" /><Relationship Id="rId1154" Type="http://schemas.openxmlformats.org/officeDocument/2006/relationships/hyperlink" Target="https://advance.lexis.com/api/document?collection=cases-ca&amp;id=urn:contentItem:5F7T-S751-JX3N-B0S1-00000-00&amp;context=" TargetMode="External" /><Relationship Id="rId1155" Type="http://schemas.openxmlformats.org/officeDocument/2006/relationships/hyperlink" Target="https://advance.lexis.com/api/document?collection=cases-ca&amp;id=urn:contentItem:5F7T-S761-JGHR-M2J3-00000-00&amp;context=" TargetMode="External" /><Relationship Id="rId1156" Type="http://schemas.openxmlformats.org/officeDocument/2006/relationships/hyperlink" Target="https://advance.lexis.com/api/document?collection=cases-ca&amp;id=urn:contentItem:5F7T-S741-DY89-M397-00000-00&amp;context=" TargetMode="External" /><Relationship Id="rId1157" Type="http://schemas.openxmlformats.org/officeDocument/2006/relationships/hyperlink" Target="https://advance.lexis.com/api/document?collection=cases-ca&amp;id=urn:contentItem:5F7T-S6W1-F528-G1B9-00000-00&amp;context=" TargetMode="External" /><Relationship Id="rId1158" Type="http://schemas.openxmlformats.org/officeDocument/2006/relationships/hyperlink" Target="https://advance.lexis.com/api/document?collection=cases-ca&amp;id=urn:contentItem:5F7T-S7F1-FFFC-B22D-00000-00&amp;context=" TargetMode="External" /><Relationship Id="rId1159" Type="http://schemas.openxmlformats.org/officeDocument/2006/relationships/hyperlink" Target="https://advance.lexis.com/api/document?collection=cases-ca&amp;id=urn:contentItem:5F8T-N3V1-FC1F-M4C7-00000-00&amp;context=" TargetMode="External" /><Relationship Id="rId116" Type="http://schemas.openxmlformats.org/officeDocument/2006/relationships/footer" Target="footer8.xml" /><Relationship Id="rId1160" Type="http://schemas.openxmlformats.org/officeDocument/2006/relationships/hyperlink" Target="https://advance.lexis.com/api/document?collection=cases-ca&amp;id=urn:contentItem:5F7T-S721-F5T5-M2FH-00000-00&amp;context=" TargetMode="External" /><Relationship Id="rId1161" Type="http://schemas.openxmlformats.org/officeDocument/2006/relationships/hyperlink" Target="https://advance.lexis.com/api/document?collection=cases-ca&amp;id=urn:contentItem:5F8N-K731-JS0R-24FG-00000-00&amp;context=" TargetMode="External" /><Relationship Id="rId1162" Type="http://schemas.openxmlformats.org/officeDocument/2006/relationships/header" Target="header145.xml" /><Relationship Id="rId1163" Type="http://schemas.openxmlformats.org/officeDocument/2006/relationships/header" Target="header146.xml" /><Relationship Id="rId1164" Type="http://schemas.openxmlformats.org/officeDocument/2006/relationships/footer" Target="footer145.xml" /><Relationship Id="rId1165" Type="http://schemas.openxmlformats.org/officeDocument/2006/relationships/footer" Target="footer146.xml" /><Relationship Id="rId1166" Type="http://schemas.openxmlformats.org/officeDocument/2006/relationships/header" Target="header147.xml" /><Relationship Id="rId1167" Type="http://schemas.openxmlformats.org/officeDocument/2006/relationships/footer" Target="footer147.xml" /><Relationship Id="rId1168" Type="http://schemas.openxmlformats.org/officeDocument/2006/relationships/hyperlink" Target="https://advance.lexis.com/api/document?collection=cases-ca&amp;id=urn:contentItem:5K56-XS31-FC6N-X37J-00000-00&amp;context=" TargetMode="External" /><Relationship Id="rId1169" Type="http://schemas.openxmlformats.org/officeDocument/2006/relationships/hyperlink" Target="https://advance.lexis.com/api/document?collection=cases-ca&amp;id=urn:contentItem:5GB3-MY31-JX3N-B2D7-00000-00&amp;context=" TargetMode="External" /><Relationship Id="rId117" Type="http://schemas.openxmlformats.org/officeDocument/2006/relationships/header" Target="header9.xml" /><Relationship Id="rId1170" Type="http://schemas.openxmlformats.org/officeDocument/2006/relationships/hyperlink" Target="https://advance.lexis.com/api/document?collection=cases-ca&amp;id=urn:contentItem:5F8T-N3V1-JTGH-B1C2-00000-00&amp;context=" TargetMode="External" /><Relationship Id="rId1171" Type="http://schemas.openxmlformats.org/officeDocument/2006/relationships/hyperlink" Target="https://advance.lexis.com/api/document?collection=cases-ca&amp;id=urn:contentItem:5G5V-93Y1-DYV0-G19V-00000-00&amp;context=" TargetMode="External" /><Relationship Id="rId1172" Type="http://schemas.openxmlformats.org/officeDocument/2006/relationships/hyperlink" Target="https://advance.lexis.com/api/document?collection=cases-ca&amp;id=urn:contentItem:5F7T-S7P1-JG02-S4DC-00000-00&amp;context=" TargetMode="External" /><Relationship Id="rId1173" Type="http://schemas.openxmlformats.org/officeDocument/2006/relationships/hyperlink" Target="https://advance.lexis.com/api/document?collection=cases-ca&amp;id=urn:contentItem:5F8P-SF81-JJK6-S11M-00000-00&amp;context=" TargetMode="External" /><Relationship Id="rId1174" Type="http://schemas.openxmlformats.org/officeDocument/2006/relationships/hyperlink" Target="https://advance.lexis.com/api/document?collection=cases-ca&amp;id=urn:contentItem:5F7T-S6Y1-DY33-B036-00000-00&amp;context=" TargetMode="External" /><Relationship Id="rId1175" Type="http://schemas.openxmlformats.org/officeDocument/2006/relationships/hyperlink" Target="https://advance.lexis.com/api/document?collection=cases-ca&amp;id=urn:contentItem:5F7T-XR01-JCBX-S2PB-00000-00&amp;context=" TargetMode="External" /><Relationship Id="rId1176" Type="http://schemas.openxmlformats.org/officeDocument/2006/relationships/hyperlink" Target="https://advance.lexis.com/api/document?collection=cases-ca&amp;id=urn:contentItem:5F7T-S761-FFMK-M1C4-00000-00&amp;context=" TargetMode="External" /><Relationship Id="rId1177" Type="http://schemas.openxmlformats.org/officeDocument/2006/relationships/hyperlink" Target="https://advance.lexis.com/api/document?collection=cases-ca&amp;id=urn:contentItem:5F8P-T8X1-FBV7-B4GX-00000-00&amp;context=" TargetMode="External" /><Relationship Id="rId1178" Type="http://schemas.openxmlformats.org/officeDocument/2006/relationships/hyperlink" Target="https://advance.lexis.com/api/document?collection=cases-ca&amp;id=urn:contentItem:5F7T-XPS1-F016-S517-00000-00&amp;context=" TargetMode="External" /><Relationship Id="rId1179" Type="http://schemas.openxmlformats.org/officeDocument/2006/relationships/hyperlink" Target="https://advance.lexis.com/api/document?collection=cases-ca&amp;id=urn:contentItem:5F8P-SG31-DXWW-22K6-00000-00&amp;context=" TargetMode="External" /><Relationship Id="rId118" Type="http://schemas.openxmlformats.org/officeDocument/2006/relationships/footer" Target="footer9.xml" /><Relationship Id="rId1180" Type="http://schemas.openxmlformats.org/officeDocument/2006/relationships/hyperlink" Target="https://advance.lexis.com/api/document?collection=cases-ca&amp;id=urn:contentItem:5F81-VJY1-JPGX-S4KN-00000-00&amp;context=" TargetMode="External" /><Relationship Id="rId1181" Type="http://schemas.openxmlformats.org/officeDocument/2006/relationships/hyperlink" Target="https://advance.lexis.com/api/document?collection=cases-ca&amp;id=urn:contentItem:5F16-93C1-JCBX-S0KR-00000-00&amp;context=" TargetMode="External" /><Relationship Id="rId1182" Type="http://schemas.openxmlformats.org/officeDocument/2006/relationships/hyperlink" Target="https://advance.lexis.com/api/document?collection=cases-ca&amp;id=urn:contentItem:5F7T-S701-JBT7-X272-00000-00&amp;context=" TargetMode="External" /><Relationship Id="rId1183" Type="http://schemas.openxmlformats.org/officeDocument/2006/relationships/hyperlink" Target="https://advance.lexis.com/api/document?collection=cases-ca&amp;id=urn:contentItem:5F81-VJX1-FGCG-S30N-00000-00&amp;context=" TargetMode="External" /><Relationship Id="rId1184" Type="http://schemas.openxmlformats.org/officeDocument/2006/relationships/hyperlink" Target="https://advance.lexis.com/api/document?collection=cases-ca&amp;id=urn:contentItem:5F7T-S7N1-JWR6-S24X-00000-00&amp;context=" TargetMode="External" /><Relationship Id="rId1185" Type="http://schemas.openxmlformats.org/officeDocument/2006/relationships/hyperlink" Target="https://advance.lexis.com/api/document?collection=cases-ca&amp;id=urn:contentItem:5F8P-SCN1-JPGX-S458-00000-00&amp;context=" TargetMode="External" /><Relationship Id="rId1186" Type="http://schemas.openxmlformats.org/officeDocument/2006/relationships/hyperlink" Target="https://advance.lexis.com/api/document?collection=cases-ca&amp;id=urn:contentItem:5F8P-SCT1-JGPY-X0MW-00000-00&amp;context=" TargetMode="External" /><Relationship Id="rId1187" Type="http://schemas.openxmlformats.org/officeDocument/2006/relationships/hyperlink" Target="https://advance.lexis.com/api/document?collection=cases-ca&amp;id=urn:contentItem:5F81-VJX1-JJYN-B4Y9-00000-00&amp;context=" TargetMode="External" /><Relationship Id="rId1188" Type="http://schemas.openxmlformats.org/officeDocument/2006/relationships/hyperlink" Target="https://advance.lexis.com/api/document?collection=cases-ca&amp;id=urn:contentItem:5F7T-S711-JB2B-S19X-00000-00&amp;context=" TargetMode="External" /><Relationship Id="rId1189" Type="http://schemas.openxmlformats.org/officeDocument/2006/relationships/hyperlink" Target="https://advance.lexis.com/api/document?collection=cases-ca&amp;id=urn:contentItem:5F7T-S7H1-JFSV-G35S-00000-00&amp;context=" TargetMode="External" /><Relationship Id="rId119" Type="http://schemas.openxmlformats.org/officeDocument/2006/relationships/hyperlink" Target="https://advance.lexis.com/api/document?collection=cases-ca&amp;id=urn:contentItem:5F7T-S781-F7G6-63FJ-00000-00&amp;context=" TargetMode="External" /><Relationship Id="rId1190" Type="http://schemas.openxmlformats.org/officeDocument/2006/relationships/hyperlink" Target="https://advance.lexis.com/api/document?collection=cases-ca&amp;id=urn:contentItem:5F8P-SF21-F5DR-214H-00000-00&amp;context=" TargetMode="External" /><Relationship Id="rId1191" Type="http://schemas.openxmlformats.org/officeDocument/2006/relationships/hyperlink" Target="https://advance.lexis.com/api/document?collection=cases-ca&amp;id=urn:contentItem:5F7V-3DF1-FGJR-23S6-00000-00&amp;context=" TargetMode="External" /><Relationship Id="rId1192" Type="http://schemas.openxmlformats.org/officeDocument/2006/relationships/hyperlink" Target="https://advance.lexis.com/api/document?collection=cases-ca&amp;id=urn:contentItem:5F8T-N3V1-JF75-M3MF-00000-00&amp;context=" TargetMode="External" /><Relationship Id="rId1193" Type="http://schemas.openxmlformats.org/officeDocument/2006/relationships/hyperlink" Target="https://advance.lexis.com/api/document?collection=cases-ca&amp;id=urn:contentItem:5F7T-S771-F361-M1PY-00000-00&amp;context=" TargetMode="External" /><Relationship Id="rId1194" Type="http://schemas.openxmlformats.org/officeDocument/2006/relationships/hyperlink" Target="https://advance.lexis.com/api/document?collection=cases-ca&amp;id=urn:contentItem:5F8P-SGB1-F873-B2M6-00000-00&amp;context=" TargetMode="External" /><Relationship Id="rId1195" Type="http://schemas.openxmlformats.org/officeDocument/2006/relationships/hyperlink" Target="https://advance.lexis.com/api/document?collection=cases-ca&amp;id=urn:contentItem:5F7T-S7K1-F528-G33W-00000-00&amp;context=" TargetMode="External" /><Relationship Id="rId1196" Type="http://schemas.openxmlformats.org/officeDocument/2006/relationships/hyperlink" Target="https://advance.lexis.com/api/document?collection=cases-ca&amp;id=urn:contentItem:5F7T-S7K1-F528-G2R4-00000-00&amp;context=" TargetMode="External" /><Relationship Id="rId1197" Type="http://schemas.openxmlformats.org/officeDocument/2006/relationships/hyperlink" Target="https://advance.lexis.com/api/document?collection=cases-ca&amp;id=urn:contentItem:5F7T-S7N1-DXWW-208H-00000-00&amp;context=" TargetMode="External" /><Relationship Id="rId1198" Type="http://schemas.openxmlformats.org/officeDocument/2006/relationships/hyperlink" Target="https://advance.lexis.com/api/document?collection=cases-ca&amp;id=urn:contentItem:5F7T-S7P1-JP4G-622X-00000-00&amp;context=" TargetMode="External" /><Relationship Id="rId1199" Type="http://schemas.openxmlformats.org/officeDocument/2006/relationships/hyperlink" Target="https://advance.lexis.com/api/document?collection=cases-ca&amp;id=urn:contentItem:5F7T-S7P1-JSJC-X1MR-00000-00&amp;context=" TargetMode="External" /><Relationship Id="rId12" Type="http://schemas.openxmlformats.org/officeDocument/2006/relationships/hyperlink" Target="https://advance.lexis.com/api/document?collection=legislation-ca&amp;id=urn:contentItem:5F41-1FH1-JSRM-60KK-00000-00&amp;context=" TargetMode="External" /><Relationship Id="rId120" Type="http://schemas.openxmlformats.org/officeDocument/2006/relationships/hyperlink" Target="https://advance.lexis.com/api/document?collection=legislation-ca&amp;id=urn:contentItem:5F41-1FG1-FC1F-M0TW-00000-00&amp;context=" TargetMode="External" /><Relationship Id="rId1200" Type="http://schemas.openxmlformats.org/officeDocument/2006/relationships/hyperlink" Target="https://advance.lexis.com/api/document?collection=cases-ca&amp;id=urn:contentItem:5GCC-XVB1-FK0M-S4RY-00000-00&amp;context=" TargetMode="External" /><Relationship Id="rId1201" Type="http://schemas.openxmlformats.org/officeDocument/2006/relationships/hyperlink" Target="https://advance.lexis.com/api/document?collection=cases-ca&amp;id=urn:contentItem:5HR4-FPP1-JG02-S29Y-00000-00&amp;context=" TargetMode="External" /><Relationship Id="rId1202" Type="http://schemas.openxmlformats.org/officeDocument/2006/relationships/hyperlink" Target="https://advance.lexis.com/api/document?collection=cases-ca&amp;id=urn:contentItem:5F7T-S7K1-JNY7-X4M0-00000-00&amp;context=" TargetMode="External" /><Relationship Id="rId1203" Type="http://schemas.openxmlformats.org/officeDocument/2006/relationships/hyperlink" Target="https://advance.lexis.com/api/document?collection=cases-ca&amp;id=urn:contentItem:5F7T-S771-JSJC-X041-00000-00&amp;context=" TargetMode="External" /><Relationship Id="rId1204" Type="http://schemas.openxmlformats.org/officeDocument/2006/relationships/hyperlink" Target="https://advance.lexis.com/api/document?collection=cases-ca&amp;id=urn:contentItem:5F7T-S7H1-F4GK-M2X1-00000-00&amp;context=" TargetMode="External" /><Relationship Id="rId1205" Type="http://schemas.openxmlformats.org/officeDocument/2006/relationships/hyperlink" Target="https://advance.lexis.com/api/document?collection=cases-ca&amp;id=urn:contentItem:5F7T-S7K1-DXWW-2018-00000-00&amp;context=" TargetMode="External" /><Relationship Id="rId1206" Type="http://schemas.openxmlformats.org/officeDocument/2006/relationships/hyperlink" Target="https://advance.lexis.com/api/document?collection=cases-ca&amp;id=urn:contentItem:5F7T-S731-DY33-B0TG-00000-00&amp;context=" TargetMode="External" /><Relationship Id="rId1207" Type="http://schemas.openxmlformats.org/officeDocument/2006/relationships/hyperlink" Target="https://advance.lexis.com/api/document?collection=cases-ca&amp;id=urn:contentItem:5F7T-S791-JCJ5-255J-00000-00&amp;context=" TargetMode="External" /><Relationship Id="rId1208" Type="http://schemas.openxmlformats.org/officeDocument/2006/relationships/hyperlink" Target="https://advance.lexis.com/api/document?collection=cases-ca&amp;id=urn:contentItem:5F7T-S7F1-F7VM-S3VD-00000-00&amp;context=" TargetMode="External" /><Relationship Id="rId1209" Type="http://schemas.openxmlformats.org/officeDocument/2006/relationships/hyperlink" Target="https://advance.lexis.com/api/document?collection=cases-ca&amp;id=urn:contentItem:5F7T-S6Y1-F65M-604Y-00000-00&amp;context=" TargetMode="External" /><Relationship Id="rId121" Type="http://schemas.openxmlformats.org/officeDocument/2006/relationships/hyperlink" Target="https://advance.lexis.com/api/document?collection=cases-ca&amp;id=urn:contentItem:5F7T-S761-JX8W-M2NN-00000-00&amp;context=" TargetMode="External" /><Relationship Id="rId1210" Type="http://schemas.openxmlformats.org/officeDocument/2006/relationships/hyperlink" Target="https://advance.lexis.com/api/document?collection=cases-ca&amp;id=urn:contentItem:5F7T-S781-JSC5-M4GD-00000-00&amp;context=" TargetMode="External" /><Relationship Id="rId1211" Type="http://schemas.openxmlformats.org/officeDocument/2006/relationships/hyperlink" Target="https://advance.lexis.com/api/document?collection=cases-ca&amp;id=urn:contentItem:5F8T-N3R1-JJSF-22JX-00000-00&amp;context=" TargetMode="External" /><Relationship Id="rId1212" Type="http://schemas.openxmlformats.org/officeDocument/2006/relationships/hyperlink" Target="https://advance.lexis.com/api/document?collection=cases-ca&amp;id=urn:contentItem:5F7T-S701-JF75-M4DT-00000-00&amp;context=" TargetMode="External" /><Relationship Id="rId1213" Type="http://schemas.openxmlformats.org/officeDocument/2006/relationships/hyperlink" Target="https://advance.lexis.com/api/document?collection=cases-ca&amp;id=urn:contentItem:5F7T-S6T1-JJ1H-X220-00000-00&amp;context=" TargetMode="External" /><Relationship Id="rId1214" Type="http://schemas.openxmlformats.org/officeDocument/2006/relationships/hyperlink" Target="https://advance.lexis.com/api/document?collection=cases-ca&amp;id=urn:contentItem:5F7T-S731-FG12-62VV-00000-00&amp;context=" TargetMode="External" /><Relationship Id="rId1215" Type="http://schemas.openxmlformats.org/officeDocument/2006/relationships/hyperlink" Target="https://advance.lexis.com/api/document?collection=cases-ca&amp;id=urn:contentItem:5G6F-0731-JSJC-X1B6-00000-00&amp;context=" TargetMode="External" /><Relationship Id="rId1216" Type="http://schemas.openxmlformats.org/officeDocument/2006/relationships/image" Target="media/image9.jpeg" /><Relationship Id="rId1217" Type="http://schemas.openxmlformats.org/officeDocument/2006/relationships/hyperlink" Target="https://advance.lexis.com/api/document?collection=cases-ca&amp;id=urn:contentItem:5F8T-N3V1-FC1F-M4C3-00000-00&amp;context=" TargetMode="External" /><Relationship Id="rId1218" Type="http://schemas.openxmlformats.org/officeDocument/2006/relationships/hyperlink" Target="https://advance.lexis.com/api/document?collection=cases-ca&amp;id=urn:contentItem:5F7T-S7D1-JG02-S32G-00000-00&amp;context=" TargetMode="External" /><Relationship Id="rId1219" Type="http://schemas.openxmlformats.org/officeDocument/2006/relationships/hyperlink" Target="https://advance.lexis.com/api/document?collection=cases-ca&amp;id=urn:contentItem:5F7T-S7H1-JS5Y-B2X0-00000-00&amp;context=" TargetMode="External" /><Relationship Id="rId122" Type="http://schemas.openxmlformats.org/officeDocument/2006/relationships/hyperlink" Target="https://advance.lexis.com/api/document?collection=cases-ca&amp;id=urn:contentItem:5F7T-S741-F1H1-21JV-00000-00&amp;context=" TargetMode="External" /><Relationship Id="rId1220" Type="http://schemas.openxmlformats.org/officeDocument/2006/relationships/image" Target="media/image10.png" /><Relationship Id="rId1221" Type="http://schemas.openxmlformats.org/officeDocument/2006/relationships/hyperlink" Target="https://advance.lexis.com/api/document?collection=cases-ca&amp;id=urn:contentItem:5F8T-N3S1-JT99-24MJ-00000-00&amp;context=" TargetMode="External" /><Relationship Id="rId1222" Type="http://schemas.openxmlformats.org/officeDocument/2006/relationships/image" Target="media/image11.png" /><Relationship Id="rId1223" Type="http://schemas.openxmlformats.org/officeDocument/2006/relationships/header" Target="header148.xml" /><Relationship Id="rId1224" Type="http://schemas.openxmlformats.org/officeDocument/2006/relationships/header" Target="header149.xml" /><Relationship Id="rId1225" Type="http://schemas.openxmlformats.org/officeDocument/2006/relationships/footer" Target="footer148.xml" /><Relationship Id="rId1226" Type="http://schemas.openxmlformats.org/officeDocument/2006/relationships/footer" Target="footer149.xml" /><Relationship Id="rId1227" Type="http://schemas.openxmlformats.org/officeDocument/2006/relationships/header" Target="header150.xml" /><Relationship Id="rId1228" Type="http://schemas.openxmlformats.org/officeDocument/2006/relationships/footer" Target="footer150.xml" /><Relationship Id="rId1229" Type="http://schemas.openxmlformats.org/officeDocument/2006/relationships/hyperlink" Target="https://advance.lexis.com/api/document?collection=cases-ca&amp;id=urn:contentItem:5F7T-S7N1-JJ1H-X2XM-00000-00&amp;context=" TargetMode="External" /><Relationship Id="rId123" Type="http://schemas.openxmlformats.org/officeDocument/2006/relationships/hyperlink" Target="https://advance.lexis.com/api/document?collection=cases-ca&amp;id=urn:contentItem:5F7T-S761-JGHR-M2DJ-00000-00&amp;context=" TargetMode="External" /><Relationship Id="rId1230" Type="http://schemas.openxmlformats.org/officeDocument/2006/relationships/hyperlink" Target="https://advance.lexis.com/api/document?collection=cases-ca&amp;id=urn:contentItem:5F7T-S7M1-DYMS-62DS-00000-00&amp;context=" TargetMode="External" /><Relationship Id="rId1231" Type="http://schemas.openxmlformats.org/officeDocument/2006/relationships/hyperlink" Target="https://advance.lexis.com/api/document?collection=cases-ca&amp;id=urn:contentItem:5F7T-S7M1-JJK6-S24F-00000-00&amp;context=" TargetMode="External" /><Relationship Id="rId1232" Type="http://schemas.openxmlformats.org/officeDocument/2006/relationships/hyperlink" Target="https://advance.lexis.com/api/document?collection=cases-ca&amp;id=urn:contentItem:5F7T-S7F1-DXWW-244B-00000-00&amp;context=" TargetMode="External" /><Relationship Id="rId1233" Type="http://schemas.openxmlformats.org/officeDocument/2006/relationships/hyperlink" Target="https://advance.lexis.com/api/document?collection=cases-ca&amp;id=urn:contentItem:5F7T-S7J1-JGBH-B2HV-00000-00&amp;context=" TargetMode="External" /><Relationship Id="rId1234" Type="http://schemas.openxmlformats.org/officeDocument/2006/relationships/hyperlink" Target="https://advance.lexis.com/api/document?collection=cases-ca&amp;id=urn:contentItem:5F7T-S7F1-DXWW-242R-00000-00&amp;context=" TargetMode="External" /><Relationship Id="rId1235" Type="http://schemas.openxmlformats.org/officeDocument/2006/relationships/hyperlink" Target="https://advance.lexis.com/api/document?collection=cases-ca&amp;id=urn:contentItem:5F8T-N3V1-JFKM-603Y-00000-00&amp;context=" TargetMode="External" /><Relationship Id="rId1236" Type="http://schemas.openxmlformats.org/officeDocument/2006/relationships/hyperlink" Target="https://advance.lexis.com/api/document?collection=cases-ca&amp;id=urn:contentItem:5F8T-N3V1-JTGH-B13W-00000-00&amp;context=" TargetMode="External" /><Relationship Id="rId1237" Type="http://schemas.openxmlformats.org/officeDocument/2006/relationships/hyperlink" Target="https://advance.lexis.com/api/document?collection=cases-ca&amp;id=urn:contentItem:5F7T-S7K1-DY33-B1F3-00000-00&amp;context=" TargetMode="External" /><Relationship Id="rId1238" Type="http://schemas.openxmlformats.org/officeDocument/2006/relationships/numbering" Target="numbering.xml" /><Relationship Id="rId1239" Type="http://schemas.openxmlformats.org/officeDocument/2006/relationships/styles" Target="styles.xml" /><Relationship Id="rId124" Type="http://schemas.openxmlformats.org/officeDocument/2006/relationships/hyperlink" Target="https://advance.lexis.com/api/document?collection=cases-ca&amp;id=urn:contentItem:5F7T-S781-FH4C-X2R5-00000-00&amp;context=" TargetMode="External" /><Relationship Id="rId125" Type="http://schemas.openxmlformats.org/officeDocument/2006/relationships/hyperlink" Target="https://advance.lexis.com/api/document?collection=cases-ca&amp;id=urn:contentItem:5F8N-K731-F361-M0WK-00000-00&amp;context=" TargetMode="External" /><Relationship Id="rId126" Type="http://schemas.openxmlformats.org/officeDocument/2006/relationships/hyperlink" Target="https://advance.lexis.com/api/document?collection=cases-ca&amp;id=urn:contentItem:5F8T-N3V1-FC1F-M455-00000-00&amp;context=" TargetMode="External" /><Relationship Id="rId127" Type="http://schemas.openxmlformats.org/officeDocument/2006/relationships/hyperlink" Target="https://advance.lexis.com/api/document?collection=cases-ca&amp;id=urn:contentItem:5F7T-S6X1-F06F-22HG-00000-00&amp;context=" TargetMode="External" /><Relationship Id="rId128" Type="http://schemas.openxmlformats.org/officeDocument/2006/relationships/hyperlink" Target="https://advance.lexis.com/api/document?collection=cases-ca&amp;id=urn:contentItem:5F8T-N3T1-JFKM-652N-00000-00&amp;context=" TargetMode="External" /><Relationship Id="rId129" Type="http://schemas.openxmlformats.org/officeDocument/2006/relationships/hyperlink" Target="https://advance.lexis.com/api/document?collection=cases-ca&amp;id=urn:contentItem:5F7T-S731-DY33-B15Y-00000-00&amp;context=" TargetMode="External" /><Relationship Id="rId13" Type="http://schemas.openxmlformats.org/officeDocument/2006/relationships/hyperlink" Target="https://advance.lexis.com/api/document?collection=cases-ca&amp;id=urn:contentItem:5F8T-N3V1-FC1F-M3WJ-00000-00&amp;context=" TargetMode="External" /><Relationship Id="rId130" Type="http://schemas.openxmlformats.org/officeDocument/2006/relationships/hyperlink" Target="https://advance.lexis.com/api/document?collection=cases-ca&amp;id=urn:contentItem:5F8T-N3V1-FC1F-M3WV-00000-00&amp;context=" TargetMode="External" /><Relationship Id="rId131" Type="http://schemas.openxmlformats.org/officeDocument/2006/relationships/hyperlink" Target="https://advance.lexis.com/api/document?collection=cases-ca&amp;id=urn:contentItem:5F7T-S781-FH4C-X2R3-00000-00&amp;context=" TargetMode="External" /><Relationship Id="rId132" Type="http://schemas.openxmlformats.org/officeDocument/2006/relationships/hyperlink" Target="https://advance.lexis.com/api/document?collection=cases-ca&amp;id=urn:contentItem:5F7T-S771-JWBS-61DP-00000-00&amp;context=" TargetMode="External" /><Relationship Id="rId133" Type="http://schemas.openxmlformats.org/officeDocument/2006/relationships/hyperlink" Target="https://advance.lexis.com/api/document?collection=cases-ca&amp;id=urn:contentItem:5F7T-S6Y1-F4GK-M211-00000-00&amp;context=" TargetMode="External" /><Relationship Id="rId134" Type="http://schemas.openxmlformats.org/officeDocument/2006/relationships/hyperlink" Target="https://advance.lexis.com/api/document?collection=cases-ca&amp;id=urn:contentItem:5F7T-S711-F27X-60DS-00000-00&amp;context=" TargetMode="External" /><Relationship Id="rId135" Type="http://schemas.openxmlformats.org/officeDocument/2006/relationships/hyperlink" Target="https://advance.lexis.com/api/document?collection=cases-ca&amp;id=urn:contentItem:5F7T-S741-F1H1-21W1-00000-00&amp;context=" TargetMode="External" /><Relationship Id="rId136" Type="http://schemas.openxmlformats.org/officeDocument/2006/relationships/hyperlink" Target="https://advance.lexis.com/api/document?collection=cases-ca&amp;id=urn:contentItem:5F8T-N3V1-JF75-M3KJ-00000-00&amp;context=" TargetMode="External" /><Relationship Id="rId137" Type="http://schemas.openxmlformats.org/officeDocument/2006/relationships/hyperlink" Target="https://advance.lexis.com/api/document?collection=cases-ca&amp;id=urn:contentItem:5F8T-N3V1-FC1F-M42M-00000-00&amp;context=" TargetMode="External" /><Relationship Id="rId138" Type="http://schemas.openxmlformats.org/officeDocument/2006/relationships/hyperlink" Target="https://advance.lexis.com/api/document?collection=cases-ca&amp;id=urn:contentItem:5F8T-N3V1-FC1F-M428-00000-00&amp;context=" TargetMode="External" /><Relationship Id="rId139" Type="http://schemas.openxmlformats.org/officeDocument/2006/relationships/hyperlink" Target="https://advance.lexis.com/api/document?collection=cases-ca&amp;id=urn:contentItem:5F8T-N3V1-JF75-M3K1-00000-00&amp;context=" TargetMode="External" /><Relationship Id="rId14" Type="http://schemas.openxmlformats.org/officeDocument/2006/relationships/hyperlink" Target="https://advance.lexis.com/api/document?collection=cases-ca&amp;id=urn:contentItem:5F7T-S7P1-JCRC-B2BP-00000-00&amp;context=" TargetMode="External" /><Relationship Id="rId140" Type="http://schemas.openxmlformats.org/officeDocument/2006/relationships/hyperlink" Target="https://advance.lexis.com/api/document?collection=cases-ca&amp;id=urn:contentItem:5F7T-S761-FFMK-M0YH-00000-00&amp;context=" TargetMode="External" /><Relationship Id="rId141" Type="http://schemas.openxmlformats.org/officeDocument/2006/relationships/hyperlink" Target="https://advance.lexis.com/api/document?collection=cases-ca&amp;id=urn:contentItem:5F8T-N3S1-JT99-250W-00000-00&amp;context=" TargetMode="External" /><Relationship Id="rId142" Type="http://schemas.openxmlformats.org/officeDocument/2006/relationships/header" Target="header10.xml" /><Relationship Id="rId143" Type="http://schemas.openxmlformats.org/officeDocument/2006/relationships/header" Target="header11.xml" /><Relationship Id="rId144" Type="http://schemas.openxmlformats.org/officeDocument/2006/relationships/footer" Target="footer10.xml" /><Relationship Id="rId145" Type="http://schemas.openxmlformats.org/officeDocument/2006/relationships/footer" Target="footer11.xml" /><Relationship Id="rId146" Type="http://schemas.openxmlformats.org/officeDocument/2006/relationships/header" Target="header12.xml" /><Relationship Id="rId147" Type="http://schemas.openxmlformats.org/officeDocument/2006/relationships/footer" Target="footer12.xml" /><Relationship Id="rId148" Type="http://schemas.openxmlformats.org/officeDocument/2006/relationships/hyperlink" Target="https://advance.lexis.com/api/document?collection=cases-ca&amp;id=urn:contentItem:5F7T-S771-JWBS-619Y-00000-00&amp;context=" TargetMode="External" /><Relationship Id="rId149" Type="http://schemas.openxmlformats.org/officeDocument/2006/relationships/hyperlink" Target="https://advance.lexis.com/api/document?collection=cases-ca&amp;id=urn:contentItem:5F8T-N3S1-JBDT-B02V-00000-00&amp;context=" TargetMode="External" /><Relationship Id="rId15" Type="http://schemas.openxmlformats.org/officeDocument/2006/relationships/hyperlink" Target="https://advance.lexis.com/api/document?collection=cases-ca&amp;id=urn:contentItem:5F7T-S7J1-JGBH-B2CS-00000-00&amp;context=" TargetMode="External" /><Relationship Id="rId150" Type="http://schemas.openxmlformats.org/officeDocument/2006/relationships/hyperlink" Target="https://advance.lexis.com/api/document?collection=cases-ca&amp;id=urn:contentItem:5F7T-S6Y1-JSC5-M348-00000-00&amp;context=" TargetMode="External" /><Relationship Id="rId151" Type="http://schemas.openxmlformats.org/officeDocument/2006/relationships/hyperlink" Target="https://advance.lexis.com/api/document?collection=cases-ca&amp;id=urn:contentItem:5F8W-M441-JP4G-64H1-00000-00&amp;context=" TargetMode="External" /><Relationship Id="rId152" Type="http://schemas.openxmlformats.org/officeDocument/2006/relationships/hyperlink" Target="https://advance.lexis.com/api/document?collection=cases-ca&amp;id=urn:contentItem:5F8T-N3T1-JFKM-655W-00000-00&amp;context=" TargetMode="External" /><Relationship Id="rId153" Type="http://schemas.openxmlformats.org/officeDocument/2006/relationships/hyperlink" Target="https://advance.lexis.com/api/document?collection=cases-ca&amp;id=urn:contentItem:5F8T-N3V1-JFKM-6085-00000-00&amp;context=" TargetMode="External" /><Relationship Id="rId154" Type="http://schemas.openxmlformats.org/officeDocument/2006/relationships/hyperlink" Target="https://advance.lexis.com/api/document?collection=cases-ca&amp;id=urn:contentItem:5F7T-S711-JNS1-M0W9-00000-00&amp;context=" TargetMode="External" /><Relationship Id="rId155" Type="http://schemas.openxmlformats.org/officeDocument/2006/relationships/hyperlink" Target="https://advance.lexis.com/api/document?collection=cases-ca&amp;id=urn:contentItem:5F7T-S731-F1WF-M255-00000-00&amp;context=" TargetMode="External" /><Relationship Id="rId156" Type="http://schemas.openxmlformats.org/officeDocument/2006/relationships/hyperlink" Target="https://advance.lexis.com/api/document?collection=cases-ca&amp;id=urn:contentItem:5F7T-S711-F5KY-B150-00000-00&amp;context=" TargetMode="External" /><Relationship Id="rId157" Type="http://schemas.openxmlformats.org/officeDocument/2006/relationships/hyperlink" Target="https://advance.lexis.com/api/document?collection=cases-ca&amp;id=urn:contentItem:5F7T-S731-FFFC-B0K2-00000-00&amp;context=" TargetMode="External" /><Relationship Id="rId158" Type="http://schemas.openxmlformats.org/officeDocument/2006/relationships/hyperlink" Target="https://advance.lexis.com/api/document?collection=cases-ca&amp;id=urn:contentItem:5F7T-S711-JNY7-X30K-00000-00&amp;context=" TargetMode="External" /><Relationship Id="rId159" Type="http://schemas.openxmlformats.org/officeDocument/2006/relationships/hyperlink" Target="https://advance.lexis.com/api/document?collection=cases-ca&amp;id=urn:contentItem:5F7T-S701-JF75-M4N2-00000-00&amp;context=" TargetMode="External" /><Relationship Id="rId16" Type="http://schemas.openxmlformats.org/officeDocument/2006/relationships/hyperlink" Target="https://advance.lexis.com/api/document?collection=cases-ca&amp;id=urn:contentItem:5F7T-S7K1-JSJC-X0R6-00000-00&amp;context=" TargetMode="External" /><Relationship Id="rId160" Type="http://schemas.openxmlformats.org/officeDocument/2006/relationships/header" Target="header13.xml" /><Relationship Id="rId161" Type="http://schemas.openxmlformats.org/officeDocument/2006/relationships/header" Target="header14.xml" /><Relationship Id="rId162" Type="http://schemas.openxmlformats.org/officeDocument/2006/relationships/footer" Target="footer13.xml" /><Relationship Id="rId163" Type="http://schemas.openxmlformats.org/officeDocument/2006/relationships/footer" Target="footer14.xml" /><Relationship Id="rId164" Type="http://schemas.openxmlformats.org/officeDocument/2006/relationships/header" Target="header15.xml" /><Relationship Id="rId165" Type="http://schemas.openxmlformats.org/officeDocument/2006/relationships/footer" Target="footer15.xml" /><Relationship Id="rId166" Type="http://schemas.openxmlformats.org/officeDocument/2006/relationships/hyperlink" Target="https://advance.lexis.com/api/document?collection=cases-ca&amp;id=urn:contentItem:5G5K-89P1-K054-G33H-00000-00&amp;context=" TargetMode="External" /><Relationship Id="rId167" Type="http://schemas.openxmlformats.org/officeDocument/2006/relationships/hyperlink" Target="https://advance.lexis.com/api/document?collection=cases-ca&amp;id=urn:contentItem:5F8W-M441-F956-S234-00000-00&amp;context=" TargetMode="External" /><Relationship Id="rId168" Type="http://schemas.openxmlformats.org/officeDocument/2006/relationships/hyperlink" Target="https://advance.lexis.com/api/document?collection=legislation-ca&amp;id=urn:contentItem:5J77-2RB1-FFMK-M3NJ-00000-00&amp;context=" TargetMode="External" /><Relationship Id="rId169" Type="http://schemas.openxmlformats.org/officeDocument/2006/relationships/hyperlink" Target="https://advance.lexis.com/api/document?collection=cases-ca&amp;id=urn:contentItem:5F7T-S7D1-FFFC-B1CK-00000-00&amp;context=" TargetMode="External" /><Relationship Id="rId17" Type="http://schemas.openxmlformats.org/officeDocument/2006/relationships/hyperlink" Target="https://advance.lexis.com/api/document?collection=cases-ca&amp;id=urn:contentItem:5F8T-N3R1-FJDY-X3BM-00000-00&amp;context=" TargetMode="External" /><Relationship Id="rId170" Type="http://schemas.openxmlformats.org/officeDocument/2006/relationships/hyperlink" Target="https://advance.lexis.com/api/document?collection=cases-ca&amp;id=urn:contentItem:5F7T-S7G1-F5KY-B1V7-00000-00&amp;context=" TargetMode="External" /><Relationship Id="rId171" Type="http://schemas.openxmlformats.org/officeDocument/2006/relationships/hyperlink" Target="https://advance.lexis.com/api/document?collection=cases-ca&amp;id=urn:contentItem:5F7T-S7N1-JGHR-M3CJ-00000-00&amp;context=" TargetMode="External" /><Relationship Id="rId172" Type="http://schemas.openxmlformats.org/officeDocument/2006/relationships/hyperlink" Target="https://advance.lexis.com/api/document?collection=cases-ca&amp;id=urn:contentItem:5F7T-S7P1-JG02-S47C-00000-00&amp;context=" TargetMode="External" /><Relationship Id="rId173" Type="http://schemas.openxmlformats.org/officeDocument/2006/relationships/hyperlink" Target="https://advance.lexis.com/api/document?collection=cases-ca&amp;id=urn:contentItem:5F7T-S7K1-JKHB-631H-00000-00&amp;context=" TargetMode="External" /><Relationship Id="rId174" Type="http://schemas.openxmlformats.org/officeDocument/2006/relationships/hyperlink" Target="https://advance.lexis.com/api/document?collection=cases-ca&amp;id=urn:contentItem:5F8T-N3V1-JTGH-B0YX-00000-00&amp;context=" TargetMode="External" /><Relationship Id="rId175" Type="http://schemas.openxmlformats.org/officeDocument/2006/relationships/hyperlink" Target="https://advance.lexis.com/api/document?collection=cases-ca&amp;id=urn:contentItem:5F8T-N3T1-JGHR-M1XV-00000-00&amp;context=" TargetMode="External" /><Relationship Id="rId176" Type="http://schemas.openxmlformats.org/officeDocument/2006/relationships/hyperlink" Target="https://advance.lexis.com/api/document?collection=cases-ca&amp;id=urn:contentItem:5F7T-S7N1-F06F-24DG-00000-00&amp;context=" TargetMode="External" /><Relationship Id="rId177" Type="http://schemas.openxmlformats.org/officeDocument/2006/relationships/hyperlink" Target="https://advance.lexis.com/api/document?collection=cases-ca&amp;id=urn:contentItem:5F7T-S7F1-JBT7-X2R8-00000-00&amp;context=" TargetMode="External" /><Relationship Id="rId178" Type="http://schemas.openxmlformats.org/officeDocument/2006/relationships/hyperlink" Target="https://advance.lexis.com/api/document?collection=cases-ca&amp;id=urn:contentItem:5F7T-S6W1-F7ND-G2RF-00000-00&amp;context=" TargetMode="External" /><Relationship Id="rId179" Type="http://schemas.openxmlformats.org/officeDocument/2006/relationships/hyperlink" Target="https://advance.lexis.com/api/document?collection=cases-ca&amp;id=urn:contentItem:5F7T-S751-JCJ5-24JV-00000-00&amp;context=" TargetMode="External" /><Relationship Id="rId18" Type="http://schemas.openxmlformats.org/officeDocument/2006/relationships/hyperlink" Target="https://advance.lexis.com/api/document?collection=cases-ca&amp;id=urn:contentItem:5F7T-S741-F1H1-21DT-00000-00&amp;context=" TargetMode="External" /><Relationship Id="rId180" Type="http://schemas.openxmlformats.org/officeDocument/2006/relationships/hyperlink" Target="https://advance.lexis.com/api/document?collection=cases-ca&amp;id=urn:contentItem:5F7T-S6T1-F361-M02B-00000-00&amp;context=" TargetMode="External" /><Relationship Id="rId181" Type="http://schemas.openxmlformats.org/officeDocument/2006/relationships/hyperlink" Target="https://advance.lexis.com/api/document?collection=cases-ca&amp;id=urn:contentItem:5F8T-N3V1-FC1F-M48G-00000-00&amp;context=" TargetMode="External" /><Relationship Id="rId182" Type="http://schemas.openxmlformats.org/officeDocument/2006/relationships/hyperlink" Target="https://advance.lexis.com/api/document?collection=cases-ca&amp;id=urn:contentItem:5F8T-N3V1-JTGH-B0YP-00000-00&amp;context=" TargetMode="External" /><Relationship Id="rId183" Type="http://schemas.openxmlformats.org/officeDocument/2006/relationships/header" Target="header16.xml" /><Relationship Id="rId184" Type="http://schemas.openxmlformats.org/officeDocument/2006/relationships/header" Target="header17.xml" /><Relationship Id="rId185" Type="http://schemas.openxmlformats.org/officeDocument/2006/relationships/footer" Target="footer16.xml" /><Relationship Id="rId186" Type="http://schemas.openxmlformats.org/officeDocument/2006/relationships/footer" Target="footer17.xml" /><Relationship Id="rId187" Type="http://schemas.openxmlformats.org/officeDocument/2006/relationships/header" Target="header18.xml" /><Relationship Id="rId188" Type="http://schemas.openxmlformats.org/officeDocument/2006/relationships/footer" Target="footer18.xml" /><Relationship Id="rId189" Type="http://schemas.openxmlformats.org/officeDocument/2006/relationships/hyperlink" Target="https://advance.lexis.com/api/document?collection=cases-ca&amp;id=urn:contentItem:5F7T-S7K1-JWXF-21BK-00000-00&amp;context=" TargetMode="External" /><Relationship Id="rId19" Type="http://schemas.openxmlformats.org/officeDocument/2006/relationships/hyperlink" Target="https://advance.lexis.com/api/document?collection=cases-ca&amp;id=urn:contentItem:5F7T-S741-DY89-M36K-00000-00&amp;context=" TargetMode="External" /><Relationship Id="rId190" Type="http://schemas.openxmlformats.org/officeDocument/2006/relationships/hyperlink" Target="https://advance.lexis.com/api/document?collection=cases-ca&amp;id=urn:contentItem:5K6Y-81M1-F81W-23SY-00000-00&amp;context=" TargetMode="External" /><Relationship Id="rId191" Type="http://schemas.openxmlformats.org/officeDocument/2006/relationships/hyperlink" Target="https://advance.lexis.com/api/document?collection=cases-ca&amp;id=urn:contentItem:5XR8-3VW1-JBDT-B2TS-00000-00&amp;context=" TargetMode="External" /><Relationship Id="rId192" Type="http://schemas.openxmlformats.org/officeDocument/2006/relationships/hyperlink" Target="https://advance.lexis.com/api/document?collection=cases-ca&amp;id=urn:contentItem:5F81-VJX1-JP9P-G4MS-00000-00&amp;context=" TargetMode="External" /><Relationship Id="rId193" Type="http://schemas.openxmlformats.org/officeDocument/2006/relationships/hyperlink" Target="https://advance.lexis.com/api/document?collection=cases-ca&amp;id=urn:contentItem:5F8T-N3V1-JTGH-B184-00000-00&amp;context=" TargetMode="External" /><Relationship Id="rId194" Type="http://schemas.openxmlformats.org/officeDocument/2006/relationships/hyperlink" Target="https://advance.lexis.com/api/document?collection=cases-ca&amp;id=urn:contentItem:5F7T-S721-FD4T-B0MF-00000-00&amp;context=" TargetMode="External" /><Relationship Id="rId195" Type="http://schemas.openxmlformats.org/officeDocument/2006/relationships/hyperlink" Target="https://advance.lexis.com/api/document?collection=cases-ca&amp;id=urn:contentItem:5F7T-S7D1-DY89-M463-00000-00&amp;context=" TargetMode="External" /><Relationship Id="rId196" Type="http://schemas.openxmlformats.org/officeDocument/2006/relationships/hyperlink" Target="https://advance.lexis.com/api/document?collection=cases-ca&amp;id=urn:contentItem:5F7T-S7H1-F016-S3X8-00000-00&amp;context=" TargetMode="External" /><Relationship Id="rId197" Type="http://schemas.openxmlformats.org/officeDocument/2006/relationships/hyperlink" Target="https://advance.lexis.com/api/document?collection=cases-ca&amp;id=urn:contentItem:5F7T-S771-JN14-G2PR-00000-00&amp;context=" TargetMode="External" /><Relationship Id="rId198" Type="http://schemas.openxmlformats.org/officeDocument/2006/relationships/hyperlink" Target="https://advance.lexis.com/api/document?collection=cases-ca&amp;id=urn:contentItem:5F7T-S7J1-DXWW-24R0-00000-00&amp;context=" TargetMode="External" /><Relationship Id="rId199" Type="http://schemas.openxmlformats.org/officeDocument/2006/relationships/header" Target="header19.xm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7T-S711-F5KY-B13W-00000-00&amp;context=" TargetMode="External" /><Relationship Id="rId200" Type="http://schemas.openxmlformats.org/officeDocument/2006/relationships/header" Target="header20.xml" /><Relationship Id="rId201" Type="http://schemas.openxmlformats.org/officeDocument/2006/relationships/footer" Target="footer19.xml" /><Relationship Id="rId202" Type="http://schemas.openxmlformats.org/officeDocument/2006/relationships/footer" Target="footer20.xml" /><Relationship Id="rId203" Type="http://schemas.openxmlformats.org/officeDocument/2006/relationships/header" Target="header21.xml" /><Relationship Id="rId204" Type="http://schemas.openxmlformats.org/officeDocument/2006/relationships/footer" Target="footer21.xml" /><Relationship Id="rId205" Type="http://schemas.openxmlformats.org/officeDocument/2006/relationships/hyperlink" Target="https://advance.lexis.com/api/document?collection=cases-ca&amp;id=urn:contentItem:5F7T-S7N1-JW09-M11S-00000-00&amp;context=" TargetMode="External" /><Relationship Id="rId206" Type="http://schemas.openxmlformats.org/officeDocument/2006/relationships/hyperlink" Target="https://advance.lexis.com/api/document?collection=cases-ca&amp;id=urn:contentItem:5F7T-S7M1-F4W2-6247-00000-00&amp;context=" TargetMode="External" /><Relationship Id="rId207" Type="http://schemas.openxmlformats.org/officeDocument/2006/relationships/hyperlink" Target="https://advance.lexis.com/api/document?collection=cases-ca&amp;id=urn:contentItem:5F7T-S761-FGJR-22SB-00000-00&amp;context=" TargetMode="External" /><Relationship Id="rId208" Type="http://schemas.openxmlformats.org/officeDocument/2006/relationships/hyperlink" Target="https://advance.lexis.com/api/document?collection=cases-ca&amp;id=urn:contentItem:5F7T-S7J1-JYYX-623B-00000-00&amp;context=" TargetMode="External" /><Relationship Id="rId209" Type="http://schemas.openxmlformats.org/officeDocument/2006/relationships/hyperlink" Target="https://advance.lexis.com/api/document?collection=cases-ca&amp;id=urn:contentItem:5F8T-N3P1-FC6N-X1MN-00000-00&amp;context=" TargetMode="External" /><Relationship Id="rId21" Type="http://schemas.openxmlformats.org/officeDocument/2006/relationships/hyperlink" Target="https://advance.lexis.com/api/document?collection=cases-ca&amp;id=urn:contentItem:5F7T-S741-F8D9-M1VS-00000-00&amp;context=" TargetMode="External" /><Relationship Id="rId210" Type="http://schemas.openxmlformats.org/officeDocument/2006/relationships/hyperlink" Target="https://advance.lexis.com/api/document?collection=cases-ca&amp;id=urn:contentItem:5F7T-S6W1-JXNB-6262-00000-00&amp;context=" TargetMode="External" /><Relationship Id="rId211" Type="http://schemas.openxmlformats.org/officeDocument/2006/relationships/hyperlink" Target="https://advance.lexis.com/api/document?collection=cases-ca&amp;id=urn:contentItem:5F7T-S7F1-FFFC-B225-00000-00&amp;context=" TargetMode="External" /><Relationship Id="rId212" Type="http://schemas.openxmlformats.org/officeDocument/2006/relationships/hyperlink" Target="https://advance.lexis.com/api/document?collection=cases-ca&amp;id=urn:contentItem:5F16-9351-FFFC-B31K-00000-00&amp;context=" TargetMode="External" /><Relationship Id="rId213" Type="http://schemas.openxmlformats.org/officeDocument/2006/relationships/hyperlink" Target="https://advance.lexis.com/api/document?collection=cases-ca&amp;id=urn:contentItem:5F82-1SF1-K054-G43D-00000-00&amp;context=" TargetMode="External" /><Relationship Id="rId214" Type="http://schemas.openxmlformats.org/officeDocument/2006/relationships/hyperlink" Target="https://advance.lexis.com/api/document?collection=cases-ca&amp;id=urn:contentItem:5F7T-S7F1-FFFC-B1RP-00000-00&amp;context=" TargetMode="External" /><Relationship Id="rId215" Type="http://schemas.openxmlformats.org/officeDocument/2006/relationships/hyperlink" Target="https://advance.lexis.com/api/document?collection=cases-ca&amp;id=urn:contentItem:5F7T-S7B1-JSRM-60CK-00000-00&amp;context=" TargetMode="External" /><Relationship Id="rId216" Type="http://schemas.openxmlformats.org/officeDocument/2006/relationships/hyperlink" Target="https://advance.lexis.com/api/document?collection=cases-ca&amp;id=urn:contentItem:5F7T-S7J1-DXWW-251K-00000-00&amp;context=" TargetMode="External" /><Relationship Id="rId217" Type="http://schemas.openxmlformats.org/officeDocument/2006/relationships/hyperlink" Target="https://advance.lexis.com/api/document?collection=cases-ca&amp;id=urn:contentItem:5F7T-S7B1-FH4C-X39D-00000-00&amp;context=" TargetMode="External" /><Relationship Id="rId218" Type="http://schemas.openxmlformats.org/officeDocument/2006/relationships/hyperlink" Target="https://advance.lexis.com/api/document?collection=cases-ca&amp;id=urn:contentItem:5F7T-S7G1-F5KY-B1TX-00000-00&amp;context=" TargetMode="External" /><Relationship Id="rId219" Type="http://schemas.openxmlformats.org/officeDocument/2006/relationships/hyperlink" Target="https://advance.lexis.com/api/document?collection=cases-ca&amp;id=urn:contentItem:5F7T-S7K1-F528-G2KG-00000-00&amp;context=" TargetMode="External" /><Relationship Id="rId22" Type="http://schemas.openxmlformats.org/officeDocument/2006/relationships/hyperlink" Target="https://advance.lexis.com/api/document?collection=cases-ca&amp;id=urn:contentItem:5F7T-S771-F81W-22RY-00000-00&amp;context=" TargetMode="External" /><Relationship Id="rId220" Type="http://schemas.openxmlformats.org/officeDocument/2006/relationships/hyperlink" Target="https://advance.lexis.com/api/document?collection=cases-ca&amp;id=urn:contentItem:5F7T-S7C1-FGRY-B03P-00000-00&amp;context=" TargetMode="External" /><Relationship Id="rId221" Type="http://schemas.openxmlformats.org/officeDocument/2006/relationships/header" Target="header22.xml" /><Relationship Id="rId222" Type="http://schemas.openxmlformats.org/officeDocument/2006/relationships/header" Target="header23.xml" /><Relationship Id="rId223" Type="http://schemas.openxmlformats.org/officeDocument/2006/relationships/footer" Target="footer22.xml" /><Relationship Id="rId224" Type="http://schemas.openxmlformats.org/officeDocument/2006/relationships/footer" Target="footer23.xml" /><Relationship Id="rId225" Type="http://schemas.openxmlformats.org/officeDocument/2006/relationships/header" Target="header24.xml" /><Relationship Id="rId226" Type="http://schemas.openxmlformats.org/officeDocument/2006/relationships/footer" Target="footer24.xml" /><Relationship Id="rId227" Type="http://schemas.openxmlformats.org/officeDocument/2006/relationships/hyperlink" Target="https://advance.lexis.com/api/document?collection=cases-ca&amp;id=urn:contentItem:5F7T-S7J1-JYYX-62G0-00000-00&amp;context=" TargetMode="External" /><Relationship Id="rId228" Type="http://schemas.openxmlformats.org/officeDocument/2006/relationships/hyperlink" Target="https://advance.lexis.com/api/document?collection=cases-ca&amp;id=urn:contentItem:5K6Y-81M1-DXHD-G2R8-00000-00&amp;context=" TargetMode="External" /><Relationship Id="rId229" Type="http://schemas.openxmlformats.org/officeDocument/2006/relationships/hyperlink" Target="https://advance.lexis.com/api/document?collection=cases-ca&amp;id=urn:contentItem:5F7T-S7F1-FFFC-B20P-00000-00&amp;context=" TargetMode="External" /><Relationship Id="rId23" Type="http://schemas.openxmlformats.org/officeDocument/2006/relationships/hyperlink" Target="https://advance.lexis.com/api/document?collection=cases-ca&amp;id=urn:contentItem:5F7T-S6V1-F956-S08J-00000-00&amp;context=" TargetMode="External" /><Relationship Id="rId230" Type="http://schemas.openxmlformats.org/officeDocument/2006/relationships/hyperlink" Target="https://advance.lexis.com/api/document?collection=cases-ca&amp;id=urn:contentItem:5F7T-S7H1-JCRC-B110-00000-00&amp;context=" TargetMode="External" /><Relationship Id="rId231" Type="http://schemas.openxmlformats.org/officeDocument/2006/relationships/header" Target="header25.xml" /><Relationship Id="rId232" Type="http://schemas.openxmlformats.org/officeDocument/2006/relationships/header" Target="header26.xml" /><Relationship Id="rId233" Type="http://schemas.openxmlformats.org/officeDocument/2006/relationships/footer" Target="footer25.xml" /><Relationship Id="rId234" Type="http://schemas.openxmlformats.org/officeDocument/2006/relationships/footer" Target="footer26.xml" /><Relationship Id="rId235" Type="http://schemas.openxmlformats.org/officeDocument/2006/relationships/header" Target="header27.xml" /><Relationship Id="rId236" Type="http://schemas.openxmlformats.org/officeDocument/2006/relationships/footer" Target="footer27.xml" /><Relationship Id="rId237" Type="http://schemas.openxmlformats.org/officeDocument/2006/relationships/hyperlink" Target="https://advance.lexis.com/api/document?collection=cases-ca&amp;id=urn:contentItem:5K6Y-81N1-JFDC-X1DM-00000-00&amp;context=" TargetMode="External" /><Relationship Id="rId238" Type="http://schemas.openxmlformats.org/officeDocument/2006/relationships/hyperlink" Target="https://advance.lexis.com/api/document?collection=cases-ca&amp;id=urn:contentItem:5F7T-S7P1-JCRC-B27D-00000-00&amp;context=" TargetMode="External" /><Relationship Id="rId239" Type="http://schemas.openxmlformats.org/officeDocument/2006/relationships/hyperlink" Target="https://advance.lexis.com/api/document?collection=cases-ca&amp;id=urn:contentItem:5F7T-S7N1-DXWW-20H6-00000-00&amp;context=" TargetMode="External" /><Relationship Id="rId24" Type="http://schemas.openxmlformats.org/officeDocument/2006/relationships/hyperlink" Target="https://advance.lexis.com/api/document?collection=cases-ca&amp;id=urn:contentItem:5F7T-S7F1-DXWW-242X-00000-00&amp;context=" TargetMode="External" /><Relationship Id="rId240" Type="http://schemas.openxmlformats.org/officeDocument/2006/relationships/hyperlink" Target="https://advance.lexis.com/api/document?collection=cases-ca&amp;id=urn:contentItem:5F7T-S7J1-JNS1-M2FB-00000-00&amp;context=" TargetMode="External" /><Relationship Id="rId241" Type="http://schemas.openxmlformats.org/officeDocument/2006/relationships/hyperlink" Target="https://advance.lexis.com/api/document?collection=legislation-ca&amp;id=urn:contentItem:5F41-1FJ1-JBDT-B066-00000-00&amp;context=" TargetMode="External" /><Relationship Id="rId242" Type="http://schemas.openxmlformats.org/officeDocument/2006/relationships/header" Target="header28.xml" /><Relationship Id="rId243" Type="http://schemas.openxmlformats.org/officeDocument/2006/relationships/header" Target="header29.xml" /><Relationship Id="rId244" Type="http://schemas.openxmlformats.org/officeDocument/2006/relationships/footer" Target="footer28.xml" /><Relationship Id="rId245" Type="http://schemas.openxmlformats.org/officeDocument/2006/relationships/footer" Target="footer29.xml" /><Relationship Id="rId246" Type="http://schemas.openxmlformats.org/officeDocument/2006/relationships/header" Target="header30.xml" /><Relationship Id="rId247" Type="http://schemas.openxmlformats.org/officeDocument/2006/relationships/footer" Target="footer30.xml" /><Relationship Id="rId248" Type="http://schemas.openxmlformats.org/officeDocument/2006/relationships/hyperlink" Target="https://advance.lexis.com/api/document?collection=cases-ca&amp;id=urn:contentItem:5F7T-S791-JCJ5-2556-00000-00&amp;context=" TargetMode="External" /><Relationship Id="rId249" Type="http://schemas.openxmlformats.org/officeDocument/2006/relationships/hyperlink" Target="https://advance.lexis.com/api/document?collection=legislation-ca&amp;id=urn:contentItem:5VYK-WB41-F22N-X4VK-00000-00&amp;context=" TargetMode="External" /><Relationship Id="rId25" Type="http://schemas.openxmlformats.org/officeDocument/2006/relationships/hyperlink" Target="https://advance.lexis.com/api/document?collection=cases-ca&amp;id=urn:contentItem:5F7T-S6T1-JK4W-M030-00000-00&amp;context=" TargetMode="External" /><Relationship Id="rId250" Type="http://schemas.openxmlformats.org/officeDocument/2006/relationships/hyperlink" Target="https://advance.lexis.com/api/document?collection=legislation-ca&amp;id=urn:contentItem:5VYK-W9Y1-F2MB-S2P9-00000-00&amp;context=" TargetMode="External" /><Relationship Id="rId251" Type="http://schemas.openxmlformats.org/officeDocument/2006/relationships/hyperlink" Target="https://advance.lexis.com/api/document?collection=cases-ca&amp;id=urn:contentItem:5F7T-S711-JB2B-S0W5-00000-00&amp;context=" TargetMode="External" /><Relationship Id="rId252" Type="http://schemas.openxmlformats.org/officeDocument/2006/relationships/hyperlink" Target="https://advance.lexis.com/api/document?collection=cases-ca&amp;id=urn:contentItem:5F81-YGM1-JG02-S15P-00000-00&amp;context=" TargetMode="External" /><Relationship Id="rId253" Type="http://schemas.openxmlformats.org/officeDocument/2006/relationships/hyperlink" Target="https://advance.lexis.com/api/document?collection=cases-ca&amp;id=urn:contentItem:5F7T-S771-F2TK-22T7-00000-00&amp;context=" TargetMode="External" /><Relationship Id="rId254" Type="http://schemas.openxmlformats.org/officeDocument/2006/relationships/hyperlink" Target="https://advance.lexis.com/api/document?collection=cases-ca&amp;id=urn:contentItem:5F7T-S761-FFMK-M0YJ-00000-00&amp;context=" TargetMode="External" /><Relationship Id="rId255" Type="http://schemas.openxmlformats.org/officeDocument/2006/relationships/hyperlink" Target="https://advance.lexis.com/api/document?collection=cases-ca&amp;id=urn:contentItem:5F7F-5RG1-F4NT-X0CY-00000-00&amp;context=" TargetMode="External" /><Relationship Id="rId256" Type="http://schemas.openxmlformats.org/officeDocument/2006/relationships/hyperlink" Target="https://advance.lexis.com/api/document?collection=cases-ca&amp;id=urn:contentItem:5F8T-N3R1-JNS1-M157-00000-00&amp;context=" TargetMode="External" /><Relationship Id="rId257" Type="http://schemas.openxmlformats.org/officeDocument/2006/relationships/hyperlink" Target="https://advance.lexis.com/api/document?collection=cases-ca&amp;id=urn:contentItem:5F8T-N3R1-JNS1-M0NS-00000-00&amp;context=" TargetMode="External" /><Relationship Id="rId258" Type="http://schemas.openxmlformats.org/officeDocument/2006/relationships/hyperlink" Target="https://advance.lexis.com/api/document?collection=cases-ca&amp;id=urn:contentItem:5F8T-N3T1-JJSF-2339-00000-00&amp;context=" TargetMode="External" /><Relationship Id="rId259" Type="http://schemas.openxmlformats.org/officeDocument/2006/relationships/hyperlink" Target="https://advance.lexis.com/api/document?collection=cases-ca&amp;id=urn:contentItem:5F8T-N3V1-JF75-M3CG-00000-00&amp;context=" TargetMode="External" /><Relationship Id="rId26" Type="http://schemas.openxmlformats.org/officeDocument/2006/relationships/hyperlink" Target="https://advance.lexis.com/api/document?collection=cases-ca&amp;id=urn:contentItem:5F7T-S7K1-JWXF-20XW-00000-00&amp;context=" TargetMode="External" /><Relationship Id="rId260" Type="http://schemas.openxmlformats.org/officeDocument/2006/relationships/hyperlink" Target="https://advance.lexis.com/api/document?collection=cases-ca&amp;id=urn:contentItem:5F81-VJX1-FFTT-X1D5-00000-00&amp;context=" TargetMode="External" /><Relationship Id="rId261" Type="http://schemas.openxmlformats.org/officeDocument/2006/relationships/hyperlink" Target="https://advance.lexis.com/api/document?collection=cases-ca&amp;id=urn:contentItem:5F7T-S781-FH4C-X2S4-00000-00&amp;context=" TargetMode="External" /><Relationship Id="rId262" Type="http://schemas.openxmlformats.org/officeDocument/2006/relationships/hyperlink" Target="https://advance.lexis.com/api/document?collection=cases-ca&amp;id=urn:contentItem:5F7T-XPV1-F4W2-6323-00000-00&amp;context=" TargetMode="External" /><Relationship Id="rId263" Type="http://schemas.openxmlformats.org/officeDocument/2006/relationships/hyperlink" Target="https://advance.lexis.com/api/document?collection=cases-ca&amp;id=urn:contentItem:5F8W-M431-JF1Y-B4PW-00000-00&amp;context=" TargetMode="External" /><Relationship Id="rId264" Type="http://schemas.openxmlformats.org/officeDocument/2006/relationships/hyperlink" Target="https://advance.lexis.com/api/document?collection=cases-ca&amp;id=urn:contentItem:5F8T-N3V1-FC1F-M437-00000-00&amp;context=" TargetMode="External" /><Relationship Id="rId265" Type="http://schemas.openxmlformats.org/officeDocument/2006/relationships/hyperlink" Target="https://advance.lexis.com/api/document?collection=cases-ca&amp;id=urn:contentItem:5F8T-N3V1-FC1F-M438-00000-00&amp;context=" TargetMode="External" /><Relationship Id="rId266" Type="http://schemas.openxmlformats.org/officeDocument/2006/relationships/hyperlink" Target="https://advance.lexis.com/api/document?collection=cases-ca&amp;id=urn:contentItem:5F8T-N3S1-JT99-253Y-00000-00&amp;context=" TargetMode="External" /><Relationship Id="rId267" Type="http://schemas.openxmlformats.org/officeDocument/2006/relationships/hyperlink" Target="https://advance.lexis.com/api/document?collection=cases-ca&amp;id=urn:contentItem:5F8T-N3V1-FC1F-M48W-00000-00&amp;context=" TargetMode="External" /><Relationship Id="rId268" Type="http://schemas.openxmlformats.org/officeDocument/2006/relationships/hyperlink" Target="https://advance.lexis.com/api/document?collection=legislation-ca&amp;id=urn:contentItem:5W07-7FT1-DY89-M0PX-00000-00&amp;context=" TargetMode="External" /><Relationship Id="rId269" Type="http://schemas.openxmlformats.org/officeDocument/2006/relationships/hyperlink" Target="https://advance.lexis.com/api/document?collection=legislation-ca&amp;id=urn:contentItem:5W07-7FV1-JTGH-B2YF-00000-00&amp;context=" TargetMode="External" /><Relationship Id="rId27" Type="http://schemas.openxmlformats.org/officeDocument/2006/relationships/hyperlink" Target="https://advance.lexis.com/api/document?collection=cases-ca&amp;id=urn:contentItem:5F7T-S7P1-JP4G-61T8-00000-00&amp;context=" TargetMode="External" /><Relationship Id="rId270" Type="http://schemas.openxmlformats.org/officeDocument/2006/relationships/header" Target="header31.xml" /><Relationship Id="rId271" Type="http://schemas.openxmlformats.org/officeDocument/2006/relationships/header" Target="header32.xml" /><Relationship Id="rId272" Type="http://schemas.openxmlformats.org/officeDocument/2006/relationships/footer" Target="footer31.xml" /><Relationship Id="rId273" Type="http://schemas.openxmlformats.org/officeDocument/2006/relationships/footer" Target="footer32.xml" /><Relationship Id="rId274" Type="http://schemas.openxmlformats.org/officeDocument/2006/relationships/header" Target="header33.xml" /><Relationship Id="rId275" Type="http://schemas.openxmlformats.org/officeDocument/2006/relationships/footer" Target="footer33.xml" /><Relationship Id="rId276" Type="http://schemas.openxmlformats.org/officeDocument/2006/relationships/hyperlink" Target="https://advance.lexis.com/api/document?collection=cases-ca&amp;id=urn:contentItem:5F7T-S7P1-JBDT-B19D-00000-00&amp;context=" TargetMode="External" /><Relationship Id="rId277" Type="http://schemas.openxmlformats.org/officeDocument/2006/relationships/hyperlink" Target="https://advance.lexis.com/api/document?collection=legislation-ca&amp;id=urn:contentItem:5F41-1FH1-F361-M0HN-00000-00&amp;context=" TargetMode="External" /><Relationship Id="rId278" Type="http://schemas.openxmlformats.org/officeDocument/2006/relationships/hyperlink" Target="https://advance.lexis.com/api/document?collection=cases-ca&amp;id=urn:contentItem:5F7T-S7M1-DYMS-62JN-00000-00&amp;context=" TargetMode="External" /><Relationship Id="rId279" Type="http://schemas.openxmlformats.org/officeDocument/2006/relationships/hyperlink" Target="https://advance.lexis.com/api/document?collection=cases-ca&amp;id=urn:contentItem:5F7T-S711-FJDY-X3FC-00000-00&amp;context=" TargetMode="External" /><Relationship Id="rId28" Type="http://schemas.openxmlformats.org/officeDocument/2006/relationships/hyperlink" Target="https://advance.lexis.com/api/document?collection=cases-ca&amp;id=urn:contentItem:5GCC-XVB1-JGHR-M4P4-00000-00&amp;context=" TargetMode="External" /><Relationship Id="rId280" Type="http://schemas.openxmlformats.org/officeDocument/2006/relationships/hyperlink" Target="https://advance.lexis.com/api/document?collection=cases-ca&amp;id=urn:contentItem:5F7T-S7H1-JCRC-B104-00000-00&amp;context=" TargetMode="External" /><Relationship Id="rId281" Type="http://schemas.openxmlformats.org/officeDocument/2006/relationships/hyperlink" Target="https://advance.lexis.com/api/document?collection=cases-ca&amp;id=urn:contentItem:5F7T-S7N1-F57G-S2PF-00000-00&amp;context=" TargetMode="External" /><Relationship Id="rId282" Type="http://schemas.openxmlformats.org/officeDocument/2006/relationships/hyperlink" Target="https://advance.lexis.com/api/document?collection=cases-ca&amp;id=urn:contentItem:5F7T-S7J1-JNS1-M2G2-00000-00&amp;context=" TargetMode="External" /><Relationship Id="rId283" Type="http://schemas.openxmlformats.org/officeDocument/2006/relationships/hyperlink" Target="https://advance.lexis.com/api/document?collection=cases-ca&amp;id=urn:contentItem:5F7T-S7F1-JK4W-M1P3-00000-00&amp;context=" TargetMode="External" /><Relationship Id="rId284" Type="http://schemas.openxmlformats.org/officeDocument/2006/relationships/hyperlink" Target="https://advance.lexis.com/api/document?collection=cases-ca&amp;id=urn:contentItem:5F7T-S7B1-F7ND-G50F-00000-00&amp;context=" TargetMode="External" /><Relationship Id="rId285" Type="http://schemas.openxmlformats.org/officeDocument/2006/relationships/hyperlink" Target="https://advance.lexis.com/api/document?collection=cases-ca&amp;id=urn:contentItem:5F7T-S6W1-JB7K-21F4-00000-00&amp;context=" TargetMode="External" /><Relationship Id="rId286" Type="http://schemas.openxmlformats.org/officeDocument/2006/relationships/hyperlink" Target="https://advance.lexis.com/api/document?collection=cases-ca&amp;id=urn:contentItem:5F7T-S731-F1WF-M2HD-00000-00&amp;context=" TargetMode="External" /><Relationship Id="rId287" Type="http://schemas.openxmlformats.org/officeDocument/2006/relationships/hyperlink" Target="https://advance.lexis.com/api/document?collection=cases-ca&amp;id=urn:contentItem:5F7T-S731-DY33-B0YN-00000-00&amp;context=" TargetMode="External" /><Relationship Id="rId288" Type="http://schemas.openxmlformats.org/officeDocument/2006/relationships/hyperlink" Target="https://advance.lexis.com/api/document?collection=cases-ca&amp;id=urn:contentItem:5F7T-S7M1-JCRC-B1TW-00000-00&amp;context=" TargetMode="External" /><Relationship Id="rId289" Type="http://schemas.openxmlformats.org/officeDocument/2006/relationships/header" Target="header34.xml" /><Relationship Id="rId29" Type="http://schemas.openxmlformats.org/officeDocument/2006/relationships/hyperlink" Target="https://advance.lexis.com/api/document?collection=cases-ca&amp;id=urn:contentItem:5F7T-S7G1-JWR6-S21H-00000-00&amp;context=" TargetMode="External" /><Relationship Id="rId290" Type="http://schemas.openxmlformats.org/officeDocument/2006/relationships/header" Target="header35.xml" /><Relationship Id="rId291" Type="http://schemas.openxmlformats.org/officeDocument/2006/relationships/footer" Target="footer34.xml" /><Relationship Id="rId292" Type="http://schemas.openxmlformats.org/officeDocument/2006/relationships/footer" Target="footer35.xml" /><Relationship Id="rId293" Type="http://schemas.openxmlformats.org/officeDocument/2006/relationships/header" Target="header36.xml" /><Relationship Id="rId294" Type="http://schemas.openxmlformats.org/officeDocument/2006/relationships/footer" Target="footer36.xml" /><Relationship Id="rId295" Type="http://schemas.openxmlformats.org/officeDocument/2006/relationships/hyperlink" Target="https://advance.lexis.com/api/document?collection=cases-ca&amp;id=urn:contentItem:5NHR-M691-FH4C-X2CB-00000-00&amp;context=" TargetMode="External" /><Relationship Id="rId296" Type="http://schemas.openxmlformats.org/officeDocument/2006/relationships/hyperlink" Target="https://advance.lexis.com/api/document?collection=cases-ca&amp;id=urn:contentItem:5PCD-P5K1-F8KH-X13F-00000-00&amp;context=" TargetMode="External" /><Relationship Id="rId297" Type="http://schemas.openxmlformats.org/officeDocument/2006/relationships/hyperlink" Target="https://advance.lexis.com/api/document?collection=legislation-ca&amp;id=urn:contentItem:5F41-1FG1-JJYN-B06G-00000-00&amp;context=" TargetMode="External" /><Relationship Id="rId298" Type="http://schemas.openxmlformats.org/officeDocument/2006/relationships/hyperlink" Target="https://advance.lexis.com/api/document?collection=legislation-ca&amp;id=urn:contentItem:5F41-1FH1-F361-M0FY-00000-00&amp;context=" TargetMode="External" /><Relationship Id="rId299" Type="http://schemas.openxmlformats.org/officeDocument/2006/relationships/hyperlink" Target="https://advance.lexis.com/api/document?collection=cases-ca&amp;id=urn:contentItem:5F7T-S7N1-JWR6-S2JD-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7C1-F7VM-S3N8-00000-00&amp;context=" TargetMode="External" /><Relationship Id="rId300" Type="http://schemas.openxmlformats.org/officeDocument/2006/relationships/hyperlink" Target="https://advance.lexis.com/api/document?collection=cases-ca&amp;id=urn:contentItem:5KT4-DY51-JW5H-X0HM-00000-00&amp;context=" TargetMode="External" /><Relationship Id="rId301" Type="http://schemas.openxmlformats.org/officeDocument/2006/relationships/hyperlink" Target="https://advance.lexis.com/api/document?collection=cases-ca&amp;id=urn:contentItem:5F8T-N3T1-JFKM-655K-00000-00&amp;context=" TargetMode="External" /><Relationship Id="rId302" Type="http://schemas.openxmlformats.org/officeDocument/2006/relationships/hyperlink" Target="https://advance.lexis.com/api/document?collection=cases-ca&amp;id=urn:contentItem:5F7T-S7J1-JYYX-625F-00000-00&amp;context=" TargetMode="External" /><Relationship Id="rId303" Type="http://schemas.openxmlformats.org/officeDocument/2006/relationships/hyperlink" Target="https://advance.lexis.com/api/document?collection=cases-ca&amp;id=urn:contentItem:5F8T-N3V1-JTGH-B0Y9-00000-00&amp;context=" TargetMode="External" /><Relationship Id="rId304" Type="http://schemas.openxmlformats.org/officeDocument/2006/relationships/hyperlink" Target="https://advance.lexis.com/api/document?collection=cases-ca&amp;id=urn:contentItem:5F7T-S7N1-F57G-S2HF-00000-00&amp;context=" TargetMode="External" /><Relationship Id="rId305" Type="http://schemas.openxmlformats.org/officeDocument/2006/relationships/hyperlink" Target="https://advance.lexis.com/api/document?collection=cases-ca&amp;id=urn:contentItem:5F7T-S7C1-JSRM-60TP-00000-00&amp;context=" TargetMode="External" /><Relationship Id="rId306" Type="http://schemas.openxmlformats.org/officeDocument/2006/relationships/hyperlink" Target="https://advance.lexis.com/api/document?collection=cases-ca&amp;id=urn:contentItem:5F8T-N3T1-JJSF-234V-00000-00&amp;context=" TargetMode="External" /><Relationship Id="rId307" Type="http://schemas.openxmlformats.org/officeDocument/2006/relationships/hyperlink" Target="https://advance.lexis.com/api/document?collection=cases-ca&amp;id=urn:contentItem:5F7T-S7H1-F016-S44K-00000-00&amp;context=" TargetMode="External" /><Relationship Id="rId308" Type="http://schemas.openxmlformats.org/officeDocument/2006/relationships/hyperlink" Target="https://advance.lexis.com/api/document?collection=cases-ca&amp;id=urn:contentItem:5F7T-S7G1-JNY7-X3K8-00000-00&amp;context=" TargetMode="External" /><Relationship Id="rId309" Type="http://schemas.openxmlformats.org/officeDocument/2006/relationships/hyperlink" Target="https://advance.lexis.com/api/document?collection=cases-ca&amp;id=urn:contentItem:5KP4-X8R1-JW09-M421-00000-00&amp;context=" TargetMode="External" /><Relationship Id="rId31" Type="http://schemas.openxmlformats.org/officeDocument/2006/relationships/hyperlink" Target="https://advance.lexis.com/api/document?collection=cases-ca&amp;id=urn:contentItem:5F7T-S7N1-DXWW-20DM-00000-00&amp;context=" TargetMode="External" /><Relationship Id="rId310" Type="http://schemas.openxmlformats.org/officeDocument/2006/relationships/hyperlink" Target="https://advance.lexis.com/api/document?collection=cases-ca&amp;id=urn:contentItem:5F7T-S7F1-JX3N-B1GV-00000-00&amp;context=" TargetMode="External" /><Relationship Id="rId311" Type="http://schemas.openxmlformats.org/officeDocument/2006/relationships/hyperlink" Target="https://advance.lexis.com/api/document?collection=cases-ca&amp;id=urn:contentItem:5F7T-S7M1-JFSV-G3KS-00000-00&amp;context=" TargetMode="External" /><Relationship Id="rId312" Type="http://schemas.openxmlformats.org/officeDocument/2006/relationships/hyperlink" Target="https://advance.lexis.com/api/document?collection=cases-ca&amp;id=urn:contentItem:5F7T-S7M1-JCRC-B1MM-00000-00&amp;context=" TargetMode="External" /><Relationship Id="rId313" Type="http://schemas.openxmlformats.org/officeDocument/2006/relationships/hyperlink" Target="https://advance.lexis.com/api/document?collection=cases-ca&amp;id=urn:contentItem:5F7T-S7P1-JP4G-61YC-00000-00&amp;context=" TargetMode="External" /><Relationship Id="rId314" Type="http://schemas.openxmlformats.org/officeDocument/2006/relationships/image" Target="media/image1.jpeg" /><Relationship Id="rId315" Type="http://schemas.openxmlformats.org/officeDocument/2006/relationships/hyperlink" Target="https://advance.lexis.com/api/document?collection=cases-ca&amp;id=urn:contentItem:5J0C-MF51-JSXV-G2N2-00000-00&amp;context=" TargetMode="External" /><Relationship Id="rId316" Type="http://schemas.openxmlformats.org/officeDocument/2006/relationships/hyperlink" Target="https://advance.lexis.com/api/document?collection=cases-ca&amp;id=urn:contentItem:5F82-1SH1-F8KH-X1YH-00000-00&amp;context=" TargetMode="External" /><Relationship Id="rId317" Type="http://schemas.openxmlformats.org/officeDocument/2006/relationships/hyperlink" Target="https://advance.lexis.com/api/document?collection=cases-ca&amp;id=urn:contentItem:5F7T-S7P1-JSJC-X1GW-00000-00&amp;context=" TargetMode="External" /><Relationship Id="rId318" Type="http://schemas.openxmlformats.org/officeDocument/2006/relationships/hyperlink" Target="https://advance.lexis.com/api/document?collection=cases-ca&amp;id=urn:contentItem:5F7T-S7P1-JG02-S46D-00000-00&amp;context=" TargetMode="External" /><Relationship Id="rId319" Type="http://schemas.openxmlformats.org/officeDocument/2006/relationships/hyperlink" Target="https://advance.lexis.com/api/document?collection=cases-ca&amp;id=urn:contentItem:5F7T-S7M1-JJK6-S25C-00000-00&amp;context=" TargetMode="External" /><Relationship Id="rId32" Type="http://schemas.openxmlformats.org/officeDocument/2006/relationships/hyperlink" Target="https://advance.lexis.com/api/document?collection=cases-ca&amp;id=urn:contentItem:5P1T-XTV1-JX8W-M3PG-00000-00&amp;context=" TargetMode="External" /><Relationship Id="rId320" Type="http://schemas.openxmlformats.org/officeDocument/2006/relationships/header" Target="header37.xml" /><Relationship Id="rId321" Type="http://schemas.openxmlformats.org/officeDocument/2006/relationships/header" Target="header38.xml" /><Relationship Id="rId322" Type="http://schemas.openxmlformats.org/officeDocument/2006/relationships/footer" Target="footer37.xml" /><Relationship Id="rId323" Type="http://schemas.openxmlformats.org/officeDocument/2006/relationships/footer" Target="footer38.xml" /><Relationship Id="rId324" Type="http://schemas.openxmlformats.org/officeDocument/2006/relationships/header" Target="header39.xml" /><Relationship Id="rId325" Type="http://schemas.openxmlformats.org/officeDocument/2006/relationships/footer" Target="footer39.xml" /><Relationship Id="rId326" Type="http://schemas.openxmlformats.org/officeDocument/2006/relationships/hyperlink" Target="https://advance.lexis.com/api/document?collection=cases-ca&amp;id=urn:contentItem:5NR9-HDN1-F8SS-651G-00000-00&amp;context=" TargetMode="External" /><Relationship Id="rId327" Type="http://schemas.openxmlformats.org/officeDocument/2006/relationships/hyperlink" Target="https://advance.lexis.com/api/document?collection=cases-ca&amp;id=urn:contentItem:5PMW-N271-JXNB-63KC-00000-00&amp;context=" TargetMode="External" /><Relationship Id="rId328" Type="http://schemas.openxmlformats.org/officeDocument/2006/relationships/hyperlink" Target="https://advance.lexis.com/api/document?collection=legislation-ca&amp;id=urn:contentItem:5F41-1FH1-F361-M0F5-00000-00&amp;context=" TargetMode="External" /><Relationship Id="rId329" Type="http://schemas.openxmlformats.org/officeDocument/2006/relationships/hyperlink" Target="https://advance.lexis.com/api/document?collection=cases-ca&amp;id=urn:contentItem:5F7T-S7P1-JSJC-X1M3-00000-00&amp;context=" TargetMode="External" /><Relationship Id="rId33" Type="http://schemas.openxmlformats.org/officeDocument/2006/relationships/hyperlink" Target="https://advance.lexis.com/api/document?collection=cases-ca&amp;id=urn:contentItem:5F8T-N3V1-JF75-M3CR-00000-00&amp;context=" TargetMode="External" /><Relationship Id="rId330" Type="http://schemas.openxmlformats.org/officeDocument/2006/relationships/hyperlink" Target="https://advance.lexis.com/api/document?collection=cases-ca&amp;id=urn:contentItem:5F7T-S7P1-F2TK-23K1-00000-00&amp;context=" TargetMode="External" /><Relationship Id="rId331" Type="http://schemas.openxmlformats.org/officeDocument/2006/relationships/hyperlink" Target="https://advance.lexis.com/api/document?collection=cases-ca&amp;id=urn:contentItem:5G3H-VVF1-JSRM-62N9-00000-00&amp;context=" TargetMode="External" /><Relationship Id="rId332" Type="http://schemas.openxmlformats.org/officeDocument/2006/relationships/hyperlink" Target="https://advance.lexis.com/api/document?collection=cases-ca&amp;id=urn:contentItem:5F7T-S741-DY89-M3BS-00000-00&amp;context=" TargetMode="External" /><Relationship Id="rId333" Type="http://schemas.openxmlformats.org/officeDocument/2006/relationships/hyperlink" Target="https://advance.lexis.com/api/document?collection=cases-ca&amp;id=urn:contentItem:5F7T-S7M1-DYMS-626K-00000-00&amp;context=" TargetMode="External" /><Relationship Id="rId334" Type="http://schemas.openxmlformats.org/officeDocument/2006/relationships/hyperlink" Target="https://advance.lexis.com/api/document?collection=cases-ca&amp;id=urn:contentItem:5F7T-S7M1-JNCK-22H0-00000-00&amp;context=" TargetMode="External" /><Relationship Id="rId335" Type="http://schemas.openxmlformats.org/officeDocument/2006/relationships/hyperlink" Target="https://advance.lexis.com/api/document?collection=cases-ca&amp;id=urn:contentItem:5F7T-S751-JX3N-B16B-00000-00&amp;context=" TargetMode="External" /><Relationship Id="rId336" Type="http://schemas.openxmlformats.org/officeDocument/2006/relationships/hyperlink" Target="https://advance.lexis.com/api/document?collection=cases-ca&amp;id=urn:contentItem:5F7T-S731-F60C-X12S-00000-00&amp;context=" TargetMode="External" /><Relationship Id="rId337" Type="http://schemas.openxmlformats.org/officeDocument/2006/relationships/hyperlink" Target="https://advance.lexis.com/api/document?collection=cases-ca&amp;id=urn:contentItem:5F7T-S7J1-JGBH-B2B9-00000-00&amp;context=" TargetMode="External" /><Relationship Id="rId338" Type="http://schemas.openxmlformats.org/officeDocument/2006/relationships/hyperlink" Target="https://advance.lexis.com/api/document?collection=cases-ca&amp;id=urn:contentItem:5F7T-S7M1-JNCK-22S2-00000-00&amp;context=" TargetMode="External" /><Relationship Id="rId339" Type="http://schemas.openxmlformats.org/officeDocument/2006/relationships/hyperlink" Target="https://advance.lexis.com/api/document?collection=cases-ca&amp;id=urn:contentItem:5F8P-SCK1-JCJ5-22YM-00000-00&amp;context=" TargetMode="External" /><Relationship Id="rId34" Type="http://schemas.openxmlformats.org/officeDocument/2006/relationships/hyperlink" Target="https://advance.lexis.com/api/document?collection=cases-ca&amp;id=urn:contentItem:5F7T-S7K1-JKHB-62YV-00000-00&amp;context=" TargetMode="External" /><Relationship Id="rId340" Type="http://schemas.openxmlformats.org/officeDocument/2006/relationships/hyperlink" Target="https://advance.lexis.com/api/document?collection=cases-ca&amp;id=urn:contentItem:5F7T-S7D1-JS5Y-B2JK-00000-00&amp;context=" TargetMode="External" /><Relationship Id="rId341" Type="http://schemas.openxmlformats.org/officeDocument/2006/relationships/hyperlink" Target="https://advance.lexis.com/api/document?collection=cases-ca&amp;id=urn:contentItem:5F7T-S7G1-JBT7-X40T-00000-00&amp;context=" TargetMode="External" /><Relationship Id="rId342" Type="http://schemas.openxmlformats.org/officeDocument/2006/relationships/hyperlink" Target="https://advance.lexis.com/api/document?collection=cases-ca&amp;id=urn:contentItem:5F7T-S7K1-JX3N-B31W-00000-00&amp;context=" TargetMode="External" /><Relationship Id="rId343" Type="http://schemas.openxmlformats.org/officeDocument/2006/relationships/hyperlink" Target="https://advance.lexis.com/api/document?collection=cases-ca&amp;id=urn:contentItem:5F7T-S7N1-DXWW-20CN-00000-00&amp;context=" TargetMode="External" /><Relationship Id="rId344" Type="http://schemas.openxmlformats.org/officeDocument/2006/relationships/hyperlink" Target="https://advance.lexis.com/api/document?collection=cases-ca&amp;id=urn:contentItem:5F7V-3DD1-FG68-G2C6-00000-00&amp;context=" TargetMode="External" /><Relationship Id="rId345" Type="http://schemas.openxmlformats.org/officeDocument/2006/relationships/hyperlink" Target="https://advance.lexis.com/api/document?collection=cases-ca&amp;id=urn:contentItem:5F7T-S7G1-JPP5-2210-00000-00&amp;context=" TargetMode="External" /><Relationship Id="rId346" Type="http://schemas.openxmlformats.org/officeDocument/2006/relationships/hyperlink" Target="https://advance.lexis.com/api/document?collection=cases-ca&amp;id=urn:contentItem:5F7T-S6X1-JTNR-M3X3-00000-00&amp;context=" TargetMode="External" /><Relationship Id="rId347" Type="http://schemas.openxmlformats.org/officeDocument/2006/relationships/hyperlink" Target="https://advance.lexis.com/api/document?collection=cases-ca&amp;id=urn:contentItem:5F82-1SF1-F361-M45M-00000-00&amp;context=" TargetMode="External" /><Relationship Id="rId348" Type="http://schemas.openxmlformats.org/officeDocument/2006/relationships/hyperlink" Target="https://advance.lexis.com/api/document?collection=cases-ca&amp;id=urn:contentItem:5JG1-HSD1-F5T5-M0SP-00000-00&amp;context=" TargetMode="External" /><Relationship Id="rId349" Type="http://schemas.openxmlformats.org/officeDocument/2006/relationships/hyperlink" Target="https://advance.lexis.com/api/document?collection=cases-ca&amp;id=urn:contentItem:5F7T-S7N1-F06F-24M7-00000-00&amp;context=" TargetMode="External" /><Relationship Id="rId35" Type="http://schemas.openxmlformats.org/officeDocument/2006/relationships/hyperlink" Target="https://advance.lexis.com/api/document?collection=cases-ca&amp;id=urn:contentItem:5F7T-S751-JBM1-M2CY-00000-00&amp;context=" TargetMode="External" /><Relationship Id="rId350" Type="http://schemas.openxmlformats.org/officeDocument/2006/relationships/hyperlink" Target="https://advance.lexis.com/api/document?collection=cases-ca&amp;id=urn:contentItem:5F8T-N3V1-JTGH-B0YB-00000-00&amp;context=" TargetMode="External" /><Relationship Id="rId351" Type="http://schemas.openxmlformats.org/officeDocument/2006/relationships/hyperlink" Target="https://advance.lexis.com/api/document?collection=cases-ca&amp;id=urn:contentItem:5F7T-S741-F528-G26C-00000-00&amp;context=" TargetMode="External" /><Relationship Id="rId352" Type="http://schemas.openxmlformats.org/officeDocument/2006/relationships/hyperlink" Target="https://advance.lexis.com/api/document?collection=cases-ca&amp;id=urn:contentItem:5F7T-S7P1-JP4G-61XC-00000-00&amp;context=" TargetMode="External" /><Relationship Id="rId353" Type="http://schemas.openxmlformats.org/officeDocument/2006/relationships/hyperlink" Target="https://advance.lexis.com/api/document?collection=cases-ca&amp;id=urn:contentItem:5F7T-S7M1-F4W2-62B8-00000-00&amp;context=" TargetMode="External" /><Relationship Id="rId354" Type="http://schemas.openxmlformats.org/officeDocument/2006/relationships/hyperlink" Target="https://advance.lexis.com/api/document?collection=cases-ca&amp;id=urn:contentItem:5F7T-S7D1-FC6N-X0DR-00000-00&amp;context=" TargetMode="External" /><Relationship Id="rId355" Type="http://schemas.openxmlformats.org/officeDocument/2006/relationships/hyperlink" Target="https://advance.lexis.com/api/document?collection=cases-ca&amp;id=urn:contentItem:5F7T-S7P1-JSJC-X1B5-00000-00&amp;context=" TargetMode="External" /><Relationship Id="rId356" Type="http://schemas.openxmlformats.org/officeDocument/2006/relationships/header" Target="header40.xml" /><Relationship Id="rId357" Type="http://schemas.openxmlformats.org/officeDocument/2006/relationships/header" Target="header41.xml" /><Relationship Id="rId358" Type="http://schemas.openxmlformats.org/officeDocument/2006/relationships/footer" Target="footer40.xml" /><Relationship Id="rId359" Type="http://schemas.openxmlformats.org/officeDocument/2006/relationships/footer" Target="footer41.xml" /><Relationship Id="rId36" Type="http://schemas.openxmlformats.org/officeDocument/2006/relationships/hyperlink" Target="https://advance.lexis.com/api/document?collection=cases-ca&amp;id=urn:contentItem:5F7T-S7F1-FBN1-21XT-00000-00&amp;context=" TargetMode="External" /><Relationship Id="rId360" Type="http://schemas.openxmlformats.org/officeDocument/2006/relationships/header" Target="header42.xml" /><Relationship Id="rId361" Type="http://schemas.openxmlformats.org/officeDocument/2006/relationships/footer" Target="footer42.xml" /><Relationship Id="rId362" Type="http://schemas.openxmlformats.org/officeDocument/2006/relationships/hyperlink" Target="https://advance.lexis.com/api/document?collection=cases-ca&amp;id=urn:contentItem:5F7T-S7M1-F4W2-62J5-00000-00&amp;context=" TargetMode="External" /><Relationship Id="rId363" Type="http://schemas.openxmlformats.org/officeDocument/2006/relationships/hyperlink" Target="https://advance.lexis.com/api/document?collection=cases-ca&amp;id=urn:contentItem:5K6Y-81N1-JN14-G233-00000-00&amp;context=" TargetMode="External" /><Relationship Id="rId364" Type="http://schemas.openxmlformats.org/officeDocument/2006/relationships/hyperlink" Target="https://advance.lexis.com/api/document?collection=cases-ca&amp;id=urn:contentItem:5F7T-S7K1-JSJC-X0NB-00000-00&amp;context=" TargetMode="External" /><Relationship Id="rId365" Type="http://schemas.openxmlformats.org/officeDocument/2006/relationships/hyperlink" Target="https://advance.lexis.com/api/document?collection=cases-ca&amp;id=urn:contentItem:5F8T-N3V1-JF75-M3GV-00000-00&amp;context=" TargetMode="External" /><Relationship Id="rId366" Type="http://schemas.openxmlformats.org/officeDocument/2006/relationships/hyperlink" Target="https://advance.lexis.com/api/document?collection=cases-ca&amp;id=urn:contentItem:5F8T-N3S1-JBDT-B05R-00000-00&amp;context=" TargetMode="External" /><Relationship Id="rId367" Type="http://schemas.openxmlformats.org/officeDocument/2006/relationships/hyperlink" Target="https://advance.lexis.com/api/document?collection=cases-ca&amp;id=urn:contentItem:5F7T-S7C1-F7VM-S3BF-00000-00&amp;context=" TargetMode="External" /><Relationship Id="rId368" Type="http://schemas.openxmlformats.org/officeDocument/2006/relationships/hyperlink" Target="https://advance.lexis.com/api/document?collection=cases-ca&amp;id=urn:contentItem:5F7T-S7D1-JN6B-S0WD-00000-00&amp;context=" TargetMode="External" /><Relationship Id="rId369" Type="http://schemas.openxmlformats.org/officeDocument/2006/relationships/hyperlink" Target="https://advance.lexis.com/api/document?collection=cases-ca&amp;id=urn:contentItem:5F7T-S7H1-JCRC-B13V-00000-00&amp;context=" TargetMode="External" /><Relationship Id="rId37" Type="http://schemas.openxmlformats.org/officeDocument/2006/relationships/hyperlink" Target="https://advance.lexis.com/api/document?collection=cases-ca&amp;id=urn:contentItem:5F7T-S7H1-FCSB-S3RY-00000-00&amp;context=" TargetMode="External" /><Relationship Id="rId370" Type="http://schemas.openxmlformats.org/officeDocument/2006/relationships/hyperlink" Target="https://advance.lexis.com/api/document?collection=cases-ca&amp;id=urn:contentItem:5F7T-S7F1-DXWW-247T-00000-00&amp;context=" TargetMode="External" /><Relationship Id="rId371" Type="http://schemas.openxmlformats.org/officeDocument/2006/relationships/header" Target="header43.xml" /><Relationship Id="rId372" Type="http://schemas.openxmlformats.org/officeDocument/2006/relationships/header" Target="header44.xml" /><Relationship Id="rId373" Type="http://schemas.openxmlformats.org/officeDocument/2006/relationships/footer" Target="footer43.xml" /><Relationship Id="rId374" Type="http://schemas.openxmlformats.org/officeDocument/2006/relationships/footer" Target="footer44.xml" /><Relationship Id="rId375" Type="http://schemas.openxmlformats.org/officeDocument/2006/relationships/header" Target="header45.xml" /><Relationship Id="rId376" Type="http://schemas.openxmlformats.org/officeDocument/2006/relationships/footer" Target="footer45.xml" /><Relationship Id="rId377" Type="http://schemas.openxmlformats.org/officeDocument/2006/relationships/hyperlink" Target="https://advance.lexis.com/api/document?collection=cases-ca&amp;id=urn:contentItem:5K6Y-81N1-JFDC-X1DD-00000-00&amp;context=" TargetMode="External" /><Relationship Id="rId378" Type="http://schemas.openxmlformats.org/officeDocument/2006/relationships/hyperlink" Target="https://advance.lexis.com/api/document?collection=cases-ca&amp;id=urn:contentItem:5F7T-S7P1-JCRC-B221-00000-00&amp;context=" TargetMode="External" /><Relationship Id="rId379" Type="http://schemas.openxmlformats.org/officeDocument/2006/relationships/hyperlink" Target="https://advance.lexis.com/api/document?collection=cases-ca&amp;id=urn:contentItem:5F8T-N3V1-FH4C-X1XK-00000-00&amp;context=" TargetMode="External" /><Relationship Id="rId38" Type="http://schemas.openxmlformats.org/officeDocument/2006/relationships/hyperlink" Target="https://advance.lexis.com/api/document?collection=cases-ca&amp;id=urn:contentItem:5GCC-XVC1-JSRM-60TC-00000-00&amp;context=" TargetMode="External" /><Relationship Id="rId380" Type="http://schemas.openxmlformats.org/officeDocument/2006/relationships/hyperlink" Target="https://advance.lexis.com/api/document?collection=cases-ca&amp;id=urn:contentItem:5F7T-S7M1-JJK6-S23T-00000-00&amp;context=" TargetMode="External" /><Relationship Id="rId381" Type="http://schemas.openxmlformats.org/officeDocument/2006/relationships/hyperlink" Target="https://advance.lexis.com/api/document?collection=cases-ca&amp;id=urn:contentItem:5F7T-S7N1-JWR6-S2FW-00000-00&amp;context=" TargetMode="External" /><Relationship Id="rId382" Type="http://schemas.openxmlformats.org/officeDocument/2006/relationships/hyperlink" Target="https://advance.lexis.com/api/document?collection=cases-ca&amp;id=urn:contentItem:5F7T-S771-F361-M1HH-00000-00&amp;context=" TargetMode="External" /><Relationship Id="rId383" Type="http://schemas.openxmlformats.org/officeDocument/2006/relationships/hyperlink" Target="https://advance.lexis.com/api/document?collection=cases-ca&amp;id=urn:contentItem:5F7T-S7D1-FC6N-X0FW-00000-00&amp;context=" TargetMode="External" /><Relationship Id="rId384" Type="http://schemas.openxmlformats.org/officeDocument/2006/relationships/hyperlink" Target="https://advance.lexis.com/api/document?collection=cases-ca&amp;id=urn:contentItem:5F81-VJY1-JPGX-S4PK-00000-00&amp;context=" TargetMode="External" /><Relationship Id="rId385" Type="http://schemas.openxmlformats.org/officeDocument/2006/relationships/hyperlink" Target="https://advance.lexis.com/api/document?collection=cases-ca&amp;id=urn:contentItem:5F7T-S761-FFMK-M0TR-00000-00&amp;context=" TargetMode="External" /><Relationship Id="rId386" Type="http://schemas.openxmlformats.org/officeDocument/2006/relationships/hyperlink" Target="https://advance.lexis.com/api/document?collection=cases-ca&amp;id=urn:contentItem:5F7T-S6X1-F1H1-20SP-00000-00&amp;context=" TargetMode="External" /><Relationship Id="rId387" Type="http://schemas.openxmlformats.org/officeDocument/2006/relationships/hyperlink" Target="https://advance.lexis.com/api/document?collection=cases-ca&amp;id=urn:contentItem:5F7T-S7B1-JCJ5-2033-00000-00&amp;context=" TargetMode="External" /><Relationship Id="rId388" Type="http://schemas.openxmlformats.org/officeDocument/2006/relationships/hyperlink" Target="https://advance.lexis.com/api/document?collection=cases-ca&amp;id=urn:contentItem:5F7T-S7C1-F4NT-X32C-00000-00&amp;context=" TargetMode="External" /><Relationship Id="rId389" Type="http://schemas.openxmlformats.org/officeDocument/2006/relationships/hyperlink" Target="https://advance.lexis.com/api/document?collection=cases-ca&amp;id=urn:contentItem:5F7T-S7D1-FBFS-S1W8-00000-00&amp;context=" TargetMode="External" /><Relationship Id="rId39" Type="http://schemas.openxmlformats.org/officeDocument/2006/relationships/hyperlink" Target="https://advance.lexis.com/api/document?collection=cases-ca&amp;id=urn:contentItem:5F7T-S7H1-JCRC-B0WC-00000-00&amp;context=" TargetMode="External" /><Relationship Id="rId390" Type="http://schemas.openxmlformats.org/officeDocument/2006/relationships/hyperlink" Target="https://advance.lexis.com/api/document?collection=cases-ca&amp;id=urn:contentItem:5F7T-S7N1-DXWW-20ND-00000-00&amp;context=" TargetMode="External" /><Relationship Id="rId391" Type="http://schemas.openxmlformats.org/officeDocument/2006/relationships/hyperlink" Target="https://advance.lexis.com/api/document?collection=cases-ca&amp;id=urn:contentItem:5F8P-SDD1-F57G-S0K1-00000-00&amp;context=" TargetMode="External" /><Relationship Id="rId392" Type="http://schemas.openxmlformats.org/officeDocument/2006/relationships/hyperlink" Target="https://advance.lexis.com/api/document?collection=cases-ca&amp;id=urn:contentItem:5F7V-3DJ1-F30T-B37H-00000-00&amp;context=" TargetMode="External" /><Relationship Id="rId393" Type="http://schemas.openxmlformats.org/officeDocument/2006/relationships/hyperlink" Target="https://advance.lexis.com/api/document?collection=cases-ca&amp;id=urn:contentItem:5F8T-N3T1-JGHR-M278-00000-00&amp;context=" TargetMode="External" /><Relationship Id="rId394" Type="http://schemas.openxmlformats.org/officeDocument/2006/relationships/hyperlink" Target="https://advance.lexis.com/api/document?collection=cases-ca&amp;id=urn:contentItem:5F8T-N3V1-JTGH-B1CS-00000-00&amp;context=" TargetMode="External" /><Relationship Id="rId395" Type="http://schemas.openxmlformats.org/officeDocument/2006/relationships/hyperlink" Target="https://advance.lexis.com/api/document?collection=cases-ca&amp;id=urn:contentItem:5F8T-N3R1-JBDT-B566-00000-00&amp;context=" TargetMode="External" /><Relationship Id="rId396" Type="http://schemas.openxmlformats.org/officeDocument/2006/relationships/hyperlink" Target="https://advance.lexis.com/api/document?collection=cases-ca&amp;id=urn:contentItem:5F8T-N3T1-JJSF-23NR-00000-00&amp;context=" TargetMode="External" /><Relationship Id="rId397" Type="http://schemas.openxmlformats.org/officeDocument/2006/relationships/hyperlink" Target="https://advance.lexis.com/api/document?collection=cases-ca&amp;id=urn:contentItem:5F8T-N3V1-JTGH-B0Y8-00000-00&amp;context=" TargetMode="External" /><Relationship Id="rId398" Type="http://schemas.openxmlformats.org/officeDocument/2006/relationships/header" Target="header46.xml" /><Relationship Id="rId399" Type="http://schemas.openxmlformats.org/officeDocument/2006/relationships/header" Target="header47.xml" /><Relationship Id="rId4" Type="http://schemas.openxmlformats.org/officeDocument/2006/relationships/header" Target="header1.xml" /><Relationship Id="rId40" Type="http://schemas.openxmlformats.org/officeDocument/2006/relationships/hyperlink" Target="https://advance.lexis.com/api/document?collection=cases-ca&amp;id=urn:contentItem:5F7T-S7J1-JYYX-624T-00000-00&amp;context=" TargetMode="External" /><Relationship Id="rId400" Type="http://schemas.openxmlformats.org/officeDocument/2006/relationships/footer" Target="footer46.xml" /><Relationship Id="rId401" Type="http://schemas.openxmlformats.org/officeDocument/2006/relationships/footer" Target="footer47.xml" /><Relationship Id="rId402" Type="http://schemas.openxmlformats.org/officeDocument/2006/relationships/header" Target="header48.xml" /><Relationship Id="rId403" Type="http://schemas.openxmlformats.org/officeDocument/2006/relationships/footer" Target="footer48.xml" /><Relationship Id="rId404" Type="http://schemas.openxmlformats.org/officeDocument/2006/relationships/hyperlink" Target="https://advance.lexis.com/api/document?collection=cases-ca&amp;id=urn:contentItem:5F7T-S7J1-JGBH-B269-00000-00&amp;context=" TargetMode="External" /><Relationship Id="rId405" Type="http://schemas.openxmlformats.org/officeDocument/2006/relationships/header" Target="header49.xml" /><Relationship Id="rId406" Type="http://schemas.openxmlformats.org/officeDocument/2006/relationships/header" Target="header50.xml" /><Relationship Id="rId407" Type="http://schemas.openxmlformats.org/officeDocument/2006/relationships/footer" Target="footer49.xml" /><Relationship Id="rId408" Type="http://schemas.openxmlformats.org/officeDocument/2006/relationships/footer" Target="footer50.xml" /><Relationship Id="rId409" Type="http://schemas.openxmlformats.org/officeDocument/2006/relationships/header" Target="header51.xml" /><Relationship Id="rId41" Type="http://schemas.openxmlformats.org/officeDocument/2006/relationships/hyperlink" Target="https://advance.lexis.com/api/document?collection=cases-ca&amp;id=urn:contentItem:5F7T-S711-F4GK-M2SW-00000-00&amp;context=" TargetMode="External" /><Relationship Id="rId410" Type="http://schemas.openxmlformats.org/officeDocument/2006/relationships/footer" Target="footer51.xml" /><Relationship Id="rId411" Type="http://schemas.openxmlformats.org/officeDocument/2006/relationships/hyperlink" Target="https://advance.lexis.com/api/document?collection=cases-ca&amp;id=urn:contentItem:5F7T-S7N1-JGHR-M3DB-00000-00&amp;context=" TargetMode="External" /><Relationship Id="rId412" Type="http://schemas.openxmlformats.org/officeDocument/2006/relationships/hyperlink" Target="https://advance.lexis.com/api/document?collection=legislation-ca&amp;id=urn:contentItem:5F41-1FH1-F361-M0FB-00000-00&amp;context=" TargetMode="External" /><Relationship Id="rId413" Type="http://schemas.openxmlformats.org/officeDocument/2006/relationships/hyperlink" Target="https://advance.lexis.com/api/document?collection=cases-ca&amp;id=urn:contentItem:5F7T-S7J1-FGCG-S09W-00000-00&amp;context=" TargetMode="External" /><Relationship Id="rId414" Type="http://schemas.openxmlformats.org/officeDocument/2006/relationships/hyperlink" Target="https://advance.lexis.com/api/document?collection=cases-ca&amp;id=urn:contentItem:5F7T-S6X1-FJDY-X1HX-00000-00&amp;context=" TargetMode="External" /><Relationship Id="rId415" Type="http://schemas.openxmlformats.org/officeDocument/2006/relationships/hyperlink" Target="https://advance.lexis.com/api/document?collection=cases-ca&amp;id=urn:contentItem:5F7T-S721-JSC5-M3R0-00000-00&amp;context=" TargetMode="External" /><Relationship Id="rId416" Type="http://schemas.openxmlformats.org/officeDocument/2006/relationships/hyperlink" Target="https://advance.lexis.com/api/document?collection=cases-ca&amp;id=urn:contentItem:5F8T-N3V1-JF75-M3CD-00000-00&amp;context=" TargetMode="External" /><Relationship Id="rId417" Type="http://schemas.openxmlformats.org/officeDocument/2006/relationships/hyperlink" Target="https://advance.lexis.com/api/document?collection=cases-ca&amp;id=urn:contentItem:5F7T-S7K1-F1H1-2228-00000-00&amp;context=" TargetMode="External" /><Relationship Id="rId418" Type="http://schemas.openxmlformats.org/officeDocument/2006/relationships/hyperlink" Target="https://advance.lexis.com/api/document?collection=cases-ca&amp;id=urn:contentItem:5F7T-S7M1-JFSV-G3F3-00000-00&amp;context=" TargetMode="External" /><Relationship Id="rId419" Type="http://schemas.openxmlformats.org/officeDocument/2006/relationships/hyperlink" Target="https://advance.lexis.com/api/document?collection=cases-ca&amp;id=urn:contentItem:5F7T-S7M1-JCRC-B1HR-00000-00&amp;context=" TargetMode="External" /><Relationship Id="rId42" Type="http://schemas.openxmlformats.org/officeDocument/2006/relationships/hyperlink" Target="https://advance.lexis.com/api/document?collection=cases-ca&amp;id=urn:contentItem:5F7T-S7F1-JBT7-X2RF-00000-00&amp;context=" TargetMode="External" /><Relationship Id="rId420" Type="http://schemas.openxmlformats.org/officeDocument/2006/relationships/hyperlink" Target="https://advance.lexis.com/api/document?collection=cases-ca&amp;id=urn:contentItem:5F7T-S7F1-JBT7-X353-00000-00&amp;context=" TargetMode="External" /><Relationship Id="rId421" Type="http://schemas.openxmlformats.org/officeDocument/2006/relationships/hyperlink" Target="https://advance.lexis.com/api/document?collection=cases-ca&amp;id=urn:contentItem:5F7T-S7D1-FCSB-S2NV-00000-00&amp;context=" TargetMode="External" /><Relationship Id="rId422" Type="http://schemas.openxmlformats.org/officeDocument/2006/relationships/hyperlink" Target="https://advance.lexis.com/api/document?collection=cases-ca&amp;id=urn:contentItem:5F7T-S771-JSJC-X05N-00000-00&amp;context=" TargetMode="External" /><Relationship Id="rId423" Type="http://schemas.openxmlformats.org/officeDocument/2006/relationships/hyperlink" Target="https://advance.lexis.com/api/document?collection=cases-ca&amp;id=urn:contentItem:5F7T-S731-F60C-X11W-00000-00&amp;context=" TargetMode="External" /><Relationship Id="rId424" Type="http://schemas.openxmlformats.org/officeDocument/2006/relationships/hyperlink" Target="https://advance.lexis.com/api/document?collection=cases-ca&amp;id=urn:contentItem:5F7T-S7N1-F06F-24BC-00000-00&amp;context=" TargetMode="External" /><Relationship Id="rId425" Type="http://schemas.openxmlformats.org/officeDocument/2006/relationships/header" Target="header52.xml" /><Relationship Id="rId426" Type="http://schemas.openxmlformats.org/officeDocument/2006/relationships/header" Target="header53.xml" /><Relationship Id="rId427" Type="http://schemas.openxmlformats.org/officeDocument/2006/relationships/footer" Target="footer52.xml" /><Relationship Id="rId428" Type="http://schemas.openxmlformats.org/officeDocument/2006/relationships/footer" Target="footer53.xml" /><Relationship Id="rId429" Type="http://schemas.openxmlformats.org/officeDocument/2006/relationships/header" Target="header54.xml" /><Relationship Id="rId43" Type="http://schemas.openxmlformats.org/officeDocument/2006/relationships/hyperlink" Target="https://advance.lexis.com/api/document?collection=cases-ca&amp;id=urn:contentItem:5F7T-S781-DYMS-61PP-00000-00&amp;context=" TargetMode="External" /><Relationship Id="rId430" Type="http://schemas.openxmlformats.org/officeDocument/2006/relationships/footer" Target="footer54.xml" /><Relationship Id="rId431" Type="http://schemas.openxmlformats.org/officeDocument/2006/relationships/hyperlink" Target="https://advance.lexis.com/api/document?collection=cases-ca&amp;id=urn:contentItem:5G3H-VVF1-JSRM-62N4-00000-00&amp;context=" TargetMode="External" /><Relationship Id="rId432" Type="http://schemas.openxmlformats.org/officeDocument/2006/relationships/hyperlink" Target="https://advance.lexis.com/api/document?collection=legislation-ca&amp;id=urn:contentItem:5F41-1FG1-JJYN-B06K-00000-00&amp;context=" TargetMode="External" /><Relationship Id="rId433" Type="http://schemas.openxmlformats.org/officeDocument/2006/relationships/hyperlink" Target="https://advance.lexis.com/api/document?collection=cases-ca&amp;id=urn:contentItem:5F7T-S7F1-FJTD-G3CS-00000-00&amp;context=" TargetMode="External" /><Relationship Id="rId434" Type="http://schemas.openxmlformats.org/officeDocument/2006/relationships/hyperlink" Target="https://advance.lexis.com/api/document?collection=cases-ca&amp;id=urn:contentItem:5F7T-S781-F7G6-63KX-00000-00&amp;context=" TargetMode="External" /><Relationship Id="rId435" Type="http://schemas.openxmlformats.org/officeDocument/2006/relationships/hyperlink" Target="https://advance.lexis.com/api/document?collection=cases-ca&amp;id=urn:contentItem:5F7T-S7D1-JN6B-S13K-00000-00&amp;context=" TargetMode="External" /><Relationship Id="rId436" Type="http://schemas.openxmlformats.org/officeDocument/2006/relationships/hyperlink" Target="https://advance.lexis.com/api/document?collection=cases-ca&amp;id=urn:contentItem:5F7T-S7M1-F4W2-62J1-00000-00&amp;context=" TargetMode="External" /><Relationship Id="rId437" Type="http://schemas.openxmlformats.org/officeDocument/2006/relationships/hyperlink" Target="https://advance.lexis.com/api/document?collection=cases-ca&amp;id=urn:contentItem:5F7T-S7N1-F57G-S294-00000-00&amp;context=" TargetMode="External" /><Relationship Id="rId438" Type="http://schemas.openxmlformats.org/officeDocument/2006/relationships/hyperlink" Target="https://advance.lexis.com/api/document?collection=cases-ca&amp;id=urn:contentItem:5F7T-S7B1-JSRM-60KK-00000-00&amp;context=" TargetMode="External" /><Relationship Id="rId439" Type="http://schemas.openxmlformats.org/officeDocument/2006/relationships/hyperlink" Target="https://advance.lexis.com/api/document?collection=cases-ca&amp;id=urn:contentItem:5F82-1SF1-JKPJ-G240-00000-00&amp;context=" TargetMode="External" /><Relationship Id="rId44" Type="http://schemas.openxmlformats.org/officeDocument/2006/relationships/hyperlink" Target="https://advance.lexis.com/api/document?collection=cases-ca&amp;id=urn:contentItem:5F81-YH41-JX8W-M05P-00000-00&amp;context=" TargetMode="External" /><Relationship Id="rId440" Type="http://schemas.openxmlformats.org/officeDocument/2006/relationships/hyperlink" Target="https://advance.lexis.com/api/document?collection=cases-ca&amp;id=urn:contentItem:5F7T-S7H1-F016-S45D-00000-00&amp;context=" TargetMode="External" /><Relationship Id="rId441" Type="http://schemas.openxmlformats.org/officeDocument/2006/relationships/hyperlink" Target="https://advance.lexis.com/api/document?collection=cases-ca&amp;id=urn:contentItem:5F7T-S771-JWBS-61D1-00000-00&amp;context=" TargetMode="External" /><Relationship Id="rId442" Type="http://schemas.openxmlformats.org/officeDocument/2006/relationships/hyperlink" Target="https://advance.lexis.com/api/document?collection=cases-ca&amp;id=urn:contentItem:5F7T-S7H1-JCRC-B179-00000-00&amp;context=" TargetMode="External" /><Relationship Id="rId443" Type="http://schemas.openxmlformats.org/officeDocument/2006/relationships/hyperlink" Target="https://advance.lexis.com/api/document?collection=cases-ca&amp;id=urn:contentItem:5F7T-S7M1-DYMS-625V-00000-00&amp;context=" TargetMode="External" /><Relationship Id="rId444" Type="http://schemas.openxmlformats.org/officeDocument/2006/relationships/hyperlink" Target="https://advance.lexis.com/api/document?collection=cases-ca&amp;id=urn:contentItem:5F7T-S7J1-JYYX-623K-00000-00&amp;context=" TargetMode="External" /><Relationship Id="rId445" Type="http://schemas.openxmlformats.org/officeDocument/2006/relationships/hyperlink" Target="https://advance.lexis.com/api/document?collection=cases-ca&amp;id=urn:contentItem:5F7T-S7K1-JKHB-62MR-00000-00&amp;context=" TargetMode="External" /><Relationship Id="rId446" Type="http://schemas.openxmlformats.org/officeDocument/2006/relationships/hyperlink" Target="https://advance.lexis.com/api/document?collection=cases-ca&amp;id=urn:contentItem:5F7T-S7M1-DYMS-626D-00000-00&amp;context=" TargetMode="External" /><Relationship Id="rId447" Type="http://schemas.openxmlformats.org/officeDocument/2006/relationships/hyperlink" Target="https://advance.lexis.com/api/document?collection=cases-ca&amp;id=urn:contentItem:5F7T-S7B1-F7ND-G4YK-00000-00&amp;context=" TargetMode="External" /><Relationship Id="rId448" Type="http://schemas.openxmlformats.org/officeDocument/2006/relationships/hyperlink" Target="https://advance.lexis.com/api/document?collection=cases-ca&amp;id=urn:contentItem:5F7T-S7B1-FH4C-X3NP-00000-00&amp;context=" TargetMode="External" /><Relationship Id="rId449" Type="http://schemas.openxmlformats.org/officeDocument/2006/relationships/image" Target="media/image2.jpeg" /><Relationship Id="rId45" Type="http://schemas.openxmlformats.org/officeDocument/2006/relationships/hyperlink" Target="https://advance.lexis.com/api/document?collection=cases-ca&amp;id=urn:contentItem:5F7T-S7G1-JN6B-S1HS-00000-00&amp;context=" TargetMode="External" /><Relationship Id="rId450" Type="http://schemas.openxmlformats.org/officeDocument/2006/relationships/hyperlink" Target="https://advance.lexis.com/api/document?collection=cases-ca&amp;id=urn:contentItem:5F7T-S731-F016-S3D3-00000-00&amp;context=" TargetMode="External" /><Relationship Id="rId451" Type="http://schemas.openxmlformats.org/officeDocument/2006/relationships/hyperlink" Target="https://advance.lexis.com/api/document?collection=cases-ca&amp;id=urn:contentItem:5F7T-S751-JCJ5-24CV-00000-00&amp;context=" TargetMode="External" /><Relationship Id="rId452" Type="http://schemas.openxmlformats.org/officeDocument/2006/relationships/hyperlink" Target="https://advance.lexis.com/api/document?collection=cases-ca&amp;id=urn:contentItem:5F7T-S7N1-JW09-M12P-00000-00&amp;context=" TargetMode="External" /><Relationship Id="rId453" Type="http://schemas.openxmlformats.org/officeDocument/2006/relationships/hyperlink" Target="https://advance.lexis.com/api/document?collection=cases-ca&amp;id=urn:contentItem:5F7T-S771-JSJC-X038-00000-00&amp;context=" TargetMode="External" /><Relationship Id="rId454" Type="http://schemas.openxmlformats.org/officeDocument/2006/relationships/hyperlink" Target="https://advance.lexis.com/api/document?collection=cases-ca&amp;id=urn:contentItem:5F7T-S791-JCJ5-251B-00000-00&amp;context=" TargetMode="External" /><Relationship Id="rId455" Type="http://schemas.openxmlformats.org/officeDocument/2006/relationships/hyperlink" Target="https://advance.lexis.com/api/document?collection=cases-ca&amp;id=urn:contentItem:5F7T-S7F1-JX3N-B19D-00000-00&amp;context=" TargetMode="External" /><Relationship Id="rId456" Type="http://schemas.openxmlformats.org/officeDocument/2006/relationships/hyperlink" Target="https://advance.lexis.com/api/document?collection=cases-ca&amp;id=urn:contentItem:5F7T-S7M1-JNCK-22MK-00000-00&amp;context=" TargetMode="External" /><Relationship Id="rId457" Type="http://schemas.openxmlformats.org/officeDocument/2006/relationships/hyperlink" Target="https://advance.lexis.com/api/document?collection=cases-ca&amp;id=urn:contentItem:5F8T-N3T1-JJSF-2361-00000-00&amp;context=" TargetMode="External" /><Relationship Id="rId458" Type="http://schemas.openxmlformats.org/officeDocument/2006/relationships/header" Target="header55.xml" /><Relationship Id="rId459" Type="http://schemas.openxmlformats.org/officeDocument/2006/relationships/header" Target="header56.xml" /><Relationship Id="rId46" Type="http://schemas.openxmlformats.org/officeDocument/2006/relationships/hyperlink" Target="https://advance.lexis.com/api/document?collection=cases-ca&amp;id=urn:contentItem:5G6C-VP51-F7VM-S0N3-00000-00&amp;context=" TargetMode="External" /><Relationship Id="rId460" Type="http://schemas.openxmlformats.org/officeDocument/2006/relationships/footer" Target="footer55.xml" /><Relationship Id="rId461" Type="http://schemas.openxmlformats.org/officeDocument/2006/relationships/footer" Target="footer56.xml" /><Relationship Id="rId462" Type="http://schemas.openxmlformats.org/officeDocument/2006/relationships/header" Target="header57.xml" /><Relationship Id="rId463" Type="http://schemas.openxmlformats.org/officeDocument/2006/relationships/footer" Target="footer57.xml" /><Relationship Id="rId464" Type="http://schemas.openxmlformats.org/officeDocument/2006/relationships/hyperlink" Target="https://advance.lexis.com/api/document?collection=cases-ca&amp;id=urn:contentItem:5F7T-S7N1-JC5P-G1XB-00000-00&amp;context=" TargetMode="External" /><Relationship Id="rId465" Type="http://schemas.openxmlformats.org/officeDocument/2006/relationships/hyperlink" Target="https://advance.lexis.com/api/document?collection=cases-ca&amp;id=urn:contentItem:5F8P-SC81-JN14-G258-00000-00&amp;context=" TargetMode="External" /><Relationship Id="rId466" Type="http://schemas.openxmlformats.org/officeDocument/2006/relationships/hyperlink" Target="https://advance.lexis.com/api/document?collection=cases-ca&amp;id=urn:contentItem:5F81-YH41-JX8W-M05N-00000-00&amp;context=" TargetMode="External" /><Relationship Id="rId467" Type="http://schemas.openxmlformats.org/officeDocument/2006/relationships/hyperlink" Target="https://advance.lexis.com/api/document?collection=cases-ca&amp;id=urn:contentItem:5F81-WC31-F5KY-B4SM-00000-00&amp;context=" TargetMode="External" /><Relationship Id="rId468" Type="http://schemas.openxmlformats.org/officeDocument/2006/relationships/hyperlink" Target="https://advance.lexis.com/api/document?collection=cases-ca&amp;id=urn:contentItem:5F7T-S711-JG02-S1F6-00000-00&amp;context=" TargetMode="External" /><Relationship Id="rId469" Type="http://schemas.openxmlformats.org/officeDocument/2006/relationships/hyperlink" Target="https://advance.lexis.com/api/document?collection=cases-ca&amp;id=urn:contentItem:5F16-9371-JGPY-X0MN-00000-00&amp;context=" TargetMode="External" /><Relationship Id="rId47" Type="http://schemas.openxmlformats.org/officeDocument/2006/relationships/hyperlink" Target="https://advance.lexis.com/api/document?collection=cases-ca&amp;id=urn:contentItem:5F7T-S7K1-JWXF-2115-00000-00&amp;context=" TargetMode="External" /><Relationship Id="rId470" Type="http://schemas.openxmlformats.org/officeDocument/2006/relationships/hyperlink" Target="https://advance.lexis.com/api/document?collection=cases-ca&amp;id=urn:contentItem:5F7T-S7F1-F7VM-S475-00000-00&amp;context=" TargetMode="External" /><Relationship Id="rId471" Type="http://schemas.openxmlformats.org/officeDocument/2006/relationships/hyperlink" Target="https://advance.lexis.com/api/document?collection=cases-ca&amp;id=urn:contentItem:5F7T-S7G1-FCYK-207V-00000-00&amp;context=" TargetMode="External" /><Relationship Id="rId472" Type="http://schemas.openxmlformats.org/officeDocument/2006/relationships/hyperlink" Target="https://advance.lexis.com/api/document?collection=cases-ca&amp;id=urn:contentItem:5F7T-S7K1-JSJC-X0R5-00000-00&amp;context=" TargetMode="External" /><Relationship Id="rId473" Type="http://schemas.openxmlformats.org/officeDocument/2006/relationships/header" Target="header58.xml" /><Relationship Id="rId474" Type="http://schemas.openxmlformats.org/officeDocument/2006/relationships/header" Target="header59.xml" /><Relationship Id="rId475" Type="http://schemas.openxmlformats.org/officeDocument/2006/relationships/footer" Target="footer58.xml" /><Relationship Id="rId476" Type="http://schemas.openxmlformats.org/officeDocument/2006/relationships/footer" Target="footer59.xml" /><Relationship Id="rId477" Type="http://schemas.openxmlformats.org/officeDocument/2006/relationships/header" Target="header60.xml" /><Relationship Id="rId478" Type="http://schemas.openxmlformats.org/officeDocument/2006/relationships/footer" Target="footer60.xml" /><Relationship Id="rId479" Type="http://schemas.openxmlformats.org/officeDocument/2006/relationships/hyperlink" Target="https://advance.lexis.com/api/document?collection=cases-ca&amp;id=urn:contentItem:5F7T-S7P1-JG02-S43Y-00000-00&amp;context=" TargetMode="External" /><Relationship Id="rId48" Type="http://schemas.openxmlformats.org/officeDocument/2006/relationships/hyperlink" Target="https://advance.lexis.com/api/document?collection=cases-ca&amp;id=urn:contentItem:5F8T-N3V1-FC1F-M3YT-00000-00&amp;context=" TargetMode="External" /><Relationship Id="rId480" Type="http://schemas.openxmlformats.org/officeDocument/2006/relationships/hyperlink" Target="https://advance.lexis.com/api/document?collection=legislation-ca&amp;id=urn:contentItem:5F3B-B7M1-F1WF-M135-00000-00&amp;context=" TargetMode="External" /><Relationship Id="rId481" Type="http://schemas.openxmlformats.org/officeDocument/2006/relationships/hyperlink" Target="https://advance.lexis.com/api/document?collection=legislation-ca&amp;id=urn:contentItem:5W07-7G31-F27X-62C2-00000-00&amp;context=" TargetMode="External" /><Relationship Id="rId482" Type="http://schemas.openxmlformats.org/officeDocument/2006/relationships/hyperlink" Target="https://advance.lexis.com/api/document?collection=cases-ca&amp;id=urn:contentItem:5F8P-SFV1-JGHR-M170-00000-00&amp;context=" TargetMode="External" /><Relationship Id="rId483" Type="http://schemas.openxmlformats.org/officeDocument/2006/relationships/hyperlink" Target="https://advance.lexis.com/api/document?collection=cases-ca&amp;id=urn:contentItem:5F8N-K6Y1-JXNB-63MR-00000-00&amp;context=" TargetMode="External" /><Relationship Id="rId484" Type="http://schemas.openxmlformats.org/officeDocument/2006/relationships/hyperlink" Target="https://advance.lexis.com/api/document?collection=cases-ca&amp;id=urn:contentItem:5F7T-S721-FG12-623D-00000-00&amp;context=" TargetMode="External" /><Relationship Id="rId485" Type="http://schemas.openxmlformats.org/officeDocument/2006/relationships/hyperlink" Target="https://advance.lexis.com/api/document?collection=cases-ca&amp;id=urn:contentItem:5F8N-K711-JJ6S-61W9-00000-00&amp;context=" TargetMode="External" /><Relationship Id="rId486" Type="http://schemas.openxmlformats.org/officeDocument/2006/relationships/hyperlink" Target="https://advance.lexis.com/api/document?collection=cases-ca&amp;id=urn:contentItem:5F82-1SF1-F1P7-B3P6-00000-00&amp;context=" TargetMode="External" /><Relationship Id="rId487" Type="http://schemas.openxmlformats.org/officeDocument/2006/relationships/hyperlink" Target="https://advance.lexis.com/api/document?collection=cases-ca&amp;id=urn:contentItem:5F8P-SCB1-JSC5-M4GN-00000-00&amp;context=" TargetMode="External" /><Relationship Id="rId488" Type="http://schemas.openxmlformats.org/officeDocument/2006/relationships/hyperlink" Target="https://advance.lexis.com/api/document?collection=cases-ca&amp;id=urn:contentItem:5F7T-S701-FJDY-X2FC-00000-00&amp;context=" TargetMode="External" /><Relationship Id="rId489" Type="http://schemas.openxmlformats.org/officeDocument/2006/relationships/hyperlink" Target="https://advance.lexis.com/api/document?collection=cases-ca&amp;id=urn:contentItem:5F7T-S721-F4NT-X2S5-00000-00&amp;context=" TargetMode="External" /><Relationship Id="rId49" Type="http://schemas.openxmlformats.org/officeDocument/2006/relationships/hyperlink" Target="https://advance.lexis.com/api/document?collection=cases-ca&amp;id=urn:contentItem:5F8T-N3V1-FC1F-M421-00000-00&amp;context=" TargetMode="External" /><Relationship Id="rId490" Type="http://schemas.openxmlformats.org/officeDocument/2006/relationships/hyperlink" Target="https://advance.lexis.com/api/document?collection=cases-ca&amp;id=urn:contentItem:5F7T-S711-JNY7-X31H-00000-00&amp;context=" TargetMode="External" /><Relationship Id="rId491" Type="http://schemas.openxmlformats.org/officeDocument/2006/relationships/hyperlink" Target="https://advance.lexis.com/api/document?collection=cases-ca&amp;id=urn:contentItem:5F7T-S6P1-JSC5-M26N-00000-00&amp;context=" TargetMode="External" /><Relationship Id="rId492" Type="http://schemas.openxmlformats.org/officeDocument/2006/relationships/hyperlink" Target="https://advance.lexis.com/api/document?collection=cases-ca&amp;id=urn:contentItem:5F7T-S7C1-JSRM-60YG-00000-00&amp;context=" TargetMode="External" /><Relationship Id="rId493" Type="http://schemas.openxmlformats.org/officeDocument/2006/relationships/hyperlink" Target="https://advance.lexis.com/api/document?collection=cases-ca&amp;id=urn:contentItem:5F7T-S781-JSC5-M467-00000-00&amp;context=" TargetMode="External" /><Relationship Id="rId494" Type="http://schemas.openxmlformats.org/officeDocument/2006/relationships/hyperlink" Target="https://advance.lexis.com/api/document?collection=cases-ca&amp;id=urn:contentItem:5F7T-S7K1-DY33-B1ST-00000-00&amp;context=" TargetMode="External" /><Relationship Id="rId495" Type="http://schemas.openxmlformats.org/officeDocument/2006/relationships/hyperlink" Target="https://advance.lexis.com/api/document?collection=cases-ca&amp;id=urn:contentItem:5F7T-S781-DYMS-61HH-00000-00&amp;context=" TargetMode="External" /><Relationship Id="rId496" Type="http://schemas.openxmlformats.org/officeDocument/2006/relationships/hyperlink" Target="https://advance.lexis.com/api/document?collection=cases-ca&amp;id=urn:contentItem:5F8T-N3V1-FH4C-X1WF-00000-00&amp;context=" TargetMode="External" /><Relationship Id="rId497" Type="http://schemas.openxmlformats.org/officeDocument/2006/relationships/hyperlink" Target="https://advance.lexis.com/api/document?collection=cases-ca&amp;id=urn:contentItem:5F8T-N3V1-JTGH-B111-00000-00&amp;context=" TargetMode="External" /><Relationship Id="rId498" Type="http://schemas.openxmlformats.org/officeDocument/2006/relationships/hyperlink" Target="https://advance.lexis.com/api/document?collection=legislation-ca&amp;id=urn:contentItem:5VYK-W9V1-JS0R-23WX-00000-00&amp;context=" TargetMode="External" /><Relationship Id="rId499" Type="http://schemas.openxmlformats.org/officeDocument/2006/relationships/hyperlink" Target="https://advance.lexis.com/api/document?collection=cases-ca&amp;id=urn:contentItem:5F8T-N3V1-JTGH-B1GX-00000-00&amp;context=" TargetMode="External" /><Relationship Id="rId5" Type="http://schemas.openxmlformats.org/officeDocument/2006/relationships/header" Target="header2.xml" /><Relationship Id="rId50" Type="http://schemas.openxmlformats.org/officeDocument/2006/relationships/hyperlink" Target="https://advance.lexis.com/api/document?collection=cases-ca&amp;id=urn:contentItem:5F7T-S7N1-JW09-M15D-00000-00&amp;context=" TargetMode="External" /><Relationship Id="rId500" Type="http://schemas.openxmlformats.org/officeDocument/2006/relationships/hyperlink" Target="https://advance.lexis.com/api/document?collection=cases-ca&amp;id=urn:contentItem:5F81-VJX1-FFTT-X1BV-00000-00&amp;context=" TargetMode="External" /><Relationship Id="rId501" Type="http://schemas.openxmlformats.org/officeDocument/2006/relationships/hyperlink" Target="https://advance.lexis.com/api/document?collection=cases-ca&amp;id=urn:contentItem:5F8P-SGB1-JBT7-X2WH-00000-00&amp;context=" TargetMode="External" /><Relationship Id="rId502" Type="http://schemas.openxmlformats.org/officeDocument/2006/relationships/hyperlink" Target="https://advance.lexis.com/api/document?collection=cases-ca&amp;id=urn:contentItem:5F82-1SD1-JFKM-606R-00000-00&amp;context=" TargetMode="External" /><Relationship Id="rId503" Type="http://schemas.openxmlformats.org/officeDocument/2006/relationships/hyperlink" Target="https://advance.lexis.com/api/document?collection=cases-ca&amp;id=urn:contentItem:5F7T-S7J1-JGBH-B2FV-00000-00&amp;context=" TargetMode="External" /><Relationship Id="rId504" Type="http://schemas.openxmlformats.org/officeDocument/2006/relationships/hyperlink" Target="https://advance.lexis.com/api/document?collection=cases-ca&amp;id=urn:contentItem:5F7T-S7H1-JCRC-B170-00000-00&amp;context=" TargetMode="External" /><Relationship Id="rId505" Type="http://schemas.openxmlformats.org/officeDocument/2006/relationships/hyperlink" Target="https://advance.lexis.com/api/document?collection=cases-ca&amp;id=urn:contentItem:5F8T-N3V1-JF75-M3K6-00000-00&amp;context=" TargetMode="External" /><Relationship Id="rId506" Type="http://schemas.openxmlformats.org/officeDocument/2006/relationships/hyperlink" Target="https://advance.lexis.com/api/document?collection=cases-ca&amp;id=urn:contentItem:5F8T-N3S1-JT99-255N-00000-00&amp;context=" TargetMode="External" /><Relationship Id="rId507" Type="http://schemas.openxmlformats.org/officeDocument/2006/relationships/hyperlink" Target="https://advance.lexis.com/api/document?collection=cases-ca&amp;id=urn:contentItem:5F8T-N3V1-JTGH-B1CP-00000-00&amp;context=" TargetMode="External" /><Relationship Id="rId508" Type="http://schemas.openxmlformats.org/officeDocument/2006/relationships/hyperlink" Target="https://advance.lexis.com/api/document?collection=cases-ca&amp;id=urn:contentItem:5F8T-N3T1-JT99-200H-00000-00&amp;context=" TargetMode="External" /><Relationship Id="rId509" Type="http://schemas.openxmlformats.org/officeDocument/2006/relationships/hyperlink" Target="https://advance.lexis.com/api/document?collection=cases-ca&amp;id=urn:contentItem:5F8T-N3S1-JBDT-B032-00000-00&amp;context=" TargetMode="External" /><Relationship Id="rId51" Type="http://schemas.openxmlformats.org/officeDocument/2006/relationships/hyperlink" Target="https://advance.lexis.com/api/document?collection=cases-ca&amp;id=urn:contentItem:5G74-D9V1-F2TK-22F8-00000-00&amp;context=" TargetMode="External" /><Relationship Id="rId510" Type="http://schemas.openxmlformats.org/officeDocument/2006/relationships/hyperlink" Target="https://advance.lexis.com/api/document?collection=cases-ca&amp;id=urn:contentItem:5F8T-N3V1-FH4C-X1XS-00000-00&amp;context=" TargetMode="External" /><Relationship Id="rId511" Type="http://schemas.openxmlformats.org/officeDocument/2006/relationships/hyperlink" Target="https://advance.lexis.com/api/document?collection=cases-ca&amp;id=urn:contentItem:5F8T-N3V1-JTGH-B11R-00000-00&amp;context=" TargetMode="External" /><Relationship Id="rId512" Type="http://schemas.openxmlformats.org/officeDocument/2006/relationships/hyperlink" Target="https://advance.lexis.com/api/document?collection=cases-ca&amp;id=urn:contentItem:5F81-VJX1-JJYN-B4VK-00000-00&amp;context=" TargetMode="External" /><Relationship Id="rId513" Type="http://schemas.openxmlformats.org/officeDocument/2006/relationships/hyperlink" Target="https://advance.lexis.com/api/document?collection=cases-ca&amp;id=urn:contentItem:5F8P-SGB1-F873-B2S7-00000-00&amp;context=" TargetMode="External" /><Relationship Id="rId514" Type="http://schemas.openxmlformats.org/officeDocument/2006/relationships/hyperlink" Target="https://advance.lexis.com/api/document?collection=cases-ca&amp;id=urn:contentItem:5F8P-SGB1-FBV7-B3XV-00000-00&amp;context=" TargetMode="External" /><Relationship Id="rId515" Type="http://schemas.openxmlformats.org/officeDocument/2006/relationships/hyperlink" Target="https://advance.lexis.com/api/document?collection=cases-ca&amp;id=urn:contentItem:5F82-1SF1-JXG3-X2BF-00000-00&amp;context=" TargetMode="External" /><Relationship Id="rId516" Type="http://schemas.openxmlformats.org/officeDocument/2006/relationships/hyperlink" Target="https://advance.lexis.com/api/document?collection=cases-ca&amp;id=urn:contentItem:5F8P-SCJ1-JNJT-B3F6-00000-00&amp;context=" TargetMode="External" /><Relationship Id="rId517" Type="http://schemas.openxmlformats.org/officeDocument/2006/relationships/header" Target="header61.xml" /><Relationship Id="rId518" Type="http://schemas.openxmlformats.org/officeDocument/2006/relationships/header" Target="header62.xml" /><Relationship Id="rId519" Type="http://schemas.openxmlformats.org/officeDocument/2006/relationships/footer" Target="footer61.xml" /><Relationship Id="rId52" Type="http://schemas.openxmlformats.org/officeDocument/2006/relationships/hyperlink" Target="https://advance.lexis.com/api/document?collection=cases-ca&amp;id=urn:contentItem:5F8P-T8X1-JTGH-B0WJ-00000-00&amp;context=" TargetMode="External" /><Relationship Id="rId520" Type="http://schemas.openxmlformats.org/officeDocument/2006/relationships/footer" Target="footer62.xml" /><Relationship Id="rId521" Type="http://schemas.openxmlformats.org/officeDocument/2006/relationships/header" Target="header63.xml" /><Relationship Id="rId522" Type="http://schemas.openxmlformats.org/officeDocument/2006/relationships/footer" Target="footer63.xml" /><Relationship Id="rId523" Type="http://schemas.openxmlformats.org/officeDocument/2006/relationships/hyperlink" Target="https://advance.lexis.com/api/document?collection=cases-ca&amp;id=urn:contentItem:5GCC-XVC1-JSRM-60G5-00000-00&amp;context=" TargetMode="External" /><Relationship Id="rId524" Type="http://schemas.openxmlformats.org/officeDocument/2006/relationships/hyperlink" Target="https://advance.lexis.com/api/document?collection=cases-ca&amp;id=urn:contentItem:5K6Y-81T1-JYYX-61PH-00000-00&amp;context=" TargetMode="External" /><Relationship Id="rId525" Type="http://schemas.openxmlformats.org/officeDocument/2006/relationships/hyperlink" Target="https://advance.lexis.com/api/document?collection=legislation-ca&amp;id=urn:contentItem:5F41-1FH1-F361-M0HG-00000-00&amp;context=" TargetMode="External" /><Relationship Id="rId526" Type="http://schemas.openxmlformats.org/officeDocument/2006/relationships/hyperlink" Target="https://advance.lexis.com/api/document?collection=cases-ca&amp;id=urn:contentItem:5F7T-S7P1-JSJC-X1DV-00000-00&amp;context=" TargetMode="External" /><Relationship Id="rId527" Type="http://schemas.openxmlformats.org/officeDocument/2006/relationships/hyperlink" Target="https://advance.lexis.com/api/document?collection=cases-ca&amp;id=urn:contentItem:5F7T-S7F1-DXWW-24HS-00000-00&amp;context=" TargetMode="External" /><Relationship Id="rId528" Type="http://schemas.openxmlformats.org/officeDocument/2006/relationships/hyperlink" Target="https://advance.lexis.com/api/document?collection=cases-ca&amp;id=urn:contentItem:5F7T-S7P1-JCRC-B2G2-00000-00&amp;context=" TargetMode="External" /><Relationship Id="rId529" Type="http://schemas.openxmlformats.org/officeDocument/2006/relationships/hyperlink" Target="https://advance.lexis.com/api/document?collection=cases-ca&amp;id=urn:contentItem:5F7T-S7F1-FBN1-21V5-00000-00&amp;context=" TargetMode="External" /><Relationship Id="rId53" Type="http://schemas.openxmlformats.org/officeDocument/2006/relationships/hyperlink" Target="https://advance.lexis.com/api/document?collection=cases-ca&amp;id=urn:contentItem:5F7T-S7P1-JBDT-B1C1-00000-00&amp;context=" TargetMode="External" /><Relationship Id="rId530" Type="http://schemas.openxmlformats.org/officeDocument/2006/relationships/hyperlink" Target="https://advance.lexis.com/api/document?collection=cases-ca&amp;id=urn:contentItem:5F7T-S7F1-JK4W-M1HH-00000-00&amp;context=" TargetMode="External" /><Relationship Id="rId531" Type="http://schemas.openxmlformats.org/officeDocument/2006/relationships/hyperlink" Target="https://advance.lexis.com/api/document?collection=cases-ca&amp;id=urn:contentItem:5F7T-S7C1-F30T-B2GJ-00000-00&amp;context=" TargetMode="External" /><Relationship Id="rId532" Type="http://schemas.openxmlformats.org/officeDocument/2006/relationships/hyperlink" Target="https://advance.lexis.com/api/document?collection=cases-ca&amp;id=urn:contentItem:5F7T-S7F1-F7VM-S41J-00000-00&amp;context=" TargetMode="External" /><Relationship Id="rId533" Type="http://schemas.openxmlformats.org/officeDocument/2006/relationships/hyperlink" Target="https://advance.lexis.com/api/document?collection=cases-ca&amp;id=urn:contentItem:5F8P-SCM1-F27X-60SJ-00000-00&amp;context=" TargetMode="External" /><Relationship Id="rId534" Type="http://schemas.openxmlformats.org/officeDocument/2006/relationships/hyperlink" Target="https://advance.lexis.com/api/document?collection=cases-ca&amp;id=urn:contentItem:5F16-92W1-F27X-6097-00000-00&amp;context=" TargetMode="External" /><Relationship Id="rId535" Type="http://schemas.openxmlformats.org/officeDocument/2006/relationships/hyperlink" Target="https://advance.lexis.com/api/document?collection=cases-ca&amp;id=urn:contentItem:5F7T-S7P1-F2TK-23PB-00000-00&amp;context=" TargetMode="External" /><Relationship Id="rId536" Type="http://schemas.openxmlformats.org/officeDocument/2006/relationships/hyperlink" Target="https://advance.lexis.com/api/document?collection=cases-ca&amp;id=urn:contentItem:5F7T-S7H1-JG02-S3DP-00000-00&amp;context=" TargetMode="External" /><Relationship Id="rId537" Type="http://schemas.openxmlformats.org/officeDocument/2006/relationships/hyperlink" Target="https://advance.lexis.com/api/document?collection=cases-ca&amp;id=urn:contentItem:5F7T-S7K1-JX3N-B2M8-00000-00&amp;context=" TargetMode="External" /><Relationship Id="rId538" Type="http://schemas.openxmlformats.org/officeDocument/2006/relationships/header" Target="header64.xml" /><Relationship Id="rId539" Type="http://schemas.openxmlformats.org/officeDocument/2006/relationships/header" Target="header65.xml" /><Relationship Id="rId54" Type="http://schemas.openxmlformats.org/officeDocument/2006/relationships/hyperlink" Target="https://advance.lexis.com/api/document?collection=cases-ca&amp;id=urn:contentItem:5F7T-S7N1-JC5P-G2BJ-00000-00&amp;context=" TargetMode="External" /><Relationship Id="rId540" Type="http://schemas.openxmlformats.org/officeDocument/2006/relationships/footer" Target="footer64.xml" /><Relationship Id="rId541" Type="http://schemas.openxmlformats.org/officeDocument/2006/relationships/footer" Target="footer65.xml" /><Relationship Id="rId542" Type="http://schemas.openxmlformats.org/officeDocument/2006/relationships/header" Target="header66.xml" /><Relationship Id="rId543" Type="http://schemas.openxmlformats.org/officeDocument/2006/relationships/footer" Target="footer66.xml" /><Relationship Id="rId544" Type="http://schemas.openxmlformats.org/officeDocument/2006/relationships/hyperlink" Target="https://advance.lexis.com/api/document?collection=cases-ca&amp;id=urn:contentItem:5F7T-S7F1-DXWW-242B-00000-00&amp;context=" TargetMode="External" /><Relationship Id="rId545" Type="http://schemas.openxmlformats.org/officeDocument/2006/relationships/hyperlink" Target="https://advance.lexis.com/api/document?collection=cases-ca&amp;id=urn:contentItem:5F7T-S781-JSC5-M408-00000-00&amp;context=" TargetMode="External" /><Relationship Id="rId546" Type="http://schemas.openxmlformats.org/officeDocument/2006/relationships/hyperlink" Target="https://advance.lexis.com/api/document?collection=cases-ca&amp;id=urn:contentItem:5F7T-S771-F81W-22T1-00000-00&amp;context=" TargetMode="External" /><Relationship Id="rId547" Type="http://schemas.openxmlformats.org/officeDocument/2006/relationships/hyperlink" Target="https://advance.lexis.com/api/document?collection=cases-ca&amp;id=urn:contentItem:5F7T-S761-JGHR-M2KY-00000-00&amp;context=" TargetMode="External" /><Relationship Id="rId548" Type="http://schemas.openxmlformats.org/officeDocument/2006/relationships/hyperlink" Target="https://advance.lexis.com/api/document?collection=cases-ca&amp;id=urn:contentItem:5F7T-S7C1-FCSB-S280-00000-00&amp;context=" TargetMode="External" /><Relationship Id="rId549" Type="http://schemas.openxmlformats.org/officeDocument/2006/relationships/hyperlink" Target="https://advance.lexis.com/api/document?collection=cases-ca&amp;id=urn:contentItem:5F7T-S7G1-JNY7-X43W-00000-00&amp;context=" TargetMode="External" /><Relationship Id="rId55" Type="http://schemas.openxmlformats.org/officeDocument/2006/relationships/hyperlink" Target="https://advance.lexis.com/api/document?collection=cases-ca&amp;id=urn:contentItem:5F7T-S761-F81W-21RK-00000-00&amp;context=" TargetMode="External" /><Relationship Id="rId550" Type="http://schemas.openxmlformats.org/officeDocument/2006/relationships/hyperlink" Target="https://advance.lexis.com/api/document?collection=cases-ca&amp;id=urn:contentItem:5F7T-S7F1-DXWW-23FJ-00000-00&amp;context=" TargetMode="External" /><Relationship Id="rId551" Type="http://schemas.openxmlformats.org/officeDocument/2006/relationships/hyperlink" Target="https://advance.lexis.com/api/document?collection=cases-ca&amp;id=urn:contentItem:5F7T-S7H1-JS5Y-B2NB-00000-00&amp;context=" TargetMode="External" /><Relationship Id="rId552" Type="http://schemas.openxmlformats.org/officeDocument/2006/relationships/hyperlink" Target="https://advance.lexis.com/api/document?collection=cases-ca&amp;id=urn:contentItem:5F7T-S7B1-JSRM-60MJ-00000-00&amp;context=" TargetMode="External" /><Relationship Id="rId553" Type="http://schemas.openxmlformats.org/officeDocument/2006/relationships/hyperlink" Target="https://advance.lexis.com/api/document?collection=cases-ca&amp;id=urn:contentItem:5F7T-S7H1-FCSB-S3MY-00000-00&amp;context=" TargetMode="External" /><Relationship Id="rId554" Type="http://schemas.openxmlformats.org/officeDocument/2006/relationships/hyperlink" Target="https://advance.lexis.com/api/document?collection=cases-ca&amp;id=urn:contentItem:5F7T-S781-JC5P-G1D9-00000-00&amp;context=" TargetMode="External" /><Relationship Id="rId555" Type="http://schemas.openxmlformats.org/officeDocument/2006/relationships/hyperlink" Target="https://advance.lexis.com/api/document?collection=cases-ca&amp;id=urn:contentItem:5F7T-S701-JBT7-X23F-00000-00&amp;context=" TargetMode="External" /><Relationship Id="rId556" Type="http://schemas.openxmlformats.org/officeDocument/2006/relationships/hyperlink" Target="https://advance.lexis.com/api/document?collection=cases-ca&amp;id=urn:contentItem:5F7T-S741-DY89-M3P5-00000-00&amp;context=" TargetMode="External" /><Relationship Id="rId557" Type="http://schemas.openxmlformats.org/officeDocument/2006/relationships/hyperlink" Target="https://advance.lexis.com/api/document?collection=cases-ca&amp;id=urn:contentItem:5F7T-S7H1-F016-S45H-00000-00&amp;context=" TargetMode="External" /><Relationship Id="rId558" Type="http://schemas.openxmlformats.org/officeDocument/2006/relationships/hyperlink" Target="https://advance.lexis.com/api/document?collection=cases-ca&amp;id=urn:contentItem:5F7T-S7F1-F7VM-S3YT-00000-00&amp;context=" TargetMode="External" /><Relationship Id="rId559" Type="http://schemas.openxmlformats.org/officeDocument/2006/relationships/header" Target="header67.xml" /><Relationship Id="rId56" Type="http://schemas.openxmlformats.org/officeDocument/2006/relationships/hyperlink" Target="https://advance.lexis.com/api/document?collection=cases-ca&amp;id=urn:contentItem:5F7T-S7D1-FBFS-S1M7-00000-00&amp;context=" TargetMode="External" /><Relationship Id="rId560" Type="http://schemas.openxmlformats.org/officeDocument/2006/relationships/header" Target="header68.xml" /><Relationship Id="rId561" Type="http://schemas.openxmlformats.org/officeDocument/2006/relationships/footer" Target="footer67.xml" /><Relationship Id="rId562" Type="http://schemas.openxmlformats.org/officeDocument/2006/relationships/footer" Target="footer68.xml" /><Relationship Id="rId563" Type="http://schemas.openxmlformats.org/officeDocument/2006/relationships/header" Target="header69.xml" /><Relationship Id="rId564" Type="http://schemas.openxmlformats.org/officeDocument/2006/relationships/footer" Target="footer69.xml" /><Relationship Id="rId565" Type="http://schemas.openxmlformats.org/officeDocument/2006/relationships/hyperlink" Target="https://advance.lexis.com/api/document?collection=cases-ca&amp;id=urn:contentItem:5TPT-S5S1-JG02-S00D-00000-00&amp;context=" TargetMode="External" /><Relationship Id="rId566" Type="http://schemas.openxmlformats.org/officeDocument/2006/relationships/hyperlink" Target="https://advance.lexis.com/api/document?collection=cases-ca&amp;id=urn:contentItem:5GJP-VFP1-FJM6-60K9-00000-00&amp;context=" TargetMode="External" /><Relationship Id="rId567" Type="http://schemas.openxmlformats.org/officeDocument/2006/relationships/hyperlink" Target="https://advance.lexis.com/api/document?collection=cases-ca&amp;id=urn:contentItem:5FX0-MRR1-JSJC-X155-00000-00&amp;context=" TargetMode="External" /><Relationship Id="rId568" Type="http://schemas.openxmlformats.org/officeDocument/2006/relationships/hyperlink" Target="https://advance.lexis.com/api/document?collection=cases-ca&amp;id=urn:contentItem:5S95-3W81-FJDY-X4XK-00000-00&amp;context=" TargetMode="External" /><Relationship Id="rId569" Type="http://schemas.openxmlformats.org/officeDocument/2006/relationships/hyperlink" Target="https://advance.lexis.com/api/document?collection=cases-ca&amp;id=urn:contentItem:5F8T-N3V1-FH4C-X257-00000-00&amp;context=" TargetMode="External" /><Relationship Id="rId57" Type="http://schemas.openxmlformats.org/officeDocument/2006/relationships/hyperlink" Target="https://advance.lexis.com/api/document?collection=cases-ca&amp;id=urn:contentItem:5F7T-S7C1-F7VM-S3T7-00000-00&amp;context=" TargetMode="External" /><Relationship Id="rId570" Type="http://schemas.openxmlformats.org/officeDocument/2006/relationships/hyperlink" Target="https://advance.lexis.com/api/document?collection=cases-ca&amp;id=urn:contentItem:5V9V-RDJ1-F5T5-M1Y7-00000-00&amp;context=" TargetMode="External" /><Relationship Id="rId571" Type="http://schemas.openxmlformats.org/officeDocument/2006/relationships/hyperlink" Target="https://advance.lexis.com/api/document?collection=cases-ca&amp;id=urn:contentItem:5F8T-N3V1-JTGH-B16R-00000-00&amp;context=" TargetMode="External" /><Relationship Id="rId572" Type="http://schemas.openxmlformats.org/officeDocument/2006/relationships/hyperlink" Target="https://advance.lexis.com/api/document?collection=cases-ca&amp;id=urn:contentItem:5F8T-N3V1-JTGH-B1C7-00000-00&amp;context=" TargetMode="External" /><Relationship Id="rId573" Type="http://schemas.openxmlformats.org/officeDocument/2006/relationships/hyperlink" Target="https://advance.lexis.com/api/document?collection=cases-ca&amp;id=urn:contentItem:5F8P-SF91-JKHB-634M-00000-00&amp;context=" TargetMode="External" /><Relationship Id="rId574" Type="http://schemas.openxmlformats.org/officeDocument/2006/relationships/hyperlink" Target="https://advance.lexis.com/api/document?collection=cases-ca&amp;id=urn:contentItem:5F7T-S771-F361-M1C9-00000-00&amp;context=" TargetMode="External" /><Relationship Id="rId575" Type="http://schemas.openxmlformats.org/officeDocument/2006/relationships/hyperlink" Target="https://advance.lexis.com/api/document?collection=cases-ca&amp;id=urn:contentItem:5F8T-N3V1-FC1F-M491-00000-00&amp;context=" TargetMode="External" /><Relationship Id="rId576" Type="http://schemas.openxmlformats.org/officeDocument/2006/relationships/hyperlink" Target="https://advance.lexis.com/api/document?collection=cases-ca&amp;id=urn:contentItem:5NK7-F0K1-JFDC-X3HG-00000-00&amp;context=" TargetMode="External" /><Relationship Id="rId577" Type="http://schemas.openxmlformats.org/officeDocument/2006/relationships/hyperlink" Target="https://advance.lexis.com/api/document?collection=cases-ca&amp;id=urn:contentItem:5F16-9391-F5KY-B206-00000-00&amp;context=" TargetMode="External" /><Relationship Id="rId578" Type="http://schemas.openxmlformats.org/officeDocument/2006/relationships/hyperlink" Target="https://advance.lexis.com/api/document?collection=cases-ca&amp;id=urn:contentItem:5F16-93C1-F65M-60C0-00000-00&amp;context=" TargetMode="External" /><Relationship Id="rId579" Type="http://schemas.openxmlformats.org/officeDocument/2006/relationships/hyperlink" Target="https://advance.lexis.com/api/document?collection=cases-ca&amp;id=urn:contentItem:5F82-DK41-FCSB-S49Y-00000-00&amp;context=" TargetMode="External" /><Relationship Id="rId58" Type="http://schemas.openxmlformats.org/officeDocument/2006/relationships/hyperlink" Target="https://advance.lexis.com/api/document?collection=cases-ca&amp;id=urn:contentItem:5F7T-S7D1-JN6B-S131-00000-00&amp;context=" TargetMode="External" /><Relationship Id="rId580" Type="http://schemas.openxmlformats.org/officeDocument/2006/relationships/hyperlink" Target="https://advance.lexis.com/api/document?collection=cases-ca&amp;id=urn:contentItem:5F8W-M491-JXNB-6217-00000-00&amp;context=" TargetMode="External" /><Relationship Id="rId581" Type="http://schemas.openxmlformats.org/officeDocument/2006/relationships/hyperlink" Target="https://advance.lexis.com/api/document?collection=cases-ca&amp;id=urn:contentItem:5F7T-S6X1-F06F-22SH-00000-00&amp;context=" TargetMode="External" /><Relationship Id="rId582" Type="http://schemas.openxmlformats.org/officeDocument/2006/relationships/hyperlink" Target="https://advance.lexis.com/api/document?collection=cases-ca&amp;id=urn:contentItem:5F82-1SB1-FBFS-S42M-00000-00&amp;context=" TargetMode="External" /><Relationship Id="rId583" Type="http://schemas.openxmlformats.org/officeDocument/2006/relationships/hyperlink" Target="https://advance.lexis.com/api/document?collection=cases-ca&amp;id=urn:contentItem:5F7T-S701-JK4W-M0N4-00000-00&amp;context=" TargetMode="External" /><Relationship Id="rId584" Type="http://schemas.openxmlformats.org/officeDocument/2006/relationships/hyperlink" Target="https://advance.lexis.com/api/document?collection=cases-ca&amp;id=urn:contentItem:5F7T-S711-JC0G-62YB-00000-00&amp;context=" TargetMode="External" /><Relationship Id="rId585" Type="http://schemas.openxmlformats.org/officeDocument/2006/relationships/hyperlink" Target="https://advance.lexis.com/api/document?collection=cases-ca&amp;id=urn:contentItem:5F8T-N3V1-FC1F-M4BS-00000-00&amp;context=" TargetMode="External" /><Relationship Id="rId586" Type="http://schemas.openxmlformats.org/officeDocument/2006/relationships/hyperlink" Target="https://advance.lexis.com/api/document?collection=cases-ca&amp;id=urn:contentItem:5RRK-9081-JCBX-S0H0-00000-00&amp;context=" TargetMode="External" /><Relationship Id="rId587" Type="http://schemas.openxmlformats.org/officeDocument/2006/relationships/header" Target="header70.xml" /><Relationship Id="rId588" Type="http://schemas.openxmlformats.org/officeDocument/2006/relationships/header" Target="header71.xml" /><Relationship Id="rId589" Type="http://schemas.openxmlformats.org/officeDocument/2006/relationships/footer" Target="footer70.xml" /><Relationship Id="rId59" Type="http://schemas.openxmlformats.org/officeDocument/2006/relationships/hyperlink" Target="https://advance.lexis.com/api/document?collection=cases-ca&amp;id=urn:contentItem:5NDB-4M41-F956-S0BN-00000-00&amp;context=" TargetMode="External" /><Relationship Id="rId590" Type="http://schemas.openxmlformats.org/officeDocument/2006/relationships/footer" Target="footer71.xml" /><Relationship Id="rId591" Type="http://schemas.openxmlformats.org/officeDocument/2006/relationships/header" Target="header72.xml" /><Relationship Id="rId592" Type="http://schemas.openxmlformats.org/officeDocument/2006/relationships/footer" Target="footer72.xml" /><Relationship Id="rId593" Type="http://schemas.openxmlformats.org/officeDocument/2006/relationships/hyperlink" Target="https://advance.lexis.com/api/document?collection=cases-ca&amp;id=urn:contentItem:5F7T-S7P1-JCRC-B23P-00000-00&amp;context=" TargetMode="External" /><Relationship Id="rId594" Type="http://schemas.openxmlformats.org/officeDocument/2006/relationships/hyperlink" Target="https://advance.lexis.com/api/document?collection=legislation-ca&amp;id=urn:contentItem:5F97-RCB1-FC1F-M1TP-00000-00&amp;context=" TargetMode="External" /><Relationship Id="rId595" Type="http://schemas.openxmlformats.org/officeDocument/2006/relationships/hyperlink" Target="https://advance.lexis.com/api/document?collection=legislation-ca&amp;id=urn:contentItem:5F41-1FH1-F361-M0DV-00000-00&amp;context=" TargetMode="External" /><Relationship Id="rId596" Type="http://schemas.openxmlformats.org/officeDocument/2006/relationships/hyperlink" Target="https://advance.lexis.com/api/document?collection=legislation-ca&amp;id=urn:contentItem:5W2C-X5K1-F4W2-600C-00000-00&amp;context=" TargetMode="External" /><Relationship Id="rId597" Type="http://schemas.openxmlformats.org/officeDocument/2006/relationships/hyperlink" Target="https://advance.lexis.com/api/document?collection=cases-ca&amp;id=urn:contentItem:5F7T-S771-JTGH-B19S-00000-00&amp;context=" TargetMode="External" /><Relationship Id="rId598" Type="http://schemas.openxmlformats.org/officeDocument/2006/relationships/hyperlink" Target="https://advance.lexis.com/api/document?collection=cases-ca&amp;id=urn:contentItem:5F7T-S7N1-JJ1H-X2PT-00000-00&amp;context=" TargetMode="External" /><Relationship Id="rId599" Type="http://schemas.openxmlformats.org/officeDocument/2006/relationships/hyperlink" Target="https://advance.lexis.com/api/document?collection=cases-ca&amp;id=urn:contentItem:5F7T-S7C1-JSRM-60RD-00000-00&amp;context=" TargetMode="External" /><Relationship Id="rId6" Type="http://schemas.openxmlformats.org/officeDocument/2006/relationships/footer" Target="footer1.xml" /><Relationship Id="rId60" Type="http://schemas.openxmlformats.org/officeDocument/2006/relationships/hyperlink" Target="https://advance.lexis.com/api/document?collection=cases-ca&amp;id=urn:contentItem:5G4B-CVF1-JPGX-S2TN-00000-00&amp;context=" TargetMode="External" /><Relationship Id="rId600" Type="http://schemas.openxmlformats.org/officeDocument/2006/relationships/header" Target="header73.xml" /><Relationship Id="rId601" Type="http://schemas.openxmlformats.org/officeDocument/2006/relationships/header" Target="header74.xml" /><Relationship Id="rId602" Type="http://schemas.openxmlformats.org/officeDocument/2006/relationships/footer" Target="footer73.xml" /><Relationship Id="rId603" Type="http://schemas.openxmlformats.org/officeDocument/2006/relationships/footer" Target="footer74.xml" /><Relationship Id="rId604" Type="http://schemas.openxmlformats.org/officeDocument/2006/relationships/header" Target="header75.xml" /><Relationship Id="rId605" Type="http://schemas.openxmlformats.org/officeDocument/2006/relationships/footer" Target="footer75.xml" /><Relationship Id="rId606" Type="http://schemas.openxmlformats.org/officeDocument/2006/relationships/hyperlink" Target="https://advance.lexis.com/api/document?collection=cases-ca&amp;id=urn:contentItem:5Y27-0SP1-F06F-246G-00000-00&amp;context=" TargetMode="External" /><Relationship Id="rId607" Type="http://schemas.openxmlformats.org/officeDocument/2006/relationships/hyperlink" Target="https://advance.lexis.com/api/document?collection=legislation-ca&amp;id=urn:contentItem:5F41-1FH1-F361-M0F4-00000-00&amp;context=" TargetMode="External" /><Relationship Id="rId608" Type="http://schemas.openxmlformats.org/officeDocument/2006/relationships/hyperlink" Target="https://advance.lexis.com/api/document?collection=cases-ca&amp;id=urn:contentItem:5G5M-B9W1-FGCG-S01V-00000-00&amp;context=" TargetMode="External" /><Relationship Id="rId609" Type="http://schemas.openxmlformats.org/officeDocument/2006/relationships/hyperlink" Target="https://advance.lexis.com/api/document?collection=cases-ca&amp;id=urn:contentItem:5KDN-X121-F2F4-G08H-00000-00&amp;context=" TargetMode="External" /><Relationship Id="rId61" Type="http://schemas.openxmlformats.org/officeDocument/2006/relationships/hyperlink" Target="https://advance.lexis.com/api/document?collection=cases-ca&amp;id=urn:contentItem:5GNP-DGD1-JJYN-B1W0-00000-00&amp;context=" TargetMode="External" /><Relationship Id="rId610" Type="http://schemas.openxmlformats.org/officeDocument/2006/relationships/hyperlink" Target="https://advance.lexis.com/api/document?collection=cases-ca&amp;id=urn:contentItem:5P15-SJJ1-F7ND-G2M4-00000-00&amp;context=" TargetMode="External" /><Relationship Id="rId611" Type="http://schemas.openxmlformats.org/officeDocument/2006/relationships/hyperlink" Target="https://advance.lexis.com/api/document?collection=cases-ca&amp;id=urn:contentItem:5F7T-S7M1-JFSV-G3D6-00000-00&amp;context=" TargetMode="External" /><Relationship Id="rId612" Type="http://schemas.openxmlformats.org/officeDocument/2006/relationships/hyperlink" Target="https://advance.lexis.com/api/document?collection=cases-ca&amp;id=urn:contentItem:5P5F-CKX1-DYFH-X092-00000-00&amp;context=" TargetMode="External" /><Relationship Id="rId613" Type="http://schemas.openxmlformats.org/officeDocument/2006/relationships/hyperlink" Target="https://advance.lexis.com/api/document?collection=cases-ca&amp;id=urn:contentItem:5F7T-S6Y1-JPP5-215C-00000-00&amp;context=" TargetMode="External" /><Relationship Id="rId614" Type="http://schemas.openxmlformats.org/officeDocument/2006/relationships/hyperlink" Target="https://advance.lexis.com/api/document?collection=cases-ca&amp;id=urn:contentItem:5F7T-S7D1-FFFC-B1HB-00000-00&amp;context=" TargetMode="External" /><Relationship Id="rId615" Type="http://schemas.openxmlformats.org/officeDocument/2006/relationships/hyperlink" Target="https://advance.lexis.com/api/document?collection=cases-ca&amp;id=urn:contentItem:5J58-W6W1-FG12-61NB-00000-00&amp;context=" TargetMode="External" /><Relationship Id="rId616" Type="http://schemas.openxmlformats.org/officeDocument/2006/relationships/hyperlink" Target="https://advance.lexis.com/api/document?collection=cases-ca&amp;id=urn:contentItem:5F7T-S7J1-DXWW-24YS-00000-00&amp;context=" TargetMode="External" /><Relationship Id="rId617" Type="http://schemas.openxmlformats.org/officeDocument/2006/relationships/hyperlink" Target="https://advance.lexis.com/api/document?collection=cases-ca&amp;id=urn:contentItem:5F7T-S771-JTGH-B136-00000-00&amp;context=" TargetMode="External" /><Relationship Id="rId618" Type="http://schemas.openxmlformats.org/officeDocument/2006/relationships/hyperlink" Target="https://advance.lexis.com/api/document?collection=cases-ca&amp;id=urn:contentItem:5KD1-W4V1-JC5P-G3DR-00000-00&amp;context=" TargetMode="External" /><Relationship Id="rId619" Type="http://schemas.openxmlformats.org/officeDocument/2006/relationships/hyperlink" Target="https://advance.lexis.com/api/document?collection=cases-ca&amp;id=urn:contentItem:5RRK-9081-JCBX-S0HC-00000-00&amp;context=" TargetMode="External" /><Relationship Id="rId62" Type="http://schemas.openxmlformats.org/officeDocument/2006/relationships/hyperlink" Target="https://advance.lexis.com/api/document?collection=cases-ca&amp;id=urn:contentItem:5F7T-S7D1-F7ND-G0MH-00000-00&amp;context=" TargetMode="External" /><Relationship Id="rId620" Type="http://schemas.openxmlformats.org/officeDocument/2006/relationships/hyperlink" Target="https://advance.lexis.com/api/document?collection=cases-ca&amp;id=urn:contentItem:5T9R-46S1-JGHR-M53J-00000-00&amp;context=" TargetMode="External" /><Relationship Id="rId621" Type="http://schemas.openxmlformats.org/officeDocument/2006/relationships/hyperlink" Target="https://advance.lexis.com/api/document?collection=cases-ca&amp;id=urn:contentItem:5G6C-VP51-F7VM-S0N2-00000-00&amp;context=" TargetMode="External" /><Relationship Id="rId622" Type="http://schemas.openxmlformats.org/officeDocument/2006/relationships/hyperlink" Target="https://advance.lexis.com/api/document?collection=cases-ca&amp;id=urn:contentItem:5GCC-XVB1-JGHR-M49R-00000-00&amp;context=" TargetMode="External" /><Relationship Id="rId623" Type="http://schemas.openxmlformats.org/officeDocument/2006/relationships/hyperlink" Target="https://advance.lexis.com/api/document?collection=cases-ca&amp;id=urn:contentItem:5W42-8GJ1-FG68-G3P0-00000-00&amp;context=" TargetMode="External" /><Relationship Id="rId624" Type="http://schemas.openxmlformats.org/officeDocument/2006/relationships/hyperlink" Target="https://advance.lexis.com/api/document?collection=cases-ca&amp;id=urn:contentItem:5WND-DFH1-FJM6-60W6-00000-00&amp;context=" TargetMode="External" /><Relationship Id="rId625" Type="http://schemas.openxmlformats.org/officeDocument/2006/relationships/hyperlink" Target="https://advance.lexis.com/api/document?collection=cases-ca&amp;id=urn:contentItem:5T4V-0771-JW5H-X1VX-00000-00&amp;context=" TargetMode="External" /><Relationship Id="rId626" Type="http://schemas.openxmlformats.org/officeDocument/2006/relationships/hyperlink" Target="https://advance.lexis.com/api/document?collection=cases-ca&amp;id=urn:contentItem:5RTY-1871-JCBX-S0TB-00000-00&amp;context=" TargetMode="External" /><Relationship Id="rId627" Type="http://schemas.openxmlformats.org/officeDocument/2006/relationships/image" Target="media/image3.jpeg" /><Relationship Id="rId628" Type="http://schemas.openxmlformats.org/officeDocument/2006/relationships/header" Target="header76.xml" /><Relationship Id="rId629" Type="http://schemas.openxmlformats.org/officeDocument/2006/relationships/header" Target="header77.xml" /><Relationship Id="rId63" Type="http://schemas.openxmlformats.org/officeDocument/2006/relationships/hyperlink" Target="https://advance.lexis.com/api/document?collection=cases-ca&amp;id=urn:contentItem:5F7T-S7K1-JSJC-X168-00000-00&amp;context=" TargetMode="External" /><Relationship Id="rId630" Type="http://schemas.openxmlformats.org/officeDocument/2006/relationships/footer" Target="footer76.xml" /><Relationship Id="rId631" Type="http://schemas.openxmlformats.org/officeDocument/2006/relationships/footer" Target="footer77.xml" /><Relationship Id="rId632" Type="http://schemas.openxmlformats.org/officeDocument/2006/relationships/header" Target="header78.xml" /><Relationship Id="rId633" Type="http://schemas.openxmlformats.org/officeDocument/2006/relationships/footer" Target="footer78.xml" /><Relationship Id="rId634" Type="http://schemas.openxmlformats.org/officeDocument/2006/relationships/hyperlink" Target="https://advance.lexis.com/api/document?collection=cases-ca&amp;id=urn:contentItem:5K6Y-81N1-JFDC-X1G6-00000-00&amp;context=" TargetMode="External" /><Relationship Id="rId635" Type="http://schemas.openxmlformats.org/officeDocument/2006/relationships/hyperlink" Target="https://advance.lexis.com/api/document?collection=cases-ca&amp;id=urn:contentItem:5F7T-S7P1-JG02-S49B-00000-00&amp;context=" TargetMode="External" /><Relationship Id="rId636" Type="http://schemas.openxmlformats.org/officeDocument/2006/relationships/hyperlink" Target="https://advance.lexis.com/api/document?collection=cases-ca&amp;id=urn:contentItem:5F7T-S7K1-JKHB-62S6-00000-00&amp;context=" TargetMode="External" /><Relationship Id="rId637" Type="http://schemas.openxmlformats.org/officeDocument/2006/relationships/hyperlink" Target="https://advance.lexis.com/api/document?collection=cases-ca&amp;id=urn:contentItem:5F7T-S7M1-JNCK-22GB-00000-00&amp;context=" TargetMode="External" /><Relationship Id="rId638" Type="http://schemas.openxmlformats.org/officeDocument/2006/relationships/hyperlink" Target="https://advance.lexis.com/api/document?collection=cases-ca&amp;id=urn:contentItem:5F7T-S7M1-JNCK-22GC-00000-00&amp;context=" TargetMode="External" /><Relationship Id="rId639" Type="http://schemas.openxmlformats.org/officeDocument/2006/relationships/hyperlink" Target="https://advance.lexis.com/api/document?collection=cases-ca&amp;id=urn:contentItem:5F82-1SJ1-JBDT-B4FB-00000-00&amp;context=" TargetMode="External" /><Relationship Id="rId64" Type="http://schemas.openxmlformats.org/officeDocument/2006/relationships/hyperlink" Target="https://advance.lexis.com/api/document?collection=cases-ca&amp;id=urn:contentItem:5JW3-TKC1-JGPY-X4PG-00000-00&amp;context=" TargetMode="External" /><Relationship Id="rId640" Type="http://schemas.openxmlformats.org/officeDocument/2006/relationships/hyperlink" Target="https://advance.lexis.com/api/document?collection=cases-ca&amp;id=urn:contentItem:5F8T-N3V1-FH4C-X234-00000-00&amp;context=" TargetMode="External" /><Relationship Id="rId641" Type="http://schemas.openxmlformats.org/officeDocument/2006/relationships/hyperlink" Target="https://advance.lexis.com/api/document?collection=legislation-ca&amp;id=urn:contentItem:5VYK-WB61-JJD0-G4F3-00000-00&amp;context=" TargetMode="External" /><Relationship Id="rId642" Type="http://schemas.openxmlformats.org/officeDocument/2006/relationships/hyperlink" Target="https://advance.lexis.com/api/document?collection=cases-ca&amp;id=urn:contentItem:5F8T-N3T1-JFKM-654R-00000-00&amp;context=" TargetMode="External" /><Relationship Id="rId643" Type="http://schemas.openxmlformats.org/officeDocument/2006/relationships/hyperlink" Target="https://advance.lexis.com/api/document?collection=cases-ca&amp;id=urn:contentItem:5F7V-3DH1-JF1Y-B1X3-00000-00&amp;context=" TargetMode="External" /><Relationship Id="rId644" Type="http://schemas.openxmlformats.org/officeDocument/2006/relationships/hyperlink" Target="https://advance.lexis.com/api/document?collection=cases-ca&amp;id=urn:contentItem:5F81-VJY1-JWBS-6464-00000-00&amp;context=" TargetMode="External" /><Relationship Id="rId645" Type="http://schemas.openxmlformats.org/officeDocument/2006/relationships/hyperlink" Target="https://advance.lexis.com/api/document?collection=cases-ca&amp;id=urn:contentItem:5F81-VJY1-JWBS-64JB-00000-00&amp;context=" TargetMode="External" /><Relationship Id="rId646" Type="http://schemas.openxmlformats.org/officeDocument/2006/relationships/hyperlink" Target="https://advance.lexis.com/api/document?collection=cases-ca&amp;id=urn:contentItem:5F8P-SFC1-JX8W-M0SK-00000-00&amp;context=" TargetMode="External" /><Relationship Id="rId647" Type="http://schemas.openxmlformats.org/officeDocument/2006/relationships/hyperlink" Target="https://advance.lexis.com/api/document?collection=cases-ca&amp;id=urn:contentItem:5F82-1SJ1-DYMS-63JN-00000-00&amp;context=" TargetMode="External" /><Relationship Id="rId648" Type="http://schemas.openxmlformats.org/officeDocument/2006/relationships/hyperlink" Target="https://advance.lexis.com/api/document?collection=cases-ca&amp;id=urn:contentItem:5F7H-KWB1-F7VM-S1JH-00000-00&amp;context=" TargetMode="External" /><Relationship Id="rId649" Type="http://schemas.openxmlformats.org/officeDocument/2006/relationships/hyperlink" Target="https://advance.lexis.com/api/document?collection=cases-ca&amp;id=urn:contentItem:5F81-VJX1-FFTT-X1JF-00000-00&amp;context=" TargetMode="External" /><Relationship Id="rId65" Type="http://schemas.openxmlformats.org/officeDocument/2006/relationships/hyperlink" Target="https://advance.lexis.com/api/document?collection=cases-ca&amp;id=urn:contentItem:5P1T-XTV1-JX8W-M3PH-00000-00&amp;context=" TargetMode="External" /><Relationship Id="rId650" Type="http://schemas.openxmlformats.org/officeDocument/2006/relationships/hyperlink" Target="https://advance.lexis.com/api/document?collection=cases-ca&amp;id=urn:contentItem:5F81-VJX1-JJYN-B4P1-00000-00&amp;context=" TargetMode="External" /><Relationship Id="rId651" Type="http://schemas.openxmlformats.org/officeDocument/2006/relationships/hyperlink" Target="https://advance.lexis.com/api/document?collection=cases-ca&amp;id=urn:contentItem:5F7T-S7H1-JCRC-B119-00000-00&amp;context=" TargetMode="External" /><Relationship Id="rId652" Type="http://schemas.openxmlformats.org/officeDocument/2006/relationships/hyperlink" Target="https://advance.lexis.com/api/document?collection=cases-ca&amp;id=urn:contentItem:5F7T-S7C1-F30T-B2GD-00000-00&amp;context=" TargetMode="External" /><Relationship Id="rId653" Type="http://schemas.openxmlformats.org/officeDocument/2006/relationships/hyperlink" Target="https://advance.lexis.com/api/document?collection=cases-ca&amp;id=urn:contentItem:5F7T-S771-F81W-22PC-00000-00&amp;context=" TargetMode="External" /><Relationship Id="rId654" Type="http://schemas.openxmlformats.org/officeDocument/2006/relationships/hyperlink" Target="https://advance.lexis.com/api/document?collection=cases-ca&amp;id=urn:contentItem:5F7T-S7F1-JFKM-620H-00000-00&amp;context=" TargetMode="External" /><Relationship Id="rId655" Type="http://schemas.openxmlformats.org/officeDocument/2006/relationships/hyperlink" Target="https://advance.lexis.com/api/document?collection=cases-ca&amp;id=urn:contentItem:5F7V-3DF1-JC0G-63WM-00000-00&amp;context=" TargetMode="External" /><Relationship Id="rId656" Type="http://schemas.openxmlformats.org/officeDocument/2006/relationships/hyperlink" Target="https://advance.lexis.com/api/document?collection=cases-ca&amp;id=urn:contentItem:5F81-VJX1-FGY5-M3HY-00000-00&amp;context=" TargetMode="External" /><Relationship Id="rId657" Type="http://schemas.openxmlformats.org/officeDocument/2006/relationships/hyperlink" Target="https://advance.lexis.com/api/document?collection=cases-ca&amp;id=urn:contentItem:5F8T-N3V1-FC1F-M49B-00000-00&amp;context=" TargetMode="External" /><Relationship Id="rId658" Type="http://schemas.openxmlformats.org/officeDocument/2006/relationships/hyperlink" Target="https://advance.lexis.com/api/document?collection=cases-ca&amp;id=urn:contentItem:5F8N-K731-JS0R-24HM-00000-00&amp;context=" TargetMode="External" /><Relationship Id="rId659" Type="http://schemas.openxmlformats.org/officeDocument/2006/relationships/hyperlink" Target="https://advance.lexis.com/api/document?collection=cases-ca&amp;id=urn:contentItem:5F7T-S7D1-F7ND-G0F5-00000-00&amp;context=" TargetMode="External" /><Relationship Id="rId66" Type="http://schemas.openxmlformats.org/officeDocument/2006/relationships/hyperlink" Target="https://advance.lexis.com/api/document?collection=cases-ca&amp;id=urn:contentItem:5F7T-S7M1-DYMS-62FG-00000-00&amp;context=" TargetMode="External" /><Relationship Id="rId660" Type="http://schemas.openxmlformats.org/officeDocument/2006/relationships/hyperlink" Target="https://advance.lexis.com/api/document?collection=legislation-ca&amp;id=urn:contentItem:5W2C-X5K1-F4W2-6010-00000-00&amp;context=" TargetMode="External" /><Relationship Id="rId661" Type="http://schemas.openxmlformats.org/officeDocument/2006/relationships/hyperlink" Target="https://advance.lexis.com/api/document?collection=cases-ca&amp;id=urn:contentItem:5F8T-N3T1-JGHR-M27Y-00000-00&amp;context=" TargetMode="External" /><Relationship Id="rId662" Type="http://schemas.openxmlformats.org/officeDocument/2006/relationships/hyperlink" Target="https://advance.lexis.com/api/document?collection=cases-ca&amp;id=urn:contentItem:5F8T-N3V1-JTGH-B12R-00000-00&amp;context=" TargetMode="External" /><Relationship Id="rId663" Type="http://schemas.openxmlformats.org/officeDocument/2006/relationships/hyperlink" Target="https://advance.lexis.com/api/document?collection=cases-ca&amp;id=urn:contentItem:5F7D-TJY1-FGJR-204T-00000-00&amp;context=" TargetMode="External" /><Relationship Id="rId664" Type="http://schemas.openxmlformats.org/officeDocument/2006/relationships/hyperlink" Target="https://advance.lexis.com/api/document?collection=cases-ca&amp;id=urn:contentItem:5F7T-S7C1-FGRY-B01X-00000-00&amp;context=" TargetMode="External" /><Relationship Id="rId665" Type="http://schemas.openxmlformats.org/officeDocument/2006/relationships/hyperlink" Target="https://advance.lexis.com/api/document?collection=analytical-materials-ca&amp;id=urn:contentItem:5HSF-1SC1-JJSF-24J7-00000-00&amp;context=" TargetMode="External" /><Relationship Id="rId666" Type="http://schemas.openxmlformats.org/officeDocument/2006/relationships/hyperlink" Target="https://advance.lexis.com/api/document?collection=cases-ca&amp;id=urn:contentItem:5F8T-N3V1-FC1F-M43P-00000-00&amp;context=" TargetMode="External" /><Relationship Id="rId667" Type="http://schemas.openxmlformats.org/officeDocument/2006/relationships/hyperlink" Target="https://advance.lexis.com/api/document?collection=cases-ca&amp;id=urn:contentItem:5F8T-N3V1-JF75-M3RD-00000-00&amp;context=" TargetMode="External" /><Relationship Id="rId668" Type="http://schemas.openxmlformats.org/officeDocument/2006/relationships/hyperlink" Target="https://advance.lexis.com/api/document?collection=cases-ca&amp;id=urn:contentItem:5F8T-N3V1-JF75-M3P8-00000-00&amp;context=" TargetMode="External" /><Relationship Id="rId669" Type="http://schemas.openxmlformats.org/officeDocument/2006/relationships/hyperlink" Target="https://advance.lexis.com/api/document?collection=cases-ca&amp;id=urn:contentItem:5F8T-N3V1-JTGH-B15G-00000-00&amp;context=" TargetMode="External" /><Relationship Id="rId67" Type="http://schemas.openxmlformats.org/officeDocument/2006/relationships/hyperlink" Target="https://advance.lexis.com/api/document?collection=cases-ca&amp;id=urn:contentItem:5F7T-S751-JX3N-B16X-00000-00&amp;context=" TargetMode="External" /><Relationship Id="rId670" Type="http://schemas.openxmlformats.org/officeDocument/2006/relationships/hyperlink" Target="https://advance.lexis.com/api/document?collection=cases-ca&amp;id=urn:contentItem:5F8W-M491-JBDT-B3YG-00000-00&amp;context=" TargetMode="External" /><Relationship Id="rId671" Type="http://schemas.openxmlformats.org/officeDocument/2006/relationships/hyperlink" Target="https://advance.lexis.com/api/document?collection=cases-ca&amp;id=urn:contentItem:5F8W-M4B1-F81W-2302-00000-00&amp;context=" TargetMode="External" /><Relationship Id="rId672" Type="http://schemas.openxmlformats.org/officeDocument/2006/relationships/hyperlink" Target="https://advance.lexis.com/api/document?collection=cases-ca&amp;id=urn:contentItem:5F8T-N3V1-JTGH-B12S-00000-00&amp;context=" TargetMode="External" /><Relationship Id="rId673" Type="http://schemas.openxmlformats.org/officeDocument/2006/relationships/hyperlink" Target="https://advance.lexis.com/api/document?collection=cases-ca&amp;id=urn:contentItem:5F8T-N3N1-JWXF-24SJ-00000-00&amp;context=" TargetMode="External" /><Relationship Id="rId674" Type="http://schemas.openxmlformats.org/officeDocument/2006/relationships/hyperlink" Target="https://advance.lexis.com/api/document?collection=cases-ca&amp;id=urn:contentItem:5F8T-N3V1-FC1F-M3WT-00000-00&amp;context=" TargetMode="External" /><Relationship Id="rId675" Type="http://schemas.openxmlformats.org/officeDocument/2006/relationships/hyperlink" Target="https://advance.lexis.com/api/document?collection=cases-ca&amp;id=urn:contentItem:5F8T-N3V1-FC1F-M41Y-00000-00&amp;context=" TargetMode="External" /><Relationship Id="rId676" Type="http://schemas.openxmlformats.org/officeDocument/2006/relationships/hyperlink" Target="https://advance.lexis.com/api/document?collection=cases-ca&amp;id=urn:contentItem:5F81-WC31-F5KY-B4S7-00000-00&amp;context=" TargetMode="External" /><Relationship Id="rId677" Type="http://schemas.openxmlformats.org/officeDocument/2006/relationships/hyperlink" Target="https://advance.lexis.com/api/document?collection=cases-ca&amp;id=urn:contentItem:5F7T-S7N1-JWR6-S2JW-00000-00&amp;context=" TargetMode="External" /><Relationship Id="rId678" Type="http://schemas.openxmlformats.org/officeDocument/2006/relationships/header" Target="header79.xml" /><Relationship Id="rId679" Type="http://schemas.openxmlformats.org/officeDocument/2006/relationships/header" Target="header80.xml" /><Relationship Id="rId68" Type="http://schemas.openxmlformats.org/officeDocument/2006/relationships/hyperlink" Target="https://advance.lexis.com/api/document?collection=cases-ca&amp;id=urn:contentItem:5F7T-S6W1-JYYX-61TX-00000-00&amp;context=" TargetMode="External" /><Relationship Id="rId680" Type="http://schemas.openxmlformats.org/officeDocument/2006/relationships/footer" Target="footer79.xml" /><Relationship Id="rId681" Type="http://schemas.openxmlformats.org/officeDocument/2006/relationships/footer" Target="footer80.xml" /><Relationship Id="rId682" Type="http://schemas.openxmlformats.org/officeDocument/2006/relationships/header" Target="header81.xml" /><Relationship Id="rId683" Type="http://schemas.openxmlformats.org/officeDocument/2006/relationships/footer" Target="footer81.xml" /><Relationship Id="rId684" Type="http://schemas.openxmlformats.org/officeDocument/2006/relationships/hyperlink" Target="https://advance.lexis.com/api/document?collection=cases-ca&amp;id=urn:contentItem:5F7T-S7P1-JSJC-X1F3-00000-00&amp;context=" TargetMode="External" /><Relationship Id="rId685" Type="http://schemas.openxmlformats.org/officeDocument/2006/relationships/hyperlink" Target="https://advance.lexis.com/api/document?collection=cases-ca&amp;id=urn:contentItem:5K6Y-81N1-JFDC-X1VW-00000-00&amp;context=" TargetMode="External" /><Relationship Id="rId686" Type="http://schemas.openxmlformats.org/officeDocument/2006/relationships/hyperlink" Target="https://advance.lexis.com/api/document?collection=legislation-ca&amp;id=urn:contentItem:5F41-1FJ1-JKPJ-G0P7-00000-00&amp;context=" TargetMode="External" /><Relationship Id="rId687" Type="http://schemas.openxmlformats.org/officeDocument/2006/relationships/hyperlink" Target="https://advance.lexis.com/api/document?collection=cases-ca&amp;id=urn:contentItem:5F7T-S7N1-JC5P-G23W-00000-00&amp;context=" TargetMode="External" /><Relationship Id="rId688" Type="http://schemas.openxmlformats.org/officeDocument/2006/relationships/header" Target="header82.xml" /><Relationship Id="rId689" Type="http://schemas.openxmlformats.org/officeDocument/2006/relationships/header" Target="header83.xml" /><Relationship Id="rId69" Type="http://schemas.openxmlformats.org/officeDocument/2006/relationships/hyperlink" Target="https://advance.lexis.com/api/document?collection=cases-ca&amp;id=urn:contentItem:5NYG-2N01-F2F4-G4KG-00000-00&amp;context=" TargetMode="External" /><Relationship Id="rId690" Type="http://schemas.openxmlformats.org/officeDocument/2006/relationships/footer" Target="footer82.xml" /><Relationship Id="rId691" Type="http://schemas.openxmlformats.org/officeDocument/2006/relationships/footer" Target="footer83.xml" /><Relationship Id="rId692" Type="http://schemas.openxmlformats.org/officeDocument/2006/relationships/header" Target="header84.xml" /><Relationship Id="rId693" Type="http://schemas.openxmlformats.org/officeDocument/2006/relationships/footer" Target="footer84.xml" /><Relationship Id="rId694" Type="http://schemas.openxmlformats.org/officeDocument/2006/relationships/hyperlink" Target="https://advance.lexis.com/api/document?collection=cases-ca&amp;id=urn:contentItem:5F7T-S7P1-JG02-S463-00000-00&amp;context=" TargetMode="External" /><Relationship Id="rId695" Type="http://schemas.openxmlformats.org/officeDocument/2006/relationships/hyperlink" Target="https://advance.lexis.com/api/document?collection=legislation-ca&amp;id=urn:contentItem:5F41-1FP1-JXNB-60TY-00000-00&amp;context=" TargetMode="External" /><Relationship Id="rId696" Type="http://schemas.openxmlformats.org/officeDocument/2006/relationships/hyperlink" Target="https://advance.lexis.com/api/document?collection=legislation-ca&amp;id=urn:contentItem:5MS4-PW61-DYV0-G06J-00000-00&amp;context=" TargetMode="External" /><Relationship Id="rId697" Type="http://schemas.openxmlformats.org/officeDocument/2006/relationships/hyperlink" Target="https://advance.lexis.com/api/document?collection=cases-ca&amp;id=urn:contentItem:5F7T-S6Y1-JPP5-217W-00000-00&amp;context=" TargetMode="External" /><Relationship Id="rId698" Type="http://schemas.openxmlformats.org/officeDocument/2006/relationships/hyperlink" Target="https://advance.lexis.com/api/document?collection=cases-ca&amp;id=urn:contentItem:5F7T-S7K1-JNY7-X4PN-00000-00&amp;context=" TargetMode="External" /><Relationship Id="rId699" Type="http://schemas.openxmlformats.org/officeDocument/2006/relationships/hyperlink" Target="https://advance.lexis.com/api/document?collection=cases-ca&amp;id=urn:contentItem:5F7T-S7F1-FJTD-G393-00000-00&amp;context=" TargetMode="External" /><Relationship Id="rId7" Type="http://schemas.openxmlformats.org/officeDocument/2006/relationships/footer" Target="footer2.xml" /><Relationship Id="rId70" Type="http://schemas.openxmlformats.org/officeDocument/2006/relationships/hyperlink" Target="https://advance.lexis.com/api/document?collection=cases-ca&amp;id=urn:contentItem:5F7T-S7M1-JCRC-B1SF-00000-00&amp;context=" TargetMode="External" /><Relationship Id="rId700" Type="http://schemas.openxmlformats.org/officeDocument/2006/relationships/hyperlink" Target="https://advance.lexis.com/api/document?collection=cases-ca&amp;id=urn:contentItem:5F7T-S7D1-FFFC-B13V-00000-00&amp;context=" TargetMode="External" /><Relationship Id="rId701" Type="http://schemas.openxmlformats.org/officeDocument/2006/relationships/hyperlink" Target="https://advance.lexis.com/api/document?collection=cases-ca&amp;id=urn:contentItem:5F7T-S7F1-FJTD-G35H-00000-00&amp;context=" TargetMode="External" /><Relationship Id="rId702" Type="http://schemas.openxmlformats.org/officeDocument/2006/relationships/hyperlink" Target="https://advance.lexis.com/api/document?collection=cases-ca&amp;id=urn:contentItem:5F7T-S781-F7G6-63K1-00000-00&amp;context=" TargetMode="External" /><Relationship Id="rId703" Type="http://schemas.openxmlformats.org/officeDocument/2006/relationships/hyperlink" Target="https://advance.lexis.com/api/document?collection=cases-ca&amp;id=urn:contentItem:5F7T-S7H1-JFSV-G2P5-00000-00&amp;context=" TargetMode="External" /><Relationship Id="rId704" Type="http://schemas.openxmlformats.org/officeDocument/2006/relationships/hyperlink" Target="https://advance.lexis.com/api/document?collection=cases-ca&amp;id=urn:contentItem:5F7T-S7K1-F1H1-228H-00000-00&amp;context=" TargetMode="External" /><Relationship Id="rId705" Type="http://schemas.openxmlformats.org/officeDocument/2006/relationships/hyperlink" Target="https://advance.lexis.com/api/document?collection=cases-ca&amp;id=urn:contentItem:5F8T-N3T1-JJSF-23P9-00000-00&amp;context=" TargetMode="External" /><Relationship Id="rId706" Type="http://schemas.openxmlformats.org/officeDocument/2006/relationships/hyperlink" Target="https://advance.lexis.com/api/document?collection=cases-ca&amp;id=urn:contentItem:5F2P-NNM1-JCRC-B52T-00000-00&amp;context=" TargetMode="External" /><Relationship Id="rId707" Type="http://schemas.openxmlformats.org/officeDocument/2006/relationships/header" Target="header85.xml" /><Relationship Id="rId708" Type="http://schemas.openxmlformats.org/officeDocument/2006/relationships/header" Target="header86.xml" /><Relationship Id="rId709" Type="http://schemas.openxmlformats.org/officeDocument/2006/relationships/footer" Target="footer85.xml" /><Relationship Id="rId71" Type="http://schemas.openxmlformats.org/officeDocument/2006/relationships/hyperlink" Target="https://advance.lexis.com/api/document?collection=cases-ca&amp;id=urn:contentItem:5F8T-N3V1-FC1F-M4BC-00000-00&amp;context=" TargetMode="External" /><Relationship Id="rId710" Type="http://schemas.openxmlformats.org/officeDocument/2006/relationships/footer" Target="footer86.xml" /><Relationship Id="rId711" Type="http://schemas.openxmlformats.org/officeDocument/2006/relationships/header" Target="header87.xml" /><Relationship Id="rId712" Type="http://schemas.openxmlformats.org/officeDocument/2006/relationships/footer" Target="footer87.xml" /><Relationship Id="rId713" Type="http://schemas.openxmlformats.org/officeDocument/2006/relationships/hyperlink" Target="https://advance.lexis.com/api/document?collection=cases-ca&amp;id=urn:contentItem:5G5M-B9W1-FGCG-S01R-00000-00&amp;context=" TargetMode="External" /><Relationship Id="rId714" Type="http://schemas.openxmlformats.org/officeDocument/2006/relationships/hyperlink" Target="https://advance.lexis.com/api/document?collection=cases-ca&amp;id=urn:contentItem:5F7T-S751-JP4G-612N-00000-00&amp;context=" TargetMode="External" /><Relationship Id="rId715" Type="http://schemas.openxmlformats.org/officeDocument/2006/relationships/hyperlink" Target="https://advance.lexis.com/api/document?collection=cases-ca&amp;id=urn:contentItem:5F7T-S791-FJTD-G2MT-00000-00&amp;context=" TargetMode="External" /><Relationship Id="rId716" Type="http://schemas.openxmlformats.org/officeDocument/2006/relationships/hyperlink" Target="https://advance.lexis.com/api/document?collection=cases-ca&amp;id=urn:contentItem:5F8P-SDR1-FCCX-64JC-00000-00&amp;context=" TargetMode="External" /><Relationship Id="rId717" Type="http://schemas.openxmlformats.org/officeDocument/2006/relationships/hyperlink" Target="https://advance.lexis.com/api/document?collection=cases-ca&amp;id=urn:contentItem:5F8P-SF51-JK4W-M4NS-00000-00&amp;context=" TargetMode="External" /><Relationship Id="rId718" Type="http://schemas.openxmlformats.org/officeDocument/2006/relationships/hyperlink" Target="https://advance.lexis.com/api/document?collection=cases-ca&amp;id=urn:contentItem:5F8T-N3R1-JNS1-M12J-00000-00&amp;context=" TargetMode="External" /><Relationship Id="rId719" Type="http://schemas.openxmlformats.org/officeDocument/2006/relationships/hyperlink" Target="https://advance.lexis.com/api/document?collection=cases-ca&amp;id=urn:contentItem:5F7T-S7F1-FFFC-B22K-00000-00&amp;context=" TargetMode="External" /><Relationship Id="rId72" Type="http://schemas.openxmlformats.org/officeDocument/2006/relationships/hyperlink" Target="https://advance.lexis.com/api/document?collection=cases-ca&amp;id=urn:contentItem:5F7T-S7M1-JNCK-22SH-00000-00&amp;context=" TargetMode="External" /><Relationship Id="rId720" Type="http://schemas.openxmlformats.org/officeDocument/2006/relationships/hyperlink" Target="https://advance.lexis.com/api/document?collection=cases-ca&amp;id=urn:contentItem:5F7T-S7P1-JP4G-61R3-00000-00&amp;context=" TargetMode="External" /><Relationship Id="rId721" Type="http://schemas.openxmlformats.org/officeDocument/2006/relationships/hyperlink" Target="https://advance.lexis.com/api/document?collection=cases-ca&amp;id=urn:contentItem:5F7T-S7F1-JK4W-M1CF-00000-00&amp;context=" TargetMode="External" /><Relationship Id="rId722" Type="http://schemas.openxmlformats.org/officeDocument/2006/relationships/header" Target="header88.xml" /><Relationship Id="rId723" Type="http://schemas.openxmlformats.org/officeDocument/2006/relationships/header" Target="header89.xml" /><Relationship Id="rId724" Type="http://schemas.openxmlformats.org/officeDocument/2006/relationships/footer" Target="footer88.xml" /><Relationship Id="rId725" Type="http://schemas.openxmlformats.org/officeDocument/2006/relationships/footer" Target="footer89.xml" /><Relationship Id="rId726" Type="http://schemas.openxmlformats.org/officeDocument/2006/relationships/header" Target="header90.xml" /><Relationship Id="rId727" Type="http://schemas.openxmlformats.org/officeDocument/2006/relationships/footer" Target="footer90.xml" /><Relationship Id="rId728" Type="http://schemas.openxmlformats.org/officeDocument/2006/relationships/hyperlink" Target="https://advance.lexis.com/api/document?collection=cases-ca&amp;id=urn:contentItem:5F7T-S7P1-JSJC-X1CM-00000-00&amp;context=" TargetMode="External" /><Relationship Id="rId729" Type="http://schemas.openxmlformats.org/officeDocument/2006/relationships/hyperlink" Target="https://advance.lexis.com/api/document?collection=cases-ca&amp;id=urn:contentItem:5F7T-S701-FJDY-X2M4-00000-00&amp;context=" TargetMode="External" /><Relationship Id="rId73" Type="http://schemas.openxmlformats.org/officeDocument/2006/relationships/hyperlink" Target="https://advance.lexis.com/api/document?collection=cases-ca&amp;id=urn:contentItem:5F7T-S7K1-DY33-B1R6-00000-00&amp;context=" TargetMode="External" /><Relationship Id="rId730" Type="http://schemas.openxmlformats.org/officeDocument/2006/relationships/hyperlink" Target="https://advance.lexis.com/api/document?collection=cases-ca&amp;id=urn:contentItem:5F7T-S721-F8D9-M15W-00000-00&amp;context=" TargetMode="External" /><Relationship Id="rId731" Type="http://schemas.openxmlformats.org/officeDocument/2006/relationships/hyperlink" Target="https://advance.lexis.com/api/document?collection=cases-ca&amp;id=urn:contentItem:5F7T-S7H1-JS5Y-B2P1-00000-00&amp;context=" TargetMode="External" /><Relationship Id="rId732" Type="http://schemas.openxmlformats.org/officeDocument/2006/relationships/hyperlink" Target="https://advance.lexis.com/api/document?collection=cases-ca&amp;id=urn:contentItem:5F7T-S7K1-JKHB-62JD-00000-00&amp;context=" TargetMode="External" /><Relationship Id="rId733" Type="http://schemas.openxmlformats.org/officeDocument/2006/relationships/hyperlink" Target="https://advance.lexis.com/api/document?collection=cases-ca&amp;id=urn:contentItem:5F7T-S711-FJDY-X39R-00000-00&amp;context=" TargetMode="External" /><Relationship Id="rId734" Type="http://schemas.openxmlformats.org/officeDocument/2006/relationships/hyperlink" Target="https://advance.lexis.com/api/document?collection=cases-ca&amp;id=urn:contentItem:5F7T-S731-JC0G-6370-00000-00&amp;context=" TargetMode="External" /><Relationship Id="rId735" Type="http://schemas.openxmlformats.org/officeDocument/2006/relationships/hyperlink" Target="https://advance.lexis.com/api/document?collection=cases-ca&amp;id=urn:contentItem:5F7T-S7N1-JC5P-G2D1-00000-00&amp;context=" TargetMode="External" /><Relationship Id="rId736" Type="http://schemas.openxmlformats.org/officeDocument/2006/relationships/hyperlink" Target="https://advance.lexis.com/api/document?collection=cases-ca&amp;id=urn:contentItem:5F7T-S781-F27X-61FV-00000-00&amp;context=" TargetMode="External" /><Relationship Id="rId737" Type="http://schemas.openxmlformats.org/officeDocument/2006/relationships/hyperlink" Target="https://advance.lexis.com/api/document?collection=cases-ca&amp;id=urn:contentItem:5F7T-S7F1-DXWW-23S1-00000-00&amp;context=" TargetMode="External" /><Relationship Id="rId738" Type="http://schemas.openxmlformats.org/officeDocument/2006/relationships/hyperlink" Target="https://advance.lexis.com/api/document?collection=cases-ca&amp;id=urn:contentItem:5F7T-S7J1-FGCG-S035-00000-00&amp;context=" TargetMode="External" /><Relationship Id="rId739" Type="http://schemas.openxmlformats.org/officeDocument/2006/relationships/hyperlink" Target="https://advance.lexis.com/api/document?collection=cases-ca&amp;id=urn:contentItem:5F7T-S7N1-JC5P-G20P-00000-00&amp;context=" TargetMode="External" /><Relationship Id="rId74" Type="http://schemas.openxmlformats.org/officeDocument/2006/relationships/hyperlink" Target="https://advance.lexis.com/api/document?collection=cases-ca&amp;id=urn:contentItem:5F7T-S7N1-F57G-S2D4-00000-00&amp;context=" TargetMode="External" /><Relationship Id="rId740" Type="http://schemas.openxmlformats.org/officeDocument/2006/relationships/hyperlink" Target="https://advance.lexis.com/api/document?collection=cases-ca&amp;id=urn:contentItem:5F7T-S7P1-JG02-S41C-00000-00&amp;context=" TargetMode="External" /><Relationship Id="rId741" Type="http://schemas.openxmlformats.org/officeDocument/2006/relationships/hyperlink" Target="https://advance.lexis.com/api/document?collection=cases-ca&amp;id=urn:contentItem:5F7T-S7N1-JW09-M11Y-00000-00&amp;context=" TargetMode="External" /><Relationship Id="rId742" Type="http://schemas.openxmlformats.org/officeDocument/2006/relationships/hyperlink" Target="https://advance.lexis.com/api/document?collection=cases-ca&amp;id=urn:contentItem:5F7T-S7P1-JCRC-B2JD-00000-00&amp;context=" TargetMode="External" /><Relationship Id="rId743" Type="http://schemas.openxmlformats.org/officeDocument/2006/relationships/hyperlink" Target="https://advance.lexis.com/api/document?collection=cases-ca&amp;id=urn:contentItem:5F7T-S7P1-JG02-S3YN-00000-00&amp;context=" TargetMode="External" /><Relationship Id="rId744" Type="http://schemas.openxmlformats.org/officeDocument/2006/relationships/hyperlink" Target="https://advance.lexis.com/api/document?collection=cases-ca&amp;id=urn:contentItem:5F7T-S7N1-JGHR-M3B9-00000-00&amp;context=" TargetMode="External" /><Relationship Id="rId745" Type="http://schemas.openxmlformats.org/officeDocument/2006/relationships/hyperlink" Target="https://advance.lexis.com/api/document?collection=cases-ca&amp;id=urn:contentItem:5F7T-S7M1-JCRC-B1TM-00000-00&amp;context=" TargetMode="External" /><Relationship Id="rId746" Type="http://schemas.openxmlformats.org/officeDocument/2006/relationships/hyperlink" Target="https://advance.lexis.com/api/document?collection=cases-ca&amp;id=urn:contentItem:5F7T-S7M1-F4W2-62BF-00000-00&amp;context=" TargetMode="External" /><Relationship Id="rId747" Type="http://schemas.openxmlformats.org/officeDocument/2006/relationships/hyperlink" Target="https://advance.lexis.com/api/document?collection=cases-ca&amp;id=urn:contentItem:5F7T-S7J1-JNS1-M2B2-00000-00&amp;context=" TargetMode="External" /><Relationship Id="rId748" Type="http://schemas.openxmlformats.org/officeDocument/2006/relationships/hyperlink" Target="https://advance.lexis.com/api/document?collection=cases-ca&amp;id=urn:contentItem:5F7T-S7J1-FGCG-S06P-00000-00&amp;context=" TargetMode="External" /><Relationship Id="rId749" Type="http://schemas.openxmlformats.org/officeDocument/2006/relationships/hyperlink" Target="https://advance.lexis.com/api/document?collection=cases-ca&amp;id=urn:contentItem:5F7T-S7H1-K054-G2J3-00000-00&amp;context=" TargetMode="External" /><Relationship Id="rId75" Type="http://schemas.openxmlformats.org/officeDocument/2006/relationships/hyperlink" Target="https://advance.lexis.com/api/document?collection=cases-ca&amp;id=urn:contentItem:5F7T-S7K1-DY33-B1K8-00000-00&amp;context=" TargetMode="External" /><Relationship Id="rId750" Type="http://schemas.openxmlformats.org/officeDocument/2006/relationships/header" Target="header91.xml" /><Relationship Id="rId751" Type="http://schemas.openxmlformats.org/officeDocument/2006/relationships/header" Target="header92.xml" /><Relationship Id="rId752" Type="http://schemas.openxmlformats.org/officeDocument/2006/relationships/footer" Target="footer91.xml" /><Relationship Id="rId753" Type="http://schemas.openxmlformats.org/officeDocument/2006/relationships/footer" Target="footer92.xml" /><Relationship Id="rId754" Type="http://schemas.openxmlformats.org/officeDocument/2006/relationships/header" Target="header93.xml" /><Relationship Id="rId755" Type="http://schemas.openxmlformats.org/officeDocument/2006/relationships/footer" Target="footer93.xml" /><Relationship Id="rId756" Type="http://schemas.openxmlformats.org/officeDocument/2006/relationships/hyperlink" Target="https://advance.lexis.com/api/document?collection=cases-ca&amp;id=urn:contentItem:5F7T-S7H1-JCRC-B16M-00000-00&amp;context=" TargetMode="External" /><Relationship Id="rId757" Type="http://schemas.openxmlformats.org/officeDocument/2006/relationships/hyperlink" Target="https://advance.lexis.com/api/document?collection=cases-ca&amp;id=urn:contentItem:5F7T-S7H1-F4GK-M324-00000-00&amp;context=" TargetMode="External" /><Relationship Id="rId758" Type="http://schemas.openxmlformats.org/officeDocument/2006/relationships/hyperlink" Target="https://advance.lexis.com/api/document?collection=cases-ca&amp;id=urn:contentItem:5F7T-S771-JW5H-X1X2-00000-00&amp;context=" TargetMode="External" /><Relationship Id="rId759" Type="http://schemas.openxmlformats.org/officeDocument/2006/relationships/hyperlink" Target="https://advance.lexis.com/api/document?collection=cases-ca&amp;id=urn:contentItem:5F7T-S7D1-FC6N-X0JK-00000-00&amp;context=" TargetMode="External" /><Relationship Id="rId76" Type="http://schemas.openxmlformats.org/officeDocument/2006/relationships/hyperlink" Target="https://advance.lexis.com/api/document?collection=cases-ca&amp;id=urn:contentItem:5F7T-S7B1-FH4C-X381-00000-00&amp;context=" TargetMode="External" /><Relationship Id="rId760" Type="http://schemas.openxmlformats.org/officeDocument/2006/relationships/hyperlink" Target="https://advance.lexis.com/api/document?collection=cases-ca&amp;id=urn:contentItem:5F7T-S7D1-DY89-M43H-00000-00&amp;context=" TargetMode="External" /><Relationship Id="rId761" Type="http://schemas.openxmlformats.org/officeDocument/2006/relationships/hyperlink" Target="https://advance.lexis.com/api/document?collection=cases-ca&amp;id=urn:contentItem:5F7T-S7G1-JBT7-X3YV-00000-00&amp;context=" TargetMode="External" /><Relationship Id="rId762" Type="http://schemas.openxmlformats.org/officeDocument/2006/relationships/header" Target="header94.xml" /><Relationship Id="rId763" Type="http://schemas.openxmlformats.org/officeDocument/2006/relationships/header" Target="header95.xml" /><Relationship Id="rId764" Type="http://schemas.openxmlformats.org/officeDocument/2006/relationships/footer" Target="footer94.xml" /><Relationship Id="rId765" Type="http://schemas.openxmlformats.org/officeDocument/2006/relationships/footer" Target="footer95.xml" /><Relationship Id="rId766" Type="http://schemas.openxmlformats.org/officeDocument/2006/relationships/header" Target="header96.xml" /><Relationship Id="rId767" Type="http://schemas.openxmlformats.org/officeDocument/2006/relationships/footer" Target="footer96.xml" /><Relationship Id="rId768" Type="http://schemas.openxmlformats.org/officeDocument/2006/relationships/hyperlink" Target="https://advance.lexis.com/api/document?collection=cases-ca&amp;id=urn:contentItem:5F7T-S7D1-FFFC-B1JH-00000-00&amp;context=" TargetMode="External" /><Relationship Id="rId769" Type="http://schemas.openxmlformats.org/officeDocument/2006/relationships/hyperlink" Target="https://advance.lexis.com/api/document?collection=cases-ca&amp;id=urn:contentItem:5F7T-S7F1-DXWW-24CX-00000-00&amp;context=" TargetMode="External" /><Relationship Id="rId77" Type="http://schemas.openxmlformats.org/officeDocument/2006/relationships/hyperlink" Target="https://advance.lexis.com/api/document?collection=cases-ca&amp;id=urn:contentItem:5F7T-S7G1-FCYK-20F6-00000-00&amp;context=" TargetMode="External" /><Relationship Id="rId770" Type="http://schemas.openxmlformats.org/officeDocument/2006/relationships/hyperlink" Target="https://advance.lexis.com/api/document?collection=cases-ca&amp;id=urn:contentItem:5F7T-S7D1-F7ND-G0NM-00000-00&amp;context=" TargetMode="External" /><Relationship Id="rId771" Type="http://schemas.openxmlformats.org/officeDocument/2006/relationships/hyperlink" Target="https://advance.lexis.com/api/document?collection=cases-ca&amp;id=urn:contentItem:5F7T-S771-JSJC-X0FG-00000-00&amp;context=" TargetMode="External" /><Relationship Id="rId772" Type="http://schemas.openxmlformats.org/officeDocument/2006/relationships/hyperlink" Target="https://advance.lexis.com/api/document?collection=cases-ca&amp;id=urn:contentItem:5F7T-S781-JC5P-G1W4-00000-00&amp;context=" TargetMode="External" /><Relationship Id="rId773" Type="http://schemas.openxmlformats.org/officeDocument/2006/relationships/hyperlink" Target="https://advance.lexis.com/api/document?collection=cases-ca&amp;id=urn:contentItem:5F7T-S7J1-JYYX-6229-00000-00&amp;context=" TargetMode="External" /><Relationship Id="rId774" Type="http://schemas.openxmlformats.org/officeDocument/2006/relationships/header" Target="header97.xml" /><Relationship Id="rId775" Type="http://schemas.openxmlformats.org/officeDocument/2006/relationships/header" Target="header98.xml" /><Relationship Id="rId776" Type="http://schemas.openxmlformats.org/officeDocument/2006/relationships/footer" Target="footer97.xml" /><Relationship Id="rId777" Type="http://schemas.openxmlformats.org/officeDocument/2006/relationships/footer" Target="footer98.xml" /><Relationship Id="rId778" Type="http://schemas.openxmlformats.org/officeDocument/2006/relationships/header" Target="header99.xml" /><Relationship Id="rId779" Type="http://schemas.openxmlformats.org/officeDocument/2006/relationships/footer" Target="footer99.xml" /><Relationship Id="rId78" Type="http://schemas.openxmlformats.org/officeDocument/2006/relationships/hyperlink" Target="https://advance.lexis.com/api/document?collection=cases-ca&amp;id=urn:contentItem:5F7T-S7H1-JCRC-B0PH-00000-00&amp;context=" TargetMode="External" /><Relationship Id="rId780" Type="http://schemas.openxmlformats.org/officeDocument/2006/relationships/hyperlink" Target="https://advance.lexis.com/api/document?collection=cases-ca&amp;id=urn:contentItem:5F7T-S7K1-F528-G33M-00000-00&amp;context=" TargetMode="External" /><Relationship Id="rId781" Type="http://schemas.openxmlformats.org/officeDocument/2006/relationships/hyperlink" Target="https://advance.lexis.com/api/document?collection=legislation-ca&amp;id=urn:contentItem:5F41-1FH1-F361-M0F8-00000-00&amp;context=" TargetMode="External" /><Relationship Id="rId782" Type="http://schemas.openxmlformats.org/officeDocument/2006/relationships/hyperlink" Target="https://advance.lexis.com/api/document?collection=cases-ca&amp;id=urn:contentItem:5F7T-S7H1-JG02-S3RS-00000-00&amp;context=" TargetMode="External" /><Relationship Id="rId783" Type="http://schemas.openxmlformats.org/officeDocument/2006/relationships/hyperlink" Target="https://advance.lexis.com/api/document?collection=cases-ca&amp;id=urn:contentItem:5F8T-N3P1-FC6N-X1BS-00000-00&amp;context=" TargetMode="External" /><Relationship Id="rId784" Type="http://schemas.openxmlformats.org/officeDocument/2006/relationships/hyperlink" Target="https://advance.lexis.com/api/document?collection=cases-ca&amp;id=urn:contentItem:5F7T-S771-JWBS-61WN-00000-00&amp;context=" TargetMode="External" /><Relationship Id="rId785" Type="http://schemas.openxmlformats.org/officeDocument/2006/relationships/hyperlink" Target="https://advance.lexis.com/api/document?collection=cases-ca&amp;id=urn:contentItem:5F7T-S7H1-JCRC-B0WX-00000-00&amp;context=" TargetMode="External" /><Relationship Id="rId786" Type="http://schemas.openxmlformats.org/officeDocument/2006/relationships/hyperlink" Target="https://advance.lexis.com/api/document?collection=cases-ca&amp;id=urn:contentItem:5F7T-S7K1-JX3N-B35G-00000-00&amp;context=" TargetMode="External" /><Relationship Id="rId787" Type="http://schemas.openxmlformats.org/officeDocument/2006/relationships/hyperlink" Target="https://advance.lexis.com/api/document?collection=cases-ca&amp;id=urn:contentItem:5F16-9361-JYYX-63KP-00000-00&amp;context=" TargetMode="External" /><Relationship Id="rId788" Type="http://schemas.openxmlformats.org/officeDocument/2006/relationships/header" Target="header100.xml" /><Relationship Id="rId789" Type="http://schemas.openxmlformats.org/officeDocument/2006/relationships/header" Target="header101.xml" /><Relationship Id="rId79" Type="http://schemas.openxmlformats.org/officeDocument/2006/relationships/hyperlink" Target="https://advance.lexis.com/api/document?collection=cases-ca&amp;id=urn:contentItem:5F7T-S7H1-F4GK-M34T-00000-00&amp;context=" TargetMode="External" /><Relationship Id="rId790" Type="http://schemas.openxmlformats.org/officeDocument/2006/relationships/footer" Target="footer100.xml" /><Relationship Id="rId791" Type="http://schemas.openxmlformats.org/officeDocument/2006/relationships/footer" Target="footer101.xml" /><Relationship Id="rId792" Type="http://schemas.openxmlformats.org/officeDocument/2006/relationships/header" Target="header102.xml" /><Relationship Id="rId793" Type="http://schemas.openxmlformats.org/officeDocument/2006/relationships/footer" Target="footer102.xml" /><Relationship Id="rId794" Type="http://schemas.openxmlformats.org/officeDocument/2006/relationships/hyperlink" Target="https://advance.lexis.com/api/document?collection=cases-ca&amp;id=urn:contentItem:5G5K-89P1-K054-G32J-00000-00&amp;context=" TargetMode="External" /><Relationship Id="rId795" Type="http://schemas.openxmlformats.org/officeDocument/2006/relationships/hyperlink" Target="https://advance.lexis.com/api/document?collection=legislation-ca&amp;id=urn:contentItem:5F41-1FH1-F361-M0GK-00000-00&amp;context=" TargetMode="External" /><Relationship Id="rId796" Type="http://schemas.openxmlformats.org/officeDocument/2006/relationships/hyperlink" Target="https://advance.lexis.com/api/document?collection=cases-ca&amp;id=urn:contentItem:5F8T-N3T1-JJSF-23K3-00000-00&amp;context=" TargetMode="External" /><Relationship Id="rId797" Type="http://schemas.openxmlformats.org/officeDocument/2006/relationships/hyperlink" Target="https://advance.lexis.com/api/document?collection=cases-ca&amp;id=urn:contentItem:5F7H-KWB1-F7ND-G1HW-00000-00&amp;context=" TargetMode="External" /><Relationship Id="rId798" Type="http://schemas.openxmlformats.org/officeDocument/2006/relationships/hyperlink" Target="https://advance.lexis.com/api/document?collection=cases-ca&amp;id=urn:contentItem:5F7T-S761-F81W-222B-00000-00&amp;context=" TargetMode="External" /><Relationship Id="rId799" Type="http://schemas.openxmlformats.org/officeDocument/2006/relationships/hyperlink" Target="https://advance.lexis.com/api/document?collection=cases-ca&amp;id=urn:contentItem:5F7T-S711-F4W2-61YC-00000-00&amp;context=" TargetMode="External" /><Relationship Id="rId8" Type="http://schemas.openxmlformats.org/officeDocument/2006/relationships/header" Target="header3.xml" /><Relationship Id="rId80" Type="http://schemas.openxmlformats.org/officeDocument/2006/relationships/hyperlink" Target="https://advance.lexis.com/api/document?collection=cases-ca&amp;id=urn:contentItem:5F7T-S6X1-F7ND-G3DV-00000-00&amp;context=" TargetMode="External" /><Relationship Id="rId800" Type="http://schemas.openxmlformats.org/officeDocument/2006/relationships/header" Target="header103.xml" /><Relationship Id="rId801" Type="http://schemas.openxmlformats.org/officeDocument/2006/relationships/header" Target="header104.xml" /><Relationship Id="rId802" Type="http://schemas.openxmlformats.org/officeDocument/2006/relationships/footer" Target="footer103.xml" /><Relationship Id="rId803" Type="http://schemas.openxmlformats.org/officeDocument/2006/relationships/footer" Target="footer104.xml" /><Relationship Id="rId804" Type="http://schemas.openxmlformats.org/officeDocument/2006/relationships/header" Target="header105.xml" /><Relationship Id="rId805" Type="http://schemas.openxmlformats.org/officeDocument/2006/relationships/footer" Target="footer105.xml" /><Relationship Id="rId806" Type="http://schemas.openxmlformats.org/officeDocument/2006/relationships/hyperlink" Target="https://advance.lexis.com/api/document?collection=cases-ca&amp;id=urn:contentItem:5F7T-S7J1-JNS1-M272-00000-00&amp;context=" TargetMode="External" /><Relationship Id="rId807" Type="http://schemas.openxmlformats.org/officeDocument/2006/relationships/hyperlink" Target="https://advance.lexis.com/api/document?collection=cases-ca&amp;id=urn:contentItem:5K6Y-81M1-DXHD-G2SS-00000-00&amp;context=" TargetMode="External" /><Relationship Id="rId808" Type="http://schemas.openxmlformats.org/officeDocument/2006/relationships/hyperlink" Target="https://advance.lexis.com/api/document?collection=cases-ca&amp;id=urn:contentItem:5F8T-N3V1-JF75-M3D0-00000-00&amp;context=" TargetMode="External" /><Relationship Id="rId809" Type="http://schemas.openxmlformats.org/officeDocument/2006/relationships/hyperlink" Target="https://advance.lexis.com/api/document?collection=cases-ca&amp;id=urn:contentItem:5F8T-N3T1-JGHR-M251-00000-00&amp;context=" TargetMode="External" /><Relationship Id="rId81" Type="http://schemas.openxmlformats.org/officeDocument/2006/relationships/header" Target="header4.xml" /><Relationship Id="rId810" Type="http://schemas.openxmlformats.org/officeDocument/2006/relationships/hyperlink" Target="https://advance.lexis.com/api/document?collection=cases-ca&amp;id=urn:contentItem:5F8T-N3V1-JF75-M3B3-00000-00&amp;context=" TargetMode="External" /><Relationship Id="rId811" Type="http://schemas.openxmlformats.org/officeDocument/2006/relationships/hyperlink" Target="https://advance.lexis.com/api/document?collection=cases-ca&amp;id=urn:contentItem:5F8P-SD21-JNS1-M50J-00000-00&amp;context=" TargetMode="External" /><Relationship Id="rId812" Type="http://schemas.openxmlformats.org/officeDocument/2006/relationships/hyperlink" Target="https://advance.lexis.com/api/document?collection=cases-ca&amp;id=urn:contentItem:5F7T-S7F1-DXWW-244S-00000-00&amp;context=" TargetMode="External" /><Relationship Id="rId813" Type="http://schemas.openxmlformats.org/officeDocument/2006/relationships/hyperlink" Target="https://advance.lexis.com/api/document?collection=cases-ca&amp;id=urn:contentItem:5F8T-N3V1-FC1F-M41J-00000-00&amp;context=" TargetMode="External" /><Relationship Id="rId814" Type="http://schemas.openxmlformats.org/officeDocument/2006/relationships/hyperlink" Target="https://advance.lexis.com/api/document?collection=cases-ca&amp;id=urn:contentItem:5F8T-N3S1-JT99-24KD-00000-00&amp;context=" TargetMode="External" /><Relationship Id="rId815" Type="http://schemas.openxmlformats.org/officeDocument/2006/relationships/hyperlink" Target="https://advance.lexis.com/api/document?collection=cases-ca&amp;id=urn:contentItem:5F7V-3DK1-JNY7-X2CK-00000-00&amp;context=" TargetMode="External" /><Relationship Id="rId816" Type="http://schemas.openxmlformats.org/officeDocument/2006/relationships/hyperlink" Target="https://advance.lexis.com/api/document?collection=cases-ca&amp;id=urn:contentItem:5F8T-N3T1-JFKM-652P-00000-00&amp;context=" TargetMode="External" /><Relationship Id="rId817" Type="http://schemas.openxmlformats.org/officeDocument/2006/relationships/hyperlink" Target="https://advance.lexis.com/api/document?collection=cases-ca&amp;id=urn:contentItem:5F7T-S721-JSC5-M387-00000-00&amp;context=" TargetMode="External" /><Relationship Id="rId818" Type="http://schemas.openxmlformats.org/officeDocument/2006/relationships/hyperlink" Target="https://advance.lexis.com/api/document?collection=cases-ca&amp;id=urn:contentItem:5F8T-N3R1-JNS1-M0YN-00000-00&amp;context=" TargetMode="External" /><Relationship Id="rId819" Type="http://schemas.openxmlformats.org/officeDocument/2006/relationships/hyperlink" Target="https://advance.lexis.com/api/document?collection=cases-ca&amp;id=urn:contentItem:5F7T-S6X1-JXNB-62S7-00000-00&amp;context=" TargetMode="External" /><Relationship Id="rId82" Type="http://schemas.openxmlformats.org/officeDocument/2006/relationships/header" Target="header5.xml" /><Relationship Id="rId820" Type="http://schemas.openxmlformats.org/officeDocument/2006/relationships/hyperlink" Target="https://advance.lexis.com/api/document?collection=cases-ca&amp;id=urn:contentItem:5F16-9361-FK0M-S30C-00000-00&amp;context=" TargetMode="External" /><Relationship Id="rId821" Type="http://schemas.openxmlformats.org/officeDocument/2006/relationships/hyperlink" Target="https://advance.lexis.com/api/document?collection=cases-ca&amp;id=urn:contentItem:5XR8-3W01-JGBH-B3B1-00000-00&amp;context=" TargetMode="External" /><Relationship Id="rId822" Type="http://schemas.openxmlformats.org/officeDocument/2006/relationships/header" Target="header106.xml" /><Relationship Id="rId823" Type="http://schemas.openxmlformats.org/officeDocument/2006/relationships/header" Target="header107.xml" /><Relationship Id="rId824" Type="http://schemas.openxmlformats.org/officeDocument/2006/relationships/footer" Target="footer106.xml" /><Relationship Id="rId825" Type="http://schemas.openxmlformats.org/officeDocument/2006/relationships/footer" Target="footer107.xml" /><Relationship Id="rId826" Type="http://schemas.openxmlformats.org/officeDocument/2006/relationships/header" Target="header108.xml" /><Relationship Id="rId827" Type="http://schemas.openxmlformats.org/officeDocument/2006/relationships/footer" Target="footer108.xml" /><Relationship Id="rId828" Type="http://schemas.openxmlformats.org/officeDocument/2006/relationships/hyperlink" Target="https://advance.lexis.com/api/document?collection=cases-ca&amp;id=urn:contentItem:5F7T-S7P1-JNJT-B2WB-00000-00&amp;context=" TargetMode="External" /><Relationship Id="rId829" Type="http://schemas.openxmlformats.org/officeDocument/2006/relationships/hyperlink" Target="https://advance.lexis.com/api/document?collection=legislation-ca&amp;id=urn:contentItem:5VYK-W9S1-JKHB-649S-00000-00&amp;context=" TargetMode="External" /><Relationship Id="rId83" Type="http://schemas.openxmlformats.org/officeDocument/2006/relationships/footer" Target="footer4.xml" /><Relationship Id="rId830" Type="http://schemas.openxmlformats.org/officeDocument/2006/relationships/hyperlink" Target="https://advance.lexis.com/api/document?collection=legislation-ca&amp;id=urn:contentItem:5F3B-B9P1-JF75-M0NX-00000-00&amp;context=" TargetMode="External" /><Relationship Id="rId831" Type="http://schemas.openxmlformats.org/officeDocument/2006/relationships/hyperlink" Target="https://advance.lexis.com/api/document?collection=analytical-materials-ca&amp;id=urn:contentItem:5F4N-5MK1-F5T5-M1H3-00000-00&amp;context=" TargetMode="External" /><Relationship Id="rId832" Type="http://schemas.openxmlformats.org/officeDocument/2006/relationships/hyperlink" Target="https://advance.lexis.com/api/document?collection=cases-ca&amp;id=urn:contentItem:5F81-VJX1-FGY5-M3GG-00000-00&amp;context=" TargetMode="External" /><Relationship Id="rId833" Type="http://schemas.openxmlformats.org/officeDocument/2006/relationships/hyperlink" Target="https://advance.lexis.com/api/document?collection=cases-ca&amp;id=urn:contentItem:5F8T-N3T1-JJSF-23B6-00000-00&amp;context=" TargetMode="External" /><Relationship Id="rId834" Type="http://schemas.openxmlformats.org/officeDocument/2006/relationships/hyperlink" Target="https://advance.lexis.com/api/document?collection=cases-ca&amp;id=urn:contentItem:5F7F-5RG1-JG02-S0WT-00000-00&amp;context=" TargetMode="External" /><Relationship Id="rId835" Type="http://schemas.openxmlformats.org/officeDocument/2006/relationships/hyperlink" Target="https://advance.lexis.com/api/document?collection=cases-ca&amp;id=urn:contentItem:5F7T-XPW1-JFKM-63KW-00000-00&amp;context=" TargetMode="External" /><Relationship Id="rId836" Type="http://schemas.openxmlformats.org/officeDocument/2006/relationships/hyperlink" Target="https://advance.lexis.com/api/document?collection=cases-ca&amp;id=urn:contentItem:5F7T-S7D1-DY89-M48W-00000-00&amp;context=" TargetMode="External" /><Relationship Id="rId837" Type="http://schemas.openxmlformats.org/officeDocument/2006/relationships/hyperlink" Target="https://advance.lexis.com/api/document?collection=cases-ca&amp;id=urn:contentItem:5F8T-N3S1-JT99-24ND-00000-00&amp;context=" TargetMode="External" /><Relationship Id="rId838" Type="http://schemas.openxmlformats.org/officeDocument/2006/relationships/hyperlink" Target="https://advance.lexis.com/api/document?collection=cases-ca&amp;id=urn:contentItem:5F7T-S731-FFFC-B0J8-00000-00&amp;context=" TargetMode="External" /><Relationship Id="rId839" Type="http://schemas.openxmlformats.org/officeDocument/2006/relationships/hyperlink" Target="https://advance.lexis.com/api/document?collection=cases-ca&amp;id=urn:contentItem:5F7T-S741-F57G-S1XB-00000-00&amp;context=" TargetMode="External" /><Relationship Id="rId84" Type="http://schemas.openxmlformats.org/officeDocument/2006/relationships/footer" Target="footer5.xml" /><Relationship Id="rId840" Type="http://schemas.openxmlformats.org/officeDocument/2006/relationships/hyperlink" Target="https://advance.lexis.com/api/document?collection=cases-ca&amp;id=urn:contentItem:5F8T-N3R1-JNS1-M0VR-00000-00&amp;context=" TargetMode="External" /><Relationship Id="rId841" Type="http://schemas.openxmlformats.org/officeDocument/2006/relationships/hyperlink" Target="https://advance.lexis.com/api/document?collection=legislation-ca&amp;id=urn:contentItem:5VYK-WB21-F57G-S222-00000-00&amp;context=" TargetMode="External" /><Relationship Id="rId842" Type="http://schemas.openxmlformats.org/officeDocument/2006/relationships/hyperlink" Target="https://advance.lexis.com/api/document?collection=cases-ca&amp;id=urn:contentItem:5F7T-S6Y1-JP9P-G1S5-00000-00&amp;context=" TargetMode="External" /><Relationship Id="rId843" Type="http://schemas.openxmlformats.org/officeDocument/2006/relationships/hyperlink" Target="https://advance.lexis.com/api/document?collection=cases-ca&amp;id=urn:contentItem:5F8W-M451-JKB3-X37K-00000-00&amp;context=" TargetMode="External" /><Relationship Id="rId844" Type="http://schemas.openxmlformats.org/officeDocument/2006/relationships/hyperlink" Target="https://advance.lexis.com/api/document?collection=cases-ca&amp;id=urn:contentItem:5F7D-YKB1-F5KY-B0F1-00000-00&amp;context=" TargetMode="External" /><Relationship Id="rId845" Type="http://schemas.openxmlformats.org/officeDocument/2006/relationships/hyperlink" Target="https://advance.lexis.com/api/document?collection=cases-ca&amp;id=urn:contentItem:5F7T-S7K1-JNY7-X4FN-00000-00&amp;context=" TargetMode="External" /><Relationship Id="rId846" Type="http://schemas.openxmlformats.org/officeDocument/2006/relationships/header" Target="header109.xml" /><Relationship Id="rId847" Type="http://schemas.openxmlformats.org/officeDocument/2006/relationships/header" Target="header110.xml" /><Relationship Id="rId848" Type="http://schemas.openxmlformats.org/officeDocument/2006/relationships/footer" Target="footer109.xml" /><Relationship Id="rId849" Type="http://schemas.openxmlformats.org/officeDocument/2006/relationships/footer" Target="footer110.xml" /><Relationship Id="rId85" Type="http://schemas.openxmlformats.org/officeDocument/2006/relationships/header" Target="header6.xml" /><Relationship Id="rId850" Type="http://schemas.openxmlformats.org/officeDocument/2006/relationships/header" Target="header111.xml" /><Relationship Id="rId851" Type="http://schemas.openxmlformats.org/officeDocument/2006/relationships/footer" Target="footer111.xml" /><Relationship Id="rId852" Type="http://schemas.openxmlformats.org/officeDocument/2006/relationships/hyperlink" Target="https://advance.lexis.com/api/document?collection=cases-ca&amp;id=urn:contentItem:5M43-BH51-DXHD-G23V-00000-00&amp;context=" TargetMode="External" /><Relationship Id="rId853" Type="http://schemas.openxmlformats.org/officeDocument/2006/relationships/hyperlink" Target="https://advance.lexis.com/api/document?collection=cases-ca&amp;id=urn:contentItem:5F7T-S711-F27X-60PD-00000-00&amp;context=" TargetMode="External" /><Relationship Id="rId854" Type="http://schemas.openxmlformats.org/officeDocument/2006/relationships/hyperlink" Target="https://advance.lexis.com/api/document?collection=cases-ca&amp;id=urn:contentItem:5F7T-S7P1-JP4G-61V8-00000-00&amp;context=" TargetMode="External" /><Relationship Id="rId855" Type="http://schemas.openxmlformats.org/officeDocument/2006/relationships/hyperlink" Target="https://advance.lexis.com/api/document?collection=cases-ca&amp;id=urn:contentItem:5F7T-S7D1-JN6B-S107-00000-00&amp;context=" TargetMode="External" /><Relationship Id="rId856" Type="http://schemas.openxmlformats.org/officeDocument/2006/relationships/hyperlink" Target="https://advance.lexis.com/api/document?collection=cases-ca&amp;id=urn:contentItem:5F7H-KW51-JX8W-M1H5-00000-00&amp;context=" TargetMode="External" /><Relationship Id="rId857" Type="http://schemas.openxmlformats.org/officeDocument/2006/relationships/hyperlink" Target="https://advance.lexis.com/api/document?collection=cases-ca&amp;id=urn:contentItem:5F7T-S7K1-F528-G346-00000-00&amp;context=" TargetMode="External" /><Relationship Id="rId858" Type="http://schemas.openxmlformats.org/officeDocument/2006/relationships/hyperlink" Target="https://advance.lexis.com/api/document?collection=cases-ca&amp;id=urn:contentItem:5HCY-W481-JJ1H-X3X4-00000-00&amp;context=" TargetMode="External" /><Relationship Id="rId859" Type="http://schemas.openxmlformats.org/officeDocument/2006/relationships/header" Target="header112.xml" /><Relationship Id="rId86" Type="http://schemas.openxmlformats.org/officeDocument/2006/relationships/footer" Target="footer6.xml" /><Relationship Id="rId860" Type="http://schemas.openxmlformats.org/officeDocument/2006/relationships/header" Target="header113.xml" /><Relationship Id="rId861" Type="http://schemas.openxmlformats.org/officeDocument/2006/relationships/footer" Target="footer112.xml" /><Relationship Id="rId862" Type="http://schemas.openxmlformats.org/officeDocument/2006/relationships/footer" Target="footer113.xml" /><Relationship Id="rId863" Type="http://schemas.openxmlformats.org/officeDocument/2006/relationships/header" Target="header114.xml" /><Relationship Id="rId864" Type="http://schemas.openxmlformats.org/officeDocument/2006/relationships/footer" Target="footer114.xml" /><Relationship Id="rId865" Type="http://schemas.openxmlformats.org/officeDocument/2006/relationships/hyperlink" Target="https://advance.lexis.com/api/document?collection=cases-ca&amp;id=urn:contentItem:5F7T-S7K1-F1H1-220C-00000-00&amp;context=" TargetMode="External" /><Relationship Id="rId866" Type="http://schemas.openxmlformats.org/officeDocument/2006/relationships/hyperlink" Target="https://advance.lexis.com/api/document?collection=cases-ca&amp;id=urn:contentItem:5K6Y-81M1-F81W-23WB-00000-00&amp;context=" TargetMode="External" /><Relationship Id="rId867" Type="http://schemas.openxmlformats.org/officeDocument/2006/relationships/hyperlink" Target="https://advance.lexis.com/api/document?collection=cases-ca&amp;id=urn:contentItem:5F81-VJV1-F8D9-M0NM-00000-00&amp;context=" TargetMode="External" /><Relationship Id="rId868" Type="http://schemas.openxmlformats.org/officeDocument/2006/relationships/hyperlink" Target="https://advance.lexis.com/api/document?collection=cases-ca&amp;id=urn:contentItem:5F8T-N3V1-JFKM-6011-00000-00&amp;context=" TargetMode="External" /><Relationship Id="rId869" Type="http://schemas.openxmlformats.org/officeDocument/2006/relationships/hyperlink" Target="https://advance.lexis.com/api/document?collection=cases-ca&amp;id=urn:contentItem:5F8P-SCH1-JSJC-X3X2-00000-00&amp;context=" TargetMode="External" /><Relationship Id="rId87" Type="http://schemas.openxmlformats.org/officeDocument/2006/relationships/hyperlink" Target="https://advance.lexis.com/api/document?collection=cases-ca&amp;id=urn:contentItem:5F7T-S7P1-F2TK-23R4-00000-00&amp;context=" TargetMode="External" /><Relationship Id="rId870" Type="http://schemas.openxmlformats.org/officeDocument/2006/relationships/hyperlink" Target="https://advance.lexis.com/api/document?collection=cases-ca&amp;id=urn:contentItem:5F8P-SCJ1-JJ6S-62RM-00000-00&amp;context=" TargetMode="External" /><Relationship Id="rId871" Type="http://schemas.openxmlformats.org/officeDocument/2006/relationships/hyperlink" Target="https://advance.lexis.com/api/document?collection=cases-ca&amp;id=urn:contentItem:5F7T-S771-F2TK-22M2-00000-00&amp;context=" TargetMode="External" /><Relationship Id="rId872" Type="http://schemas.openxmlformats.org/officeDocument/2006/relationships/hyperlink" Target="https://advance.lexis.com/api/document?collection=cases-ca&amp;id=urn:contentItem:5F8T-N3V1-JTGH-B1H3-00000-00&amp;context=" TargetMode="External" /><Relationship Id="rId873" Type="http://schemas.openxmlformats.org/officeDocument/2006/relationships/hyperlink" Target="https://advance.lexis.com/api/document?collection=cases-ca&amp;id=urn:contentItem:5F7T-S7K1-JSJC-X176-00000-00&amp;context=" TargetMode="External" /><Relationship Id="rId874" Type="http://schemas.openxmlformats.org/officeDocument/2006/relationships/hyperlink" Target="https://advance.lexis.com/api/document?collection=cases-ca&amp;id=urn:contentItem:5F7H-KW61-DXPM-S0BV-00000-00&amp;context=" TargetMode="External" /><Relationship Id="rId875" Type="http://schemas.openxmlformats.org/officeDocument/2006/relationships/hyperlink" Target="https://advance.lexis.com/api/document?collection=cases-ca&amp;id=urn:contentItem:5F7T-S751-JNS1-M1T9-00000-00&amp;context=" TargetMode="External" /><Relationship Id="rId876" Type="http://schemas.openxmlformats.org/officeDocument/2006/relationships/hyperlink" Target="https://advance.lexis.com/api/document?collection=cases-ca&amp;id=urn:contentItem:5F7T-S771-JWBS-61CM-00000-00&amp;context=" TargetMode="External" /><Relationship Id="rId877" Type="http://schemas.openxmlformats.org/officeDocument/2006/relationships/hyperlink" Target="https://advance.lexis.com/api/document?collection=cases-ca&amp;id=urn:contentItem:5F8P-SDS1-F956-S0H3-00000-00&amp;context=" TargetMode="External" /><Relationship Id="rId878" Type="http://schemas.openxmlformats.org/officeDocument/2006/relationships/hyperlink" Target="https://advance.lexis.com/api/document?collection=cases-ca&amp;id=urn:contentItem:5F8P-SDX1-JX8W-M00S-00000-00&amp;context=" TargetMode="External" /><Relationship Id="rId879" Type="http://schemas.openxmlformats.org/officeDocument/2006/relationships/header" Target="header115.xml" /><Relationship Id="rId88" Type="http://schemas.openxmlformats.org/officeDocument/2006/relationships/hyperlink" Target="https://advance.lexis.com/api/document?collection=cases-ca&amp;id=urn:contentItem:5K6Y-81N1-JFDC-X1FK-00000-00&amp;context=" TargetMode="External" /><Relationship Id="rId880" Type="http://schemas.openxmlformats.org/officeDocument/2006/relationships/header" Target="header116.xml" /><Relationship Id="rId881" Type="http://schemas.openxmlformats.org/officeDocument/2006/relationships/footer" Target="footer115.xml" /><Relationship Id="rId882" Type="http://schemas.openxmlformats.org/officeDocument/2006/relationships/footer" Target="footer116.xml" /><Relationship Id="rId883" Type="http://schemas.openxmlformats.org/officeDocument/2006/relationships/header" Target="header117.xml" /><Relationship Id="rId884" Type="http://schemas.openxmlformats.org/officeDocument/2006/relationships/footer" Target="footer117.xml" /><Relationship Id="rId885" Type="http://schemas.openxmlformats.org/officeDocument/2006/relationships/hyperlink" Target="https://advance.lexis.com/api/document?collection=cases-ca&amp;id=urn:contentItem:5F7T-S7P1-JSJC-X18S-00000-00&amp;context=" TargetMode="External" /><Relationship Id="rId886" Type="http://schemas.openxmlformats.org/officeDocument/2006/relationships/hyperlink" Target="https://advance.lexis.com/api/document?collection=legislation-ca&amp;id=urn:contentItem:5F41-1FJ1-JPGX-S0RG-00000-00&amp;context=" TargetMode="External" /><Relationship Id="rId887" Type="http://schemas.openxmlformats.org/officeDocument/2006/relationships/hyperlink" Target="https://advance.lexis.com/api/document?collection=legislation-ca&amp;id=urn:contentItem:5F3B-BBP1-JNY7-X0J2-00000-00&amp;context=" TargetMode="External" /><Relationship Id="rId888" Type="http://schemas.openxmlformats.org/officeDocument/2006/relationships/hyperlink" Target="https://advance.lexis.com/api/document?collection=legislation-ca&amp;id=urn:contentItem:5F3B-BBP1-JNY7-X0J4-00000-00&amp;context=" TargetMode="External" /><Relationship Id="rId889" Type="http://schemas.openxmlformats.org/officeDocument/2006/relationships/hyperlink" Target="https://advance.lexis.com/api/document?collection=legislation-ca&amp;id=urn:contentItem:5VYK-W9W1-FBFS-S4XY-00000-00&amp;context=" TargetMode="External" /><Relationship Id="rId89" Type="http://schemas.openxmlformats.org/officeDocument/2006/relationships/hyperlink" Target="https://advance.lexis.com/api/document?collection=cases-ca&amp;id=urn:contentItem:5F7T-S7K1-JX3N-B2V4-00000-00&amp;context=" TargetMode="External" /><Relationship Id="rId890" Type="http://schemas.openxmlformats.org/officeDocument/2006/relationships/hyperlink" Target="https://advance.lexis.com/api/document?collection=cases-ca&amp;id=urn:contentItem:5F7T-S7D1-DY89-M3VD-00000-00&amp;context=" TargetMode="External" /><Relationship Id="rId891" Type="http://schemas.openxmlformats.org/officeDocument/2006/relationships/hyperlink" Target="https://advance.lexis.com/api/document?collection=cases-ca&amp;id=urn:contentItem:5F8P-SDG1-JXNB-604F-00000-00&amp;context=" TargetMode="External" /><Relationship Id="rId892" Type="http://schemas.openxmlformats.org/officeDocument/2006/relationships/hyperlink" Target="https://advance.lexis.com/api/document?collection=cases-ca&amp;id=urn:contentItem:5F8P-SDH1-DYV0-G531-00000-00&amp;context=" TargetMode="External" /><Relationship Id="rId893" Type="http://schemas.openxmlformats.org/officeDocument/2006/relationships/hyperlink" Target="https://advance.lexis.com/api/document?collection=cases-ca&amp;id=urn:contentItem:5F7T-S721-F06F-23D1-00000-00&amp;context=" TargetMode="External" /><Relationship Id="rId894" Type="http://schemas.openxmlformats.org/officeDocument/2006/relationships/hyperlink" Target="https://advance.lexis.com/api/document?collection=cases-ca&amp;id=urn:contentItem:5F7T-S7K1-F528-G349-00000-00&amp;context=" TargetMode="External" /><Relationship Id="rId895" Type="http://schemas.openxmlformats.org/officeDocument/2006/relationships/hyperlink" Target="https://advance.lexis.com/api/document?collection=cases-ca&amp;id=urn:contentItem:5F8T-N3T1-JJSF-23FN-00000-00&amp;context=" TargetMode="External" /><Relationship Id="rId896" Type="http://schemas.openxmlformats.org/officeDocument/2006/relationships/hyperlink" Target="https://advance.lexis.com/api/document?collection=cases-ca&amp;id=urn:contentItem:5F7T-S7K1-DY33-B197-00000-00&amp;context=" TargetMode="External" /><Relationship Id="rId897" Type="http://schemas.openxmlformats.org/officeDocument/2006/relationships/hyperlink" Target="https://advance.lexis.com/api/document?collection=cases-ca&amp;id=urn:contentItem:5F8T-N3V1-FH4C-X22V-00000-00&amp;context=" TargetMode="External" /><Relationship Id="rId898" Type="http://schemas.openxmlformats.org/officeDocument/2006/relationships/hyperlink" Target="https://advance.lexis.com/api/document?collection=cases-ca&amp;id=urn:contentItem:5F8T-N3V1-JTGH-B19N-00000-00&amp;context=" TargetMode="External" /><Relationship Id="rId899" Type="http://schemas.openxmlformats.org/officeDocument/2006/relationships/hyperlink" Target="https://advance.lexis.com/api/document?collection=cases-ca&amp;id=urn:contentItem:5F8T-N3S1-JBDT-B0F5-00000-00&amp;context=" TargetMode="External" /><Relationship Id="rId9" Type="http://schemas.openxmlformats.org/officeDocument/2006/relationships/footer" Target="footer3.xml" /><Relationship Id="rId90" Type="http://schemas.openxmlformats.org/officeDocument/2006/relationships/hyperlink" Target="https://advance.lexis.com/api/document?collection=cases-ca&amp;id=urn:contentItem:5F8T-N3P1-F7ND-G14C-00000-00&amp;context=" TargetMode="External" /><Relationship Id="rId900" Type="http://schemas.openxmlformats.org/officeDocument/2006/relationships/hyperlink" Target="https://advance.lexis.com/api/document?collection=cases-ca&amp;id=urn:contentItem:5F8T-N3V1-FC1F-M49J-00000-00&amp;context=" TargetMode="External" /><Relationship Id="rId901" Type="http://schemas.openxmlformats.org/officeDocument/2006/relationships/hyperlink" Target="https://advance.lexis.com/api/document?collection=cases-ca&amp;id=urn:contentItem:5F8T-N3V1-FC1F-M49K-00000-00&amp;context=" TargetMode="External" /><Relationship Id="rId902" Type="http://schemas.openxmlformats.org/officeDocument/2006/relationships/hyperlink" Target="https://advance.lexis.com/api/document?collection=cases-ca&amp;id=urn:contentItem:5F8T-N3V1-JFKM-6070-00000-00&amp;context=" TargetMode="External" /><Relationship Id="rId903" Type="http://schemas.openxmlformats.org/officeDocument/2006/relationships/hyperlink" Target="https://advance.lexis.com/api/document?collection=cases-ca&amp;id=urn:contentItem:5F7T-S7D1-JS5Y-B20J-00000-00&amp;context=" TargetMode="External" /><Relationship Id="rId904" Type="http://schemas.openxmlformats.org/officeDocument/2006/relationships/hyperlink" Target="https://advance.lexis.com/api/document?collection=cases-ca&amp;id=urn:contentItem:5F7T-S7F1-DXWW-244M-00000-00&amp;context=" TargetMode="External" /><Relationship Id="rId905" Type="http://schemas.openxmlformats.org/officeDocument/2006/relationships/hyperlink" Target="https://advance.lexis.com/api/document?collection=cases-ca&amp;id=urn:contentItem:5F7T-S7D1-JS5Y-B282-00000-00&amp;context=" TargetMode="External" /><Relationship Id="rId906" Type="http://schemas.openxmlformats.org/officeDocument/2006/relationships/hyperlink" Target="https://advance.lexis.com/api/document?collection=cases-ca&amp;id=urn:contentItem:5F7T-S731-FFFC-B0FN-00000-00&amp;context=" TargetMode="External" /><Relationship Id="rId907" Type="http://schemas.openxmlformats.org/officeDocument/2006/relationships/hyperlink" Target="https://advance.lexis.com/api/document?collection=cases-ca&amp;id=urn:contentItem:5F7T-S751-JBM1-M231-00000-00&amp;context=" TargetMode="External" /><Relationship Id="rId908" Type="http://schemas.openxmlformats.org/officeDocument/2006/relationships/hyperlink" Target="https://advance.lexis.com/api/document?collection=cases-ca&amp;id=urn:contentItem:5F8P-SCY1-F65M-62HK-00000-00&amp;context=" TargetMode="External" /><Relationship Id="rId909" Type="http://schemas.openxmlformats.org/officeDocument/2006/relationships/hyperlink" Target="https://advance.lexis.com/api/document?collection=cases-ca&amp;id=urn:contentItem:5F7T-S731-FG12-6298-00000-00&amp;context=" TargetMode="External" /><Relationship Id="rId91" Type="http://schemas.openxmlformats.org/officeDocument/2006/relationships/hyperlink" Target="https://advance.lexis.com/api/document?collection=cases-ca&amp;id=urn:contentItem:5F81-YGW1-DYFH-X025-00000-00&amp;context=" TargetMode="External" /><Relationship Id="rId910" Type="http://schemas.openxmlformats.org/officeDocument/2006/relationships/hyperlink" Target="https://advance.lexis.com/api/document?collection=cases-ca&amp;id=urn:contentItem:5F8P-SCT1-FCCX-6438-00000-00&amp;context=" TargetMode="External" /><Relationship Id="rId911" Type="http://schemas.openxmlformats.org/officeDocument/2006/relationships/hyperlink" Target="https://advance.lexis.com/api/document?collection=cases-ca&amp;id=urn:contentItem:5F81-VJW1-JF75-M1J8-00000-00&amp;context=" TargetMode="External" /><Relationship Id="rId912" Type="http://schemas.openxmlformats.org/officeDocument/2006/relationships/hyperlink" Target="https://advance.lexis.com/api/document?collection=cases-ca&amp;id=urn:contentItem:5F7V-3DF1-K0HK-2126-00000-00&amp;context=" TargetMode="External" /><Relationship Id="rId913" Type="http://schemas.openxmlformats.org/officeDocument/2006/relationships/hyperlink" Target="https://advance.lexis.com/api/document?collection=cases-ca&amp;id=urn:contentItem:5F7T-S7M1-JPP5-229X-00000-00&amp;context=" TargetMode="External" /><Relationship Id="rId914" Type="http://schemas.openxmlformats.org/officeDocument/2006/relationships/hyperlink" Target="https://advance.lexis.com/api/document?collection=cases-ca&amp;id=urn:contentItem:5F8P-SF81-JF75-M1F3-00000-00&amp;context=" TargetMode="External" /><Relationship Id="rId915" Type="http://schemas.openxmlformats.org/officeDocument/2006/relationships/hyperlink" Target="https://advance.lexis.com/api/document?collection=cases-ca&amp;id=urn:contentItem:5F8P-SF71-JWR6-S3WH-00000-00&amp;context=" TargetMode="External" /><Relationship Id="rId916" Type="http://schemas.openxmlformats.org/officeDocument/2006/relationships/hyperlink" Target="https://advance.lexis.com/api/document?collection=cases-ca&amp;id=urn:contentItem:5F8N-K701-DYFH-X38F-00000-00&amp;context=" TargetMode="External" /><Relationship Id="rId917" Type="http://schemas.openxmlformats.org/officeDocument/2006/relationships/hyperlink" Target="https://advance.lexis.com/api/document?collection=cases-ca&amp;id=urn:contentItem:5F7T-S7N1-JGHR-M2XK-00000-00&amp;context=" TargetMode="External" /><Relationship Id="rId918" Type="http://schemas.openxmlformats.org/officeDocument/2006/relationships/image" Target="media/image4.png" /><Relationship Id="rId919" Type="http://schemas.openxmlformats.org/officeDocument/2006/relationships/image" Target="media/image5.png" /><Relationship Id="rId92" Type="http://schemas.openxmlformats.org/officeDocument/2006/relationships/hyperlink" Target="https://advance.lexis.com/api/document?collection=cases-ca&amp;id=urn:contentItem:5F8P-SC71-JK4W-M2MK-00000-00&amp;context=" TargetMode="External" /><Relationship Id="rId920" Type="http://schemas.openxmlformats.org/officeDocument/2006/relationships/header" Target="header118.xml" /><Relationship Id="rId921" Type="http://schemas.openxmlformats.org/officeDocument/2006/relationships/header" Target="header119.xml" /><Relationship Id="rId922" Type="http://schemas.openxmlformats.org/officeDocument/2006/relationships/footer" Target="footer118.xml" /><Relationship Id="rId923" Type="http://schemas.openxmlformats.org/officeDocument/2006/relationships/footer" Target="footer119.xml" /><Relationship Id="rId924" Type="http://schemas.openxmlformats.org/officeDocument/2006/relationships/header" Target="header120.xml" /><Relationship Id="rId925" Type="http://schemas.openxmlformats.org/officeDocument/2006/relationships/footer" Target="footer120.xml" /><Relationship Id="rId926" Type="http://schemas.openxmlformats.org/officeDocument/2006/relationships/hyperlink" Target="https://advance.lexis.com/api/document?collection=cases-ca&amp;id=urn:contentItem:5F7T-S7F1-DXWW-23NB-00000-00&amp;context=" TargetMode="External" /><Relationship Id="rId927" Type="http://schemas.openxmlformats.org/officeDocument/2006/relationships/hyperlink" Target="https://advance.lexis.com/api/document?collection=legislation-ca&amp;id=urn:contentItem:5F41-1FJ1-JBDT-B069-00000-00&amp;context=" TargetMode="External" /><Relationship Id="rId928" Type="http://schemas.openxmlformats.org/officeDocument/2006/relationships/hyperlink" Target="https://advance.lexis.com/api/document?collection=cases-ca&amp;id=urn:contentItem:5F7T-S6Y1-F65M-6050-00000-00&amp;context=" TargetMode="External" /><Relationship Id="rId929" Type="http://schemas.openxmlformats.org/officeDocument/2006/relationships/hyperlink" Target="https://advance.lexis.com/api/document?collection=cases-ca&amp;id=urn:contentItem:5F7T-S6X1-FJDY-X10J-00000-00&amp;context=" TargetMode="External" /><Relationship Id="rId93" Type="http://schemas.openxmlformats.org/officeDocument/2006/relationships/hyperlink" Target="https://advance.lexis.com/api/document?collection=cases-ca&amp;id=urn:contentItem:5F7T-S7G1-JBT7-X40C-00000-00&amp;context=" TargetMode="External" /><Relationship Id="rId930" Type="http://schemas.openxmlformats.org/officeDocument/2006/relationships/hyperlink" Target="https://advance.lexis.com/api/document?collection=cases-ca&amp;id=urn:contentItem:5F7T-S6X1-FCCX-60MS-00000-00&amp;context=" TargetMode="External" /><Relationship Id="rId931" Type="http://schemas.openxmlformats.org/officeDocument/2006/relationships/hyperlink" Target="https://advance.lexis.com/api/document?collection=cases-ca&amp;id=urn:contentItem:5F81-VJX1-FGCG-S2T3-00000-00&amp;context=" TargetMode="External" /><Relationship Id="rId932" Type="http://schemas.openxmlformats.org/officeDocument/2006/relationships/hyperlink" Target="https://advance.lexis.com/api/document?collection=cases-ca&amp;id=urn:contentItem:5F7T-S761-JS5Y-B1KF-00000-00&amp;context=" TargetMode="External" /><Relationship Id="rId933" Type="http://schemas.openxmlformats.org/officeDocument/2006/relationships/hyperlink" Target="https://advance.lexis.com/api/document?collection=legislation-ca&amp;id=urn:contentItem:5F9J-MWN1-JKPJ-G1DH-00000-00&amp;context=" TargetMode="External" /><Relationship Id="rId934" Type="http://schemas.openxmlformats.org/officeDocument/2006/relationships/hyperlink" Target="https://advance.lexis.com/api/document?collection=legislation-ca&amp;id=urn:contentItem:5F9J-MWN1-JKPJ-G1DN-00000-00&amp;context=" TargetMode="External" /><Relationship Id="rId935" Type="http://schemas.openxmlformats.org/officeDocument/2006/relationships/hyperlink" Target="https://advance.lexis.com/api/document?collection=cases-ca&amp;id=urn:contentItem:5F7T-S731-JNJT-B1XC-00000-00&amp;context=" TargetMode="External" /><Relationship Id="rId936" Type="http://schemas.openxmlformats.org/officeDocument/2006/relationships/hyperlink" Target="https://advance.lexis.com/api/document?collection=cases-ca&amp;id=urn:contentItem:5F7T-S771-F2TK-22SF-00000-00&amp;context=" TargetMode="External" /><Relationship Id="rId937" Type="http://schemas.openxmlformats.org/officeDocument/2006/relationships/hyperlink" Target="https://advance.lexis.com/api/document?collection=cases-ca&amp;id=urn:contentItem:5F8P-SCT1-JJK6-S529-00000-00&amp;context=" TargetMode="External" /><Relationship Id="rId938" Type="http://schemas.openxmlformats.org/officeDocument/2006/relationships/hyperlink" Target="https://advance.lexis.com/api/document?collection=cases-ca&amp;id=urn:contentItem:5F81-VJX1-JP9P-G47Y-00000-00&amp;context=" TargetMode="External" /><Relationship Id="rId939" Type="http://schemas.openxmlformats.org/officeDocument/2006/relationships/header" Target="header121.xml" /><Relationship Id="rId94" Type="http://schemas.openxmlformats.org/officeDocument/2006/relationships/hyperlink" Target="https://advance.lexis.com/api/document?collection=cases-ca&amp;id=urn:contentItem:5F8T-N3V1-JF75-M3WX-00000-00&amp;context=" TargetMode="External" /><Relationship Id="rId940" Type="http://schemas.openxmlformats.org/officeDocument/2006/relationships/header" Target="header122.xml" /><Relationship Id="rId941" Type="http://schemas.openxmlformats.org/officeDocument/2006/relationships/footer" Target="footer121.xml" /><Relationship Id="rId942" Type="http://schemas.openxmlformats.org/officeDocument/2006/relationships/footer" Target="footer122.xml" /><Relationship Id="rId943" Type="http://schemas.openxmlformats.org/officeDocument/2006/relationships/header" Target="header123.xml" /><Relationship Id="rId944" Type="http://schemas.openxmlformats.org/officeDocument/2006/relationships/footer" Target="footer123.xml" /><Relationship Id="rId945" Type="http://schemas.openxmlformats.org/officeDocument/2006/relationships/hyperlink" Target="https://advance.lexis.com/api/document?collection=cases-ca&amp;id=urn:contentItem:5K2F-CNC1-JKPJ-G2X3-00000-00&amp;context=" TargetMode="External" /><Relationship Id="rId946" Type="http://schemas.openxmlformats.org/officeDocument/2006/relationships/hyperlink" Target="https://advance.lexis.com/api/document?collection=legislation-ca&amp;id=urn:contentItem:5F41-1FJ1-JKPJ-G0P5-00000-00&amp;context=" TargetMode="External" /><Relationship Id="rId947" Type="http://schemas.openxmlformats.org/officeDocument/2006/relationships/hyperlink" Target="https://advance.lexis.com/api/document?collection=legislation-ca&amp;id=urn:contentItem:5WMJ-RW61-DXWW-235W-00000-00&amp;context=" TargetMode="External" /><Relationship Id="rId948" Type="http://schemas.openxmlformats.org/officeDocument/2006/relationships/image" Target="media/image6.jpeg" /><Relationship Id="rId949" Type="http://schemas.openxmlformats.org/officeDocument/2006/relationships/image" Target="media/image7.jpeg" /><Relationship Id="rId95" Type="http://schemas.openxmlformats.org/officeDocument/2006/relationships/hyperlink" Target="https://advance.lexis.com/api/document?collection=cases-ca&amp;id=urn:contentItem:5F8T-N3V1-JF75-M3S6-00000-00&amp;context=" TargetMode="External" /><Relationship Id="rId950" Type="http://schemas.openxmlformats.org/officeDocument/2006/relationships/hyperlink" Target="https://advance.lexis.com/api/document?collection=cases-ca&amp;id=urn:contentItem:5F7T-S761-JS5Y-B1PW-00000-00&amp;context=" TargetMode="External" /><Relationship Id="rId951" Type="http://schemas.openxmlformats.org/officeDocument/2006/relationships/hyperlink" Target="https://advance.lexis.com/api/document?collection=cases-ca&amp;id=urn:contentItem:5F7T-S6V1-F2TK-227X-00000-00&amp;context=" TargetMode="External" /><Relationship Id="rId952" Type="http://schemas.openxmlformats.org/officeDocument/2006/relationships/hyperlink" Target="https://advance.lexis.com/api/document?collection=cases-ca&amp;id=urn:contentItem:5F8P-SCX1-F5KY-B3MY-00000-00&amp;context=" TargetMode="External" /><Relationship Id="rId953" Type="http://schemas.openxmlformats.org/officeDocument/2006/relationships/hyperlink" Target="https://advance.lexis.com/api/document?collection=cases-ca&amp;id=urn:contentItem:5F81-VJX1-FGY5-M3R6-00000-00&amp;context=" TargetMode="External" /><Relationship Id="rId954" Type="http://schemas.openxmlformats.org/officeDocument/2006/relationships/hyperlink" Target="https://advance.lexis.com/api/document?collection=cases-ca&amp;id=urn:contentItem:5F7T-S7G1-JN6B-S1GX-00000-00&amp;context=" TargetMode="External" /><Relationship Id="rId955" Type="http://schemas.openxmlformats.org/officeDocument/2006/relationships/hyperlink" Target="https://advance.lexis.com/api/document?collection=cases-ca&amp;id=urn:contentItem:5F8P-SF81-JF75-M1KN-00000-00&amp;context=" TargetMode="External" /><Relationship Id="rId956" Type="http://schemas.openxmlformats.org/officeDocument/2006/relationships/hyperlink" Target="https://advance.lexis.com/api/document?collection=cases-ca&amp;id=urn:contentItem:5F7T-S7K1-JSJC-X10Y-00000-00&amp;context=" TargetMode="External" /><Relationship Id="rId957" Type="http://schemas.openxmlformats.org/officeDocument/2006/relationships/hyperlink" Target="https://advance.lexis.com/api/document?collection=cases-ca&amp;id=urn:contentItem:5F7T-S7D1-JS5Y-B2M0-00000-00&amp;context=" TargetMode="External" /><Relationship Id="rId958" Type="http://schemas.openxmlformats.org/officeDocument/2006/relationships/hyperlink" Target="https://advance.lexis.com/api/document?collection=cases-ca&amp;id=urn:contentItem:5F8P-SBT1-F8KH-X2HJ-00000-00&amp;context=" TargetMode="External" /><Relationship Id="rId959" Type="http://schemas.openxmlformats.org/officeDocument/2006/relationships/hyperlink" Target="https://advance.lexis.com/api/document?collection=cases-ca&amp;id=urn:contentItem:5F81-YGT1-JJSF-233Y-00000-00&amp;context=" TargetMode="External" /><Relationship Id="rId96" Type="http://schemas.openxmlformats.org/officeDocument/2006/relationships/hyperlink" Target="https://advance.lexis.com/api/document?collection=cases-ca&amp;id=urn:contentItem:5F7T-S7M1-JNCK-22RP-00000-00&amp;context=" TargetMode="External" /><Relationship Id="rId960" Type="http://schemas.openxmlformats.org/officeDocument/2006/relationships/hyperlink" Target="https://advance.lexis.com/api/document?collection=cases-ca&amp;id=urn:contentItem:5F7T-S741-F57G-S21R-00000-00&amp;context=" TargetMode="External" /><Relationship Id="rId961" Type="http://schemas.openxmlformats.org/officeDocument/2006/relationships/hyperlink" Target="https://advance.lexis.com/api/document?collection=legislation-ca&amp;id=urn:contentItem:5F41-1FJ1-F5DR-206Y-00000-00&amp;context=" TargetMode="External" /><Relationship Id="rId962" Type="http://schemas.openxmlformats.org/officeDocument/2006/relationships/hyperlink" Target="https://advance.lexis.com/api/document?collection=cases-ca&amp;id=urn:contentItem:5F7T-S781-DYMS-61HT-00000-00&amp;context=" TargetMode="External" /><Relationship Id="rId963" Type="http://schemas.openxmlformats.org/officeDocument/2006/relationships/hyperlink" Target="https://advance.lexis.com/api/document?collection=cases-ca&amp;id=urn:contentItem:5F8N-K711-FJM6-642G-00000-00&amp;context=" TargetMode="External" /><Relationship Id="rId964" Type="http://schemas.openxmlformats.org/officeDocument/2006/relationships/hyperlink" Target="https://advance.lexis.com/api/document?collection=cases-ca&amp;id=urn:contentItem:5F81-VJT1-JK4W-M4DK-00000-00&amp;context=" TargetMode="External" /><Relationship Id="rId965" Type="http://schemas.openxmlformats.org/officeDocument/2006/relationships/hyperlink" Target="https://advance.lexis.com/api/document?collection=cases-ca&amp;id=urn:contentItem:5F8T-N3S1-JBDT-B01N-00000-00&amp;context=" TargetMode="External" /><Relationship Id="rId966" Type="http://schemas.openxmlformats.org/officeDocument/2006/relationships/hyperlink" Target="https://advance.lexis.com/api/document?collection=cases-ca&amp;id=urn:contentItem:5F8T-N3S1-JT99-250Y-00000-00&amp;context=" TargetMode="External" /><Relationship Id="rId967" Type="http://schemas.openxmlformats.org/officeDocument/2006/relationships/hyperlink" Target="https://advance.lexis.com/api/document?collection=cases-ca&amp;id=urn:contentItem:5F81-VJS1-JN6B-S3F6-00000-00&amp;context=" TargetMode="External" /><Relationship Id="rId968" Type="http://schemas.openxmlformats.org/officeDocument/2006/relationships/hyperlink" Target="https://advance.lexis.com/api/document?collection=cases-ca&amp;id=urn:contentItem:5F8T-N3R1-JNS1-M0X4-00000-00&amp;context=" TargetMode="External" /><Relationship Id="rId969" Type="http://schemas.openxmlformats.org/officeDocument/2006/relationships/hyperlink" Target="https://advance.lexis.com/api/document?collection=cases-ca&amp;id=urn:contentItem:5F16-93F1-FGY5-M212-00000-00&amp;context=" TargetMode="External" /><Relationship Id="rId97" Type="http://schemas.openxmlformats.org/officeDocument/2006/relationships/hyperlink" Target="https://advance.lexis.com/api/document?collection=cases-ca&amp;id=urn:contentItem:5F8T-N3V1-JTGH-B18F-00000-00&amp;context=" TargetMode="External" /><Relationship Id="rId970" Type="http://schemas.openxmlformats.org/officeDocument/2006/relationships/hyperlink" Target="https://advance.lexis.com/api/document?collection=cases-ca&amp;id=urn:contentItem:5F7V-3DK1-JNY7-X2NH-00000-00&amp;context=" TargetMode="External" /><Relationship Id="rId971" Type="http://schemas.openxmlformats.org/officeDocument/2006/relationships/hyperlink" Target="https://advance.lexis.com/api/document?collection=cases-ca&amp;id=urn:contentItem:5F7T-XPY1-DY33-B1YJ-00000-00&amp;context=" TargetMode="External" /><Relationship Id="rId972" Type="http://schemas.openxmlformats.org/officeDocument/2006/relationships/hyperlink" Target="https://advance.lexis.com/api/document?collection=cases-ca&amp;id=urn:contentItem:5F7T-S7M1-JJK6-S204-00000-00&amp;context=" TargetMode="External" /><Relationship Id="rId973" Type="http://schemas.openxmlformats.org/officeDocument/2006/relationships/hyperlink" Target="https://advance.lexis.com/api/document?collection=cases-ca&amp;id=urn:contentItem:5F7T-S761-JGHR-M2JM-00000-00&amp;context=" TargetMode="External" /><Relationship Id="rId974" Type="http://schemas.openxmlformats.org/officeDocument/2006/relationships/image" Target="media/image8.jpeg" /><Relationship Id="rId975" Type="http://schemas.openxmlformats.org/officeDocument/2006/relationships/hyperlink" Target="https://advance.lexis.com/api/document?collection=cases-ca&amp;id=urn:contentItem:5F7T-S7F1-DXWW-23PX-00000-00&amp;context=" TargetMode="External" /><Relationship Id="rId976" Type="http://schemas.openxmlformats.org/officeDocument/2006/relationships/hyperlink" Target="https://advance.lexis.com/api/document?collection=cases-ca&amp;id=urn:contentItem:5F7T-S7F1-FBN1-21G0-00000-00&amp;context=" TargetMode="External" /><Relationship Id="rId977" Type="http://schemas.openxmlformats.org/officeDocument/2006/relationships/hyperlink" Target="https://advance.lexis.com/api/document?collection=cases-ca&amp;id=urn:contentItem:5F7T-S701-F8KH-X183-00000-00&amp;context=" TargetMode="External" /><Relationship Id="rId978" Type="http://schemas.openxmlformats.org/officeDocument/2006/relationships/hyperlink" Target="https://advance.lexis.com/api/document?collection=cases-ca&amp;id=urn:contentItem:5F7T-S771-F361-M1DV-00000-00&amp;context=" TargetMode="External" /><Relationship Id="rId979" Type="http://schemas.openxmlformats.org/officeDocument/2006/relationships/hyperlink" Target="https://advance.lexis.com/api/document?collection=cases-ca&amp;id=urn:contentItem:5F7T-S7G1-JN6B-S1C1-00000-00&amp;context=" TargetMode="External" /><Relationship Id="rId98" Type="http://schemas.openxmlformats.org/officeDocument/2006/relationships/hyperlink" Target="https://advance.lexis.com/api/document?collection=cases-ca&amp;id=urn:contentItem:5F8T-N3V1-FH4C-X20M-00000-00&amp;context=" TargetMode="External" /><Relationship Id="rId980" Type="http://schemas.openxmlformats.org/officeDocument/2006/relationships/hyperlink" Target="https://advance.lexis.com/api/document?collection=cases-ca&amp;id=urn:contentItem:5K1K-DGD1-FGY5-M3BF-00000-00&amp;context=" TargetMode="External" /><Relationship Id="rId981" Type="http://schemas.openxmlformats.org/officeDocument/2006/relationships/hyperlink" Target="https://advance.lexis.com/api/document?collection=cases-ca&amp;id=urn:contentItem:5F7T-S771-JWBS-6196-00000-00&amp;context=" TargetMode="External" /><Relationship Id="rId982" Type="http://schemas.openxmlformats.org/officeDocument/2006/relationships/header" Target="header124.xml" /><Relationship Id="rId983" Type="http://schemas.openxmlformats.org/officeDocument/2006/relationships/header" Target="header125.xml" /><Relationship Id="rId984" Type="http://schemas.openxmlformats.org/officeDocument/2006/relationships/footer" Target="footer124.xml" /><Relationship Id="rId985" Type="http://schemas.openxmlformats.org/officeDocument/2006/relationships/footer" Target="footer125.xml" /><Relationship Id="rId986" Type="http://schemas.openxmlformats.org/officeDocument/2006/relationships/header" Target="header126.xml" /><Relationship Id="rId987" Type="http://schemas.openxmlformats.org/officeDocument/2006/relationships/footer" Target="footer126.xml" /><Relationship Id="rId988" Type="http://schemas.openxmlformats.org/officeDocument/2006/relationships/hyperlink" Target="https://advance.lexis.com/api/document?collection=cases-ca&amp;id=urn:contentItem:5F7T-S7N1-JW09-M179-00000-00&amp;context=" TargetMode="External" /><Relationship Id="rId989" Type="http://schemas.openxmlformats.org/officeDocument/2006/relationships/hyperlink" Target="https://advance.lexis.com/api/document?collection=legislation-ca&amp;id=urn:contentItem:5VYK-WB11-F5KY-B48X-00000-00&amp;context=" TargetMode="External" /><Relationship Id="rId99" Type="http://schemas.openxmlformats.org/officeDocument/2006/relationships/hyperlink" Target="https://advance.lexis.com/api/document?collection=cases-ca&amp;id=urn:contentItem:5F8T-N3V1-JTGH-B153-00000-00&amp;context=" TargetMode="External" /><Relationship Id="rId990" Type="http://schemas.openxmlformats.org/officeDocument/2006/relationships/hyperlink" Target="https://advance.lexis.com/api/document?collection=legislation-ca&amp;id=urn:contentItem:5F97-RBT1-FGY5-M2Y2-00000-00&amp;context=" TargetMode="External" /><Relationship Id="rId991" Type="http://schemas.openxmlformats.org/officeDocument/2006/relationships/hyperlink" Target="https://advance.lexis.com/api/document?collection=legislation-ca&amp;id=urn:contentItem:5W2C-X5M1-F2TK-22KN-00000-00&amp;context=" TargetMode="External" /><Relationship Id="rId992" Type="http://schemas.openxmlformats.org/officeDocument/2006/relationships/hyperlink" Target="https://advance.lexis.com/api/document?collection=cases-ca&amp;id=urn:contentItem:5F7T-S761-JX8W-M2NH-00000-00&amp;context=" TargetMode="External" /><Relationship Id="rId993" Type="http://schemas.openxmlformats.org/officeDocument/2006/relationships/hyperlink" Target="https://advance.lexis.com/api/document?collection=cases-ca&amp;id=urn:contentItem:5F81-VJX1-F5T5-M4HH-00000-00&amp;context=" TargetMode="External" /><Relationship Id="rId994" Type="http://schemas.openxmlformats.org/officeDocument/2006/relationships/hyperlink" Target="https://advance.lexis.com/api/document?collection=cases-ca&amp;id=urn:contentItem:5F81-VJY1-JPGX-S51S-00000-00&amp;context=" TargetMode="External" /><Relationship Id="rId995" Type="http://schemas.openxmlformats.org/officeDocument/2006/relationships/hyperlink" Target="https://advance.lexis.com/api/document?collection=cases-ca&amp;id=urn:contentItem:5F8P-SDT1-JYYX-63SC-00000-00&amp;context=" TargetMode="External" /><Relationship Id="rId996" Type="http://schemas.openxmlformats.org/officeDocument/2006/relationships/hyperlink" Target="https://advance.lexis.com/api/document?collection=cases-ca&amp;id=urn:contentItem:5F8P-SDT1-JYYX-6403-00000-00&amp;context=" TargetMode="External" /><Relationship Id="rId997" Type="http://schemas.openxmlformats.org/officeDocument/2006/relationships/hyperlink" Target="https://advance.lexis.com/api/document?collection=cases-ca&amp;id=urn:contentItem:5F81-VJX1-F5KY-B445-00000-00&amp;context=" TargetMode="External" /><Relationship Id="rId998" Type="http://schemas.openxmlformats.org/officeDocument/2006/relationships/hyperlink" Target="https://advance.lexis.com/api/document?collection=cases-ca&amp;id=urn:contentItem:5F8P-SF21-FBV7-B2XN-00000-00&amp;context=" TargetMode="External" /><Relationship Id="rId999" Type="http://schemas.openxmlformats.org/officeDocument/2006/relationships/hyperlink" Target="https://advance.lexis.com/api/document?collection=cases-ca&amp;id=urn:contentItem:5F7T-S701-JJYN-B2WC-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 v. Lau, [2012] B.C.J. No. 2561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115041678</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