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McCartney v. Rawlins, [2000] B.C.J. No. 1340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Lowry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19 - 23,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30,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Nos. B965333 and B975661</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1340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1031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97 A.C.W.S. (3d) 653</w:t>
      </w:r>
    </w:p>
    <w:p>
      <w:pPr>
        <w:spacing w:before="120" w:line="260" w:lineRule="atLeast"/>
        <w:rPr>
          <w:lang w:val="en-US" w:eastAsia="en-US" w:bidi="ar-SA"/>
        </w:rPr>
      </w:pPr>
      <w:r>
        <w:rPr>
          <w:rFonts w:ascii="arial" w:eastAsia="arial" w:hAnsi="arial" w:cs="arial"/>
          <w:color w:val="000000"/>
          <w:sz w:val="20"/>
          <w:lang w:val="en-US" w:eastAsia="en-US" w:bidi="ar-SA"/>
        </w:rPr>
        <w:t>Between Daniel McCartney, plaintiff, and Michael Rawlins, Bradley Bauman, Insurance Corporation of British Columbia, defendants And between Daniel McCartney, plaintiff, and Silvia Lauder, Colleen Gates, and Nicholas Cookson,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25" style="position:absolute;z-index:25165824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0" w:name="Keywords"/>
      <w:bookmarkEnd w:id="0"/>
      <w:r>
        <w:rPr>
          <w:rFonts w:ascii="arial" w:eastAsia="arial" w:hAnsi="arial" w:cs="arial"/>
          <w:b/>
          <w:color w:val="000000"/>
          <w:sz w:val="20"/>
          <w:lang w:val="en-US" w:eastAsia="en-US" w:bidi="ar-SA"/>
        </w:rPr>
        <w:t>Damage awards — Injury and death — Body injuries — Back, aggravation of pre-existing condition — Special damage awards — Cost of future care — General damage awards — Loss of earning capacity — Pain and suffering, loss of amenities and other nonpecuniary damages.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 w:name="Case Summary"/>
            <w:bookmarkEnd w:id="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McCartney against Rawlins and Lauder and their insurance company for damages for personal injuries suffered in two motor vehicle accidents. In the first accident, McCartney's vehicle was struck from behind by a vehicle owned by Rawlins after McCartney braked in an unsuccessful attempt to avoid a collision with another car in front of him. The pavement was slippery at the time of the accident. McCartney sustained permanent injury to his lower back. Rawlins argued that McCartney caused the first impact and was contributorily negligent in respect of his injuries. In the second accident, McCartney was in his stopped vehicle when he was hit from behind by a vehicle driven by Lauder, and was pushed into another vehicle ahead of him. McCartney had suffered from some back pain in the years prior to the first accident. Rawlins and Lauder argued that the injury suffered by McCartney was an aggravation of a pre-existing condition. </w:t>
            </w:r>
            <w:r>
              <w:rPr>
                <w:lang w:val="en-US" w:eastAsia="en-US" w:bidi="ar-SA"/>
              </w:rPr>
              <w:cr/>
            </w:r>
          </w:p>
          <w:p>
            <w:pPr>
              <w:spacing w:before="120" w:line="260" w:lineRule="atLeast"/>
              <w:ind w:left="240"/>
              <w:jc w:val="both"/>
              <w:rPr>
                <w:lang w:val="en-US" w:eastAsia="en-US" w:bidi="ar-SA"/>
              </w:rPr>
            </w:pPr>
            <w:bookmarkStart w:id="2" w:name="Holdings of Court"/>
            <w:bookmarkEnd w:id="2"/>
            <w:r>
              <w:rPr>
                <w:rFonts w:ascii="arial" w:eastAsia="arial" w:hAnsi="arial" w:cs="arial"/>
                <w:color w:val="000000"/>
                <w:sz w:val="20"/>
                <w:lang w:val="en-US" w:eastAsia="en-US" w:bidi="ar-SA"/>
              </w:rPr>
              <w:t>HELD: Action against Rawlins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McCartney was entitled to damages for non-pecuniary loss of $51,000. McCartney did not prove any past wage loss but was entitled to the amount of $25,000 for lost income earning capacity. McCartney was also awarded costs of past and future care. McCartney was not contributorily negligent in respect of the first accident. The rear-end collision had a greater potential for injury than the first impact. It was probable that McCartney would not have suffered his injuries if he had not been struck from behind. McCartney would probably have suffered some back problems even if he had not been injured in the accidents. However, the first accident was responsible for 85 per cent of his condition. </w:t>
            </w:r>
            <w:r>
              <w:rPr>
                <w:lang w:val="en-US" w:eastAsia="en-US" w:bidi="ar-SA"/>
              </w:rPr>
              <w:cr/>
            </w:r>
          </w:p>
          <w:p>
            <w:pPr>
              <w:rPr>
                <w:lang w:val="en-US" w:eastAsia="en-US" w:bidi="ar-SA"/>
              </w:rPr>
            </w:pPr>
          </w:p>
        </w:tc>
      </w:tr>
    </w:tbl>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26" style="position:absolute;z-index:2517094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Act, </w:t>
      </w:r>
      <w:hyperlink r:id="rId11" w:history="1">
        <w:r>
          <w:rPr>
            <w:rFonts w:ascii="arial" w:eastAsia="arial" w:hAnsi="arial" w:cs="arial"/>
            <w:i/>
            <w:color w:val="0077CC"/>
            <w:sz w:val="20"/>
            <w:u w:val="single"/>
            <w:shd w:val="clear" w:color="auto" w:fill="FFFFFF"/>
            <w:lang w:val="en-US" w:eastAsia="en-US" w:bidi="ar-SA"/>
          </w:rPr>
          <w:t>R.S.B.C. 1996, c. 318, s. 162</w:t>
        </w:r>
      </w:hyperlink>
      <w:r>
        <w:rPr>
          <w:rFonts w:ascii="arial" w:eastAsia="arial" w:hAnsi="arial" w:cs="arial"/>
          <w:color w:val="000000"/>
          <w:sz w:val="20"/>
          <w:lang w:val="en-US" w:eastAsia="en-US" w:bidi="ar-SA"/>
        </w:rPr>
        <w:t>(1).</w:t>
      </w:r>
      <w:r>
        <w:rPr>
          <w:lang w:val="en-US" w:eastAsia="en-US" w:bidi="ar-SA"/>
        </w:rPr>
        <w:cr/>
      </w:r>
    </w:p>
    <w:p>
      <w:pPr>
        <w:keepNext/>
        <w:spacing w:before="240" w:line="340" w:lineRule="atLeast"/>
        <w:rPr>
          <w:lang w:val="en-US" w:eastAsia="en-US" w:bidi="ar-SA"/>
        </w:rPr>
      </w:pPr>
      <w:bookmarkStart w:id="3" w:name="Counsel"/>
      <w:bookmarkEnd w:id="3"/>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27" style="position:absolute;z-index:2517606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M.R. Hoogbruin, for the plaintiff. J.R. Horner, for the defendants, Michael Rawlins, Bradley Bauman, Silvia Lauder, Colleen Gates and Nicholas Cookson. C.J. Andison, for the defendant, Insurance Corporation of British Columbia.</w:t>
      </w:r>
      <w:r>
        <w:rPr>
          <w:lang w:val="en-US" w:eastAsia="en-US" w:bidi="ar-SA"/>
        </w:rPr>
        <w:cr/>
      </w:r>
    </w:p>
    <w:p>
      <w:pPr>
        <w:spacing w:after="240"/>
        <w:rPr>
          <w:lang w:val="en-US" w:eastAsia="en-US" w:bidi="ar-SA"/>
        </w:rPr>
      </w:pPr>
      <w:bookmarkStart w:id="4" w:name="Judgment"/>
      <w:bookmarkEnd w:id="4"/>
      <w:r>
        <w:pict>
          <v:line id="_x0000_s1028" style="position:absolute;z-index:25181184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5" w:name="LOWRY J."/>
            <w:bookmarkEnd w:id="5"/>
            <w:r>
              <w:rPr>
                <w:rFonts w:ascii="arial" w:eastAsia="arial" w:hAnsi="arial" w:cs="arial"/>
                <w:b/>
                <w:color w:val="000000"/>
                <w:sz w:val="30"/>
                <w:lang w:val="en-US" w:eastAsia="en-US" w:bidi="ar-SA"/>
              </w:rPr>
              <w:t>LOWRY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Daniel McCartney, who is now 41, was involved in two rear-end motor vehicle accidents: November 1994 and March 1996. He claims to have sustained a disabling permanent injury to his lower back in the first accident and some temporary injury to his neck in both accidents. Liability is in issue only in respect of the 1994 injury. He seeks an award of damages to compensate him for his non-pecuniary loss, an income loss - past and present, special damages, and the cost of future care.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Accidents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accident occurred on the six lane Second Narrows bridge in evening rush hour traffic. A mixture of rain and snow was falling. The pavement was slippery. Mr. McCartney was driving in bumper-to-bumper traffic in the northbound lane closest to the median. He says that as the traffic picked up speed on the downhill side of the bridge, he saw a car in the center lane cut in and out in an attempt to enter his lane in front of the two cars immediately ahead of him. The car just ahead of him braked. He braked but did not stop before colliding with it. He was then struck from behind by a car that was owned by Michael Rawlins and was being driven by Bradley Bauman. Mr. Bauman says he braked as soon as he saw Mr. McCartney braking, but he was not able to avoid colliding with his car. The impact drove Mr. McCartney's car into the median. The damage sustained to the back and the front was such that the car was written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Section 162(1)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requires that drivers not follow other vehicles more closely than is reasonable and prudent having due regard to speed, the amount and nature of the traffic, and the condition of the highway. Drivers are not invariably faulted for being unable to stop before running into the back of a vehicle ahead (see Ayers v. Singh </w:t>
      </w:r>
      <w:hyperlink r:id="rId12" w:history="1">
        <w:r>
          <w:rPr>
            <w:rFonts w:ascii="arial" w:eastAsia="arial" w:hAnsi="arial" w:cs="arial"/>
            <w:i/>
            <w:color w:val="0077CC"/>
            <w:sz w:val="20"/>
            <w:u w:val="single"/>
            <w:shd w:val="clear" w:color="auto" w:fill="FFFFFF"/>
            <w:lang w:val="en-US" w:eastAsia="en-US" w:bidi="ar-SA"/>
          </w:rPr>
          <w:t>(1997), 85 B.C.A.C. 307</w:t>
        </w:r>
      </w:hyperlink>
      <w:r>
        <w:rPr>
          <w:rFonts w:ascii="arial" w:eastAsia="arial" w:hAnsi="arial" w:cs="arial"/>
          <w:color w:val="000000"/>
          <w:sz w:val="20"/>
          <w:lang w:val="en-US" w:eastAsia="en-US" w:bidi="ar-SA"/>
        </w:rPr>
        <w:t>), but, in my view, this is a simple case of two drivers travelling too close in the circumstances to the car ahead of them. Both say they were not travelling more than 50 km/h. and believe they were keeping a safe distance. But the condition of the pavement was such that neither was able to stop as quickly as required.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cars ahead of Mr. McCartney were probably prompted to brake because of the vehicle that appeared to be changing lanes. The unidentified driver of that vehicle is said to have been negligent and ICBC is sued in the result. But whether a lane change was justified is not clear on the evidence. All that can be said is that Mr. McCartney is to be faulted for striking the car in front of him and Mr. Bauman for striking Mr. McCartney's car. No case against the unidentified driver has been made out. The action against ICBC is to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defence contends that, having caused the first impact, by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Mr. McCartney contributed to the injuries he suffered in the accident. But what evidence there is runs contrary to the contention. Certainly the damage to the front of Mr. McCartney's car was significantly greater than to the rear, but it does not necessarily follow that the impact, or its effect, was greater than what Mr. McCartney experienced when he was hit from behind. Dr. Olson, a chiropractor who treated Mr. McCartney, explains that in a front-end impact the body is subjected to what is primarily a decelerating force while a rear-end impact subjects it to an accelerating force. Mr. McCartney was belted into his seat and braced for the impact he saw coming ahead of him. He was not travelling very fast and was much less vulnerable to being injured than when stuck from behind. Dr. Le Noble, the physiatrist who treated Mr. McCartney, agrees. The rear-end impact which caused Mr. McCartney's back to be extended held a much greater potential for injury. It is, in my view, probable that Mr. McCartney would not have suffered the injuries for which he seeks to be compensated if he had not been struck from behind. I find that no case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proven.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follows that Mr. Bauman and Mr. Rawlins are liable to Mr. McCartney for any injuries suffered in the first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second accident occurred on Grand Boulevard in North Vancouver. It was a minor accident. While stopped, the vehicle Mr. McCartney was driving was struck from behind by a station wagon driven by Sylvia Lauder and was pushed into a vehicle owned by Nicholas Cookson and driven by Colleen Gates. Ms. Lauder is liable for any injury suffered by Mr. McCartney. No case against Mr. Cookson and Ms. Gates has been made out. The action against them is to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Counsel accept that it is not necessary to apportion liability between the defendants for the injuries Mr. McCartney suffered in the two accidents.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Injuries and Their Effect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accepted that Mr. McCartney suffered some soft tissue injury to his neck in the first accident and that it resolved in a period of weeks. Whether he received the same kind of injury in the second accident is in dispute. He says, and I accept, that he did. The question over which the parties are principally at odds is the extent to which Mr. McCartney's back was injured in November 1994 and the effect that has had, and will in the future have, on his life.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is common ground that since the accident he has had to cope with a lumbar facet joint syndrome (low back pain, without neurological deficit, aggravated by low back extension) which causes him pain for which he periodically requires treatment. It is a degenerative condition that is associated with back extension. It is aggravated by vigorous activity, and it affects him most severely if he is required to sit down for long periods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maintains the condition was caused entirely by the first accident. But he had and was treated for low back pain periodically in 1992, 1993, and into 1994 before the accident occurred, and the defence maintains that the injury he suffered was no more than a temporary aggravation of a pre-existing condition. It says the effects of the accident were resolved by April 1995 if not before and that, even if it had not occurred, Mr. McCartney would be suffering to the same extent as he is now.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my view, the evidence falls far short of establishing that Mr. McCartney had a degenerative condition in his back prior to November 1994 that would have caused him to suffer to the extent he has since then. Indeed, there is no medical evidence to that effect. His family doctor, Paul Montemuro, and Dr. Olson, both of whom treated him before and after the accident, as well as Dr. Le Noble who began treating him in August 1995, all consider, albeit for somewhat differing reasons, that the condition from which Mr. McCartney suffers originated in the accident. The degenerative process is said to have been attributable to the trauma induced by the rear-end impact which caused severe back extension. The defence had Mr. McCartney examined by an orthopedic surgeon, Dr. H.E.P. Hawk, in February 1996, but he did not identify the presence of the syndrome and so did not consider its origin. No opinion has been adduced to the effect that Mr. McCartney would have suffered to the extent he does if the accident had not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What the evidence does establish is that, had he not been injured in November 1994, Mr. McCartney would probably have suffered some ongoing back problems that would have needed treatment from time to time. That is what Dr. Olson says. Indeed, it seems reasonable to expect that his problems would have worsened with 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McCartney is married and he and his wife have two children. He is an engineering technician with Telus Communications. He has led a very physically active life. Prior to the first accident he was a very accomplished hockey player. He once played at a Junior B level and for years he was one of the top scorers in a competitive men's league in which he played. In addition to playing hockey on a weekly basis he refereed hockey once a week. In the spring and summer he played slow pitch baseball on a regular basis and he was an excellent golfer. His circle of friends travelled together from time to time and socialized around activities like fishing.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December 1992 Mr. McCartney injured his lower back chopping wood. He was treated with medication and the pain resolved in a week. In August 1993, he injured it again diving for a baseball. He did not see his doctor until December. He was experiencing low back pain on extension, pain that was pronounced in the morning, and pain associated with some vigorous activity and with sitting for periods of time. Anti-inflammatory drugs and ultimately an injection failed to resolve the pain. Mr. McCartney saw Dr. Olson in January 1994. He treated Mr. McCartney regularly with manipulative therapy over the next two months. He was then discharged but returned in early August complaining of a return of his symptoms. He was again treated regularly until his symptoms subsided. Dr. Olson discharged him in September about two months before the first accident. He was then feeling fine and participating fully in all his activities with no discomfort.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injury to McCartney's back in the accident generated essentially the same symptoms as he had been experiencing through the latter part of 1993 and during 1994, although the severity was much greater. He was treated with medication by Dr. Montemuro and he underwent regular chiropractic treatments administered by Dr. Olson. In addition he was given extensive physiotherapy and, with steady improvement, by April 1995, he had recovered to the point where it was thought that he could discontinue treatment subject to maintaining a prescribed regime of exercise which he did and continues to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But the recovery was, however, short lived. By July 1995 Mr. McCartney's symptoms recurred to the degree that Dr. Montemuro referred him to Dr. Le Noble apparently out of a concern about the possibility of arthritic problems. He was treated by the physiatrist with medications. He also returned to Dr. Olson and was treated until his symptoms again subsided. This appears, thereafter, to have become a pattern. When his symptoms have become particularly bad he has sought the assistance of his doctors, his chiropractor, or his physiotherapist. He has now seen Dr. Montemuro with respect to his back 38 times since November 1994, Dr. Le Noble 29 times, Dr. Olson 69 times, and the physiotherapist 98 times. Mr. McCartney says he has never been symptom free. He describes the pain he lives with as "severe and less severe". Given the time that has elapsed without any long term improvement, Dr. Le Noble and Dr. Olson do not expect his condition will ever improve. Indeed, Dr. Le Noble considers he may ultimately have to face fusion surgery, although that will hold no guarantee of a resolution.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McCartney's injury has not caused him to lose any time from his work apart from attending medical appointments. He has not had to give up any of his athletic endeavors, at least not completely. He has continued to play hockey weekly, although now his team has been moved to an old timer's division where the pace is perhaps somewhat slower. He is no longer the player he was and plays much of the time in considerable pain. He did slow down his refereeing commitments and ultimately stopped altogether. He did not return to baseball after the accident, but he now coaches his children's teams. He carried on playing golf when the season opened in 1995, but his game has since been way off what it was, and he often finds it difficult to play a complete round. The discomfort caused when he is required to sit for long periods of time render travel difficult and it has defeated his interest in activities like fishing.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find the first accident to have been the predominant cause of the pain and discomfort in his lower back that Mr. McCartney has suffered since November 1994, and will suffer in the future. But I also find that he would have suffered some low back pain, sufficient to require treatment periodically, in any event. His symptoms would have been milder and of shorter duration than they have been, and they would not have affected his level of activity to nearly the same extent. I consider the first accident to be accountable for 85% of Mr. McCartney's condition and the affect it has had and will have on his life.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Non-pecuniary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Damages for pain, suffering, and the lost enjoyment of life, being non-pecuniary in nature, are awarded to compensate a plaintiff, to the extent that money can, for what he has lost. They are plaintiff-specific in the sense that they address the impact of the injury on the particular victim. It is a question of how the injury has affected Mr. McCartney, how it may affect him in the future, and what amount of money will go some distance toward enabling him to acquire amenities of life to replace what he has lost that must govern the assessment of his entitlement.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indicated, Mr. McCartney suffered periods of neck pain following each of the two accidents in which he was involved. But, much more importantly, he has, as a result of the condition in his back, suffered a great deal of pain. It is chronic pain and at times it is severe. There is no real prospect of improvement short of surgery that is said to be uncertain. The pain he suffers affects all aspects of his life. He continues to be able to do his work and to participate in most of the activities he enjoys, but he is much less able to enjoy them. As his wife Patricia and his friend Brent Bremner say, the first accident has made him a different man.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With the benefit of the assistance that can be taken from awards made in what are said to be somewhat similar cases to which I have been referred, for his non-pecuniary loss, (allowing that only 85% of what would otherwise be awarded is attributable to the first accident) I award Mr. McCartney $51,000.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Past Wage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McCartney claims that he was paid $25 for each game that he refereed and seeks to recover what he says he lost when first he reduced his commitment and then stopped altogether. But he candidly admits that he never claimed any of what he was paid on his income tax returns. He says he had been given to understand that he did not have to do so, but he offers no explanation as to why. Any income he earned ought to have been declared.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No documentary evidence of what Mr. McCartney claims to have earned has been adduced, and he has called no corroborating evidence at all. There are no cancelled cheques, no record of bank deposits, no record of payments, no schedule of games worked, and no testimony from anyone in the organizations by which he was employed. I consider his testimony offends the best evidence rule. It is no more than the assertion that he earned income which he did not declare unsupported by any documentary proof whatsoever. He bears the onus of proving with cogent evidence what he has lost and he has not adduced the evidence necessary to discharge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do not consider a past wage loss to be proven.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Future Income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McCartney's claim for future wage loss is based on the assertion that, because of the condition in his back, he is unable to pursue positions in the management of Telus that are available to him. He maintains he cannot pursue them because they would require that he sit for periods of time that exceed what he can endure without getting up and walking around. Most of his time at work now is spent at a desk, but he says he is able to relieve his discomfort by periodically walking around. He says the management positions would impose unacceptable restrictions on him in that regard.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Mr. McCartney responded by affidavit in March 1998 to interrogatories with which he was served, he swore that "the only impairment to my ability to earn future income is that I am no longer able to referee hockey". Three weeks before the trial, he swore a further affidavit in which he purported to "clarify" his first affidavit by "adding that the claim for wage loss will include the loss associated with my inability to accept an offer to enter management training with my employer, Telus". This was of course not a clarification at all but rather an attempt to advance a claim for a future wage loss that Mr. McCartney had earlier sworn did not exist.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do not consider this a creditable part of Mr. McCartney's claim. First, he had been offered management training at least twice before he swore his first affidavit. He turned it down without saying anything to his employer about being physically unable to fill a management position and, had he thought that was an impediment to him, it is hard to understand why he would have sworn what he did in 1998. Second, it is equally hard to accept that Mr. McCartney would not be able to undertake a management position because he would actually have to remain seated beyond what he could tolerate. No sound reason has been advanced as to why he could not stand up and relieve his discomfort as necessary as he does now. Dr. Le Noble suggests that Mr. McCartney's opportunities have been impaired by his condition, but only in respect of positions that may require more vigorous activity than does his present position as a technical engineer.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management opportunities at Telus remain open to Mr. McCartney. Indeed the evidence is that the opportunities for advancement in the future will soon substantially increase because of the large proportion of the present management that will shortly reach retirement age. Mr. McCartney has lost some capacity in respect of being able to undertake all types of employment and accordingly has lost some value to himself in terms of his ability to earn income. He has a permanent disability that will always deny to him the prospects of employment that demands more vigorous activity than what he does now. But his condition will not keep him from pursuing management positions if he wishes.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McCartney is entitled to an award of damages for a loss of his income earning capacity. Accepting that he could have been expected to remain with Telus, where he has been for 21 years, such that at his age he would have been unlikely to seek employment having greater physical demands in any event, I award him $25,000.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McCartney has incurred $3,800 in respect of his care since the first accident. He is entitled to recover 85% of that amount or $3,230.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McCartney bases his cost of future care on what he has spent for his care to date. It supports a cost of about $300 a year which to his age 85 has a present value of $6,500. He is entitled to 85% of that or $5,525.</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Summary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summarize the award of damages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8"/>
        <w:gridCol w:w="240"/>
        <w:gridCol w:w="3336"/>
        <w:gridCol w:w="1355"/>
        <w:gridCol w:w="45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w:t>
            </w:r>
          </w:p>
        </w:tc>
        <w:tc>
          <w:tcPr>
            <w:tcW w:w="205"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Non-pecuniary loss</w:t>
            </w:r>
          </w:p>
        </w:tc>
        <w:tc>
          <w:tcPr>
            <w:tcW w:w="1331"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$51,000</w:t>
            </w:r>
          </w:p>
        </w:tc>
        <w:tc>
          <w:tcPr>
            <w:tcW w:w="4506"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205"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Lost earning capacity</w:t>
            </w:r>
          </w:p>
        </w:tc>
        <w:tc>
          <w:tcPr>
            <w:tcW w:w="1331"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$25,000</w:t>
            </w:r>
          </w:p>
        </w:tc>
        <w:tc>
          <w:tcPr>
            <w:tcW w:w="4506"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205"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Special damages</w:t>
            </w:r>
          </w:p>
        </w:tc>
        <w:tc>
          <w:tcPr>
            <w:tcW w:w="1331"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$3,230</w:t>
            </w:r>
          </w:p>
        </w:tc>
        <w:tc>
          <w:tcPr>
            <w:tcW w:w="4506"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w:t>
            </w:r>
          </w:p>
        </w:tc>
        <w:tc>
          <w:tcPr>
            <w:tcW w:w="205"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Future care</w:t>
            </w:r>
          </w:p>
        </w:tc>
        <w:tc>
          <w:tcPr>
            <w:tcW w:w="1331"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$5,525</w:t>
            </w:r>
          </w:p>
        </w:tc>
        <w:tc>
          <w:tcPr>
            <w:tcW w:w="4506"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2301"/>
        <w:gridCol w:w="2405"/>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rPr>
                <w:lang w:val="en-US" w:eastAsia="en-US" w:bidi="ar-SA"/>
              </w:rPr>
            </w:pPr>
            <w:r>
              <w:rPr>
                <w:lang w:val="en-US" w:eastAsia="en-US" w:bidi="ar-SA"/>
              </w:rPr>
              <w:br/>
            </w:r>
          </w:p>
        </w:tc>
        <w:tc>
          <w:tcPr>
            <w:tcW w:w="2253"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Total</w:t>
            </w:r>
          </w:p>
        </w:tc>
        <w:tc>
          <w:tcPr>
            <w:tcW w:w="2355"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$84,755</w:t>
            </w:r>
          </w:p>
        </w:tc>
        <w:tc>
          <w:tcPr>
            <w:tcW w:w="450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Disposition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McCartney will have judgment for $84,755.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will be entitled to pre-judgment interest on the award of special damages at registrar's rates from November 18, 1997.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may make written submissions with respect to costs if they cannot be agreed.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LOWRY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
          <w:headerReference w:type="default" r:id="rId14"/>
          <w:footerReference w:type="even" r:id="rId15"/>
          <w:footerReference w:type="default" r:id="rId16"/>
          <w:headerReference w:type="first" r:id="rId17"/>
          <w:footerReference w:type="first" r:id="rId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9" w:history="1">
        <w:r>
          <w:rPr>
            <w:rFonts w:ascii="arial" w:eastAsia="arial" w:hAnsi="arial" w:cs="arial"/>
            <w:b/>
            <w:bCs/>
            <w:i/>
            <w:color w:val="0077CC"/>
            <w:kern w:val="32"/>
            <w:sz w:val="28"/>
            <w:szCs w:val="32"/>
            <w:u w:val="single"/>
            <w:shd w:val="clear" w:color="auto" w:fill="FFFFFF"/>
            <w:lang w:val="en-US" w:eastAsia="en-US" w:bidi="ar-SA"/>
          </w:rPr>
          <w:t>Modern Plastics Ltd. v. Stelmark Products Ltd., [2000] B.C.J. No. 780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Boyd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21 - 25 and 28 - 29,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17,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C970877</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780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643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96 A.C.W.S. (3d) 326</w:t>
      </w:r>
    </w:p>
    <w:p>
      <w:pPr>
        <w:spacing w:before="120" w:line="260" w:lineRule="atLeast"/>
        <w:rPr>
          <w:lang w:val="en-US" w:eastAsia="en-US" w:bidi="ar-SA"/>
        </w:rPr>
      </w:pPr>
      <w:r>
        <w:rPr>
          <w:rFonts w:ascii="arial" w:eastAsia="arial" w:hAnsi="arial" w:cs="arial"/>
          <w:color w:val="000000"/>
          <w:sz w:val="20"/>
          <w:lang w:val="en-US" w:eastAsia="en-US" w:bidi="ar-SA"/>
        </w:rPr>
        <w:t>Between Modern Plastics Ltd., plaintiff, and Stelmark Products Ltd.,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(115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30" style="position:absolute;z-index:25165926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6" w:name="Keywords_0"/>
      <w:bookmarkEnd w:id="6"/>
      <w:r>
        <w:rPr>
          <w:rFonts w:ascii="arial" w:eastAsia="arial" w:hAnsi="arial" w:cs="arial"/>
          <w:b/>
          <w:color w:val="000000"/>
          <w:sz w:val="20"/>
          <w:lang w:val="en-US" w:eastAsia="en-US" w:bidi="ar-SA"/>
        </w:rPr>
        <w:t xml:space="preserve">Sale of goods — Breach — Remedies of seller — Claim for purchase price, when available — Duties of buyer — Respecting defects — Torts — Suppliers of goods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manufacturers --Defective goods — Defective design or manufacture — Evidence and proof.</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7" w:name="Case Summary_0"/>
            <w:bookmarkEnd w:id="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the trial of an action in which the plaintiff, Modern Plastics, claimed the sum of $213,279 against the defendant, Stelmark Products, as the amount for certain plastic molds and parts manufactured by Modern and delivered to Stelmark. Stelmark denied liability and alleged that the plastic parts were not fit for the purpose intended and did not match the description of the goods to be provided. Stelmark also counterclaimed for amounts incurred to repair the defective parts. Stelmark was involved in the production and merchandising of many different products for banks and airlines. Richesteder worked as an independent contractor for Modern which, for several years, produced moulds and plastic parts for Stelmark. Stelmark was retained by several banks to design a free standing brochure holder. Stelmark hired Richesteder to design and produce the moulds for the brochure holder. The parties' evidence differed significantly as to instructions given and received and conversations between their representatives concerning the design and manufacture of the brochure holders. The moulds and parts were continually redesigned by the parties as problems arose. The moulds were used by Stelmark and were never returned and interim invoices were paid. Further orders were filled by Modern after the delivery of apparently defective goods. Stelmark also hired Modern to produce brackets for light valances it was producing for another bank. Modern produced and delivered two orders for the valences which Stelmark sold to its customers. When Modern wrote to Stelmark requesting payment of its outstanding accounts, Stelmark then complained about the valence brackets, alleging that they were shrinking. It was also then that Stelmark alleged the other products sold, which invoices remained unpaid, were defective. </w:t>
            </w:r>
            <w:r>
              <w:rPr>
                <w:lang w:val="en-US" w:eastAsia="en-US" w:bidi="ar-SA"/>
              </w:rPr>
              <w:cr/>
            </w:r>
          </w:p>
          <w:p>
            <w:pPr>
              <w:spacing w:before="120" w:line="260" w:lineRule="atLeast"/>
              <w:ind w:left="240"/>
              <w:jc w:val="both"/>
              <w:rPr>
                <w:lang w:val="en-US" w:eastAsia="en-US" w:bidi="ar-SA"/>
              </w:rPr>
            </w:pPr>
            <w:bookmarkStart w:id="8" w:name="Holdings of Court_0"/>
            <w:bookmarkEnd w:id="8"/>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no dispute that the moulds were produced by Modern and were used by Stelmark to produce the thousands of brochure holders which Stelmark subsequently sold to its banking customers. To the extent that the goods did not satisfy Stelmark, this was more a reflection of a continuing refinement of the design combined with a failure on the part of Stelmark to fully and accurately detail the design requirements. The brackets produced by Modern for the light valences were received, accepted and used in the production of the light valences. Stelmark provided no reliable evidence to support its claims for repairs to any of the allegedly defective goods and no particulars of that claim were ever advanced. Stelmark's counterclaim was dismissed. </w:t>
            </w:r>
            <w:r>
              <w:rPr>
                <w:lang w:val="en-US" w:eastAsia="en-US" w:bidi="ar-SA"/>
              </w:rPr>
              <w:cr/>
            </w:r>
          </w:p>
          <w:p>
            <w:pPr>
              <w:rPr>
                <w:lang w:val="en-US" w:eastAsia="en-US" w:bidi="ar-SA"/>
              </w:rPr>
            </w:pPr>
          </w:p>
        </w:tc>
      </w:tr>
    </w:tbl>
    <w:p>
      <w:pPr>
        <w:jc w:val="both"/>
        <w:rPr>
          <w:lang w:val="en-US" w:eastAsia="en-US" w:bidi="ar-SA"/>
        </w:rPr>
      </w:pPr>
      <w:bookmarkStart w:id="9" w:name="Counsel_0"/>
      <w:bookmarkEnd w:id="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31" style="position:absolute;z-index:2517104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B.C.E. Russell, for the plaintiff. K. Nichols, for the defendant.</w:t>
      </w:r>
      <w:r>
        <w:rPr>
          <w:lang w:val="en-US" w:eastAsia="en-US" w:bidi="ar-SA"/>
        </w:rPr>
        <w:cr/>
      </w:r>
    </w:p>
    <w:p>
      <w:pPr>
        <w:spacing w:after="240"/>
        <w:rPr>
          <w:lang w:val="en-US" w:eastAsia="en-US" w:bidi="ar-SA"/>
        </w:rPr>
      </w:pPr>
      <w:bookmarkStart w:id="10" w:name="Judgment_0"/>
      <w:bookmarkEnd w:id="10"/>
      <w:r>
        <w:pict>
          <v:line id="_x0000_s1032" style="position:absolute;z-index:25176166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1" w:name="BOYD J."/>
            <w:bookmarkEnd w:id="11"/>
            <w:r>
              <w:rPr>
                <w:rFonts w:ascii="arial" w:eastAsia="arial" w:hAnsi="arial" w:cs="arial"/>
                <w:b/>
                <w:color w:val="000000"/>
                <w:sz w:val="30"/>
                <w:lang w:val="en-US" w:eastAsia="en-US" w:bidi="ar-SA"/>
              </w:rPr>
              <w:t>BOYD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the sum of $213,279.56 as the outstanding principal amount owing for certain plastic injection moulds and parts manufactured by the plaintiff and delivered to the defendant during the period 1994-1996. In addition, the plaintiff claims interest which has accrued in the sum of $122,016.38.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denies liability for these amounts, alleging the plastic parts were neither fit for the purpose intended nor did they not match the description of the goods provided. Further, the defendant alleges by way of counterclaim that it has incurred damages in the amount of approximately $20,667.50 repairing these defective parts.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will address the general background of the parties and then address each outstanding invoice in turn.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GENERAL BACKGROUND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Mr. Richesteder ("R") is 53 years of age. He was born in Austria and attended trade school, where he completed his apprenticeship and earned a toolmaker certificate, specializing in the design and construction of plastic injection moulds. He worked in Europe for six years and immigrated to Canada in 1966. He initially worked for International Tool in Windsor, Ontario, producing tools and dies for the major automobile manufacturers. At some point, he moved to British Columbia where he joined Columbia Plastics Ltd. In 1981, he and a partner formed a partnership known as Innovative Tool &amp; Die. The new venture collapsed within a couple of years and in 1983, R returned to work at Columbia Plastics, this time however working as Modern Plastics' independent contractor.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approximately, 1979-1980, R met Mr. Robert Stelmack ("S"), the principal of Stelmack Products Ltd. ("Stelmack"). S is presently 62 years of age. He was born in Australia, attended technical school and later studied commercial art at the Melbourne Technical College. He immigrated to Canada in late 1967, began his own signage business in Ontario and eventually settled in British Columbia.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company, Stelmack, is involved in the production and merchandising of many different products for banks and airlines in particular, the products being made of plastic, metal, wood or a combination of all three materials.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early 1980's, Stelmack had purchased a particular piece of machinery from Quebec but the staff was unable to decipher the French language instructions. The salesman brought in R to assist and to instruct the Stelmack staff as to how to operate the machine. Thereafter, R attended the Stelmack plant and visited S quite regularly, and a professional and casual friendship flourished between the two men.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While S attempted to play down the strength of the relationship, insisting that R hung out at the plant and aggressively promoted himself on every available occasion, it appears that the relationship was indeed relatively close. S admitted that R often sought out his advice concerning both his first marriage and his then teenage daughter. In the late 1980's, in response to R's approaches, S employed R's daughter, then later his second wife Christina and finally, R's stepson Eric.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Over the course of the years which followed, but more particularly in 1994-1996, Modern Plastics produced a number of moulds and a number of plastic parts for Stelmark. R denied that he was a person "knowledgeable in plastics" or that he provided S with any support or assistance in the design of the various products ordered over the years. S in turn insisted that his knowledge of plastics was limited and that he relied on R's advice as to the best materials to be used.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Invoice No. 61079 - Cutting Dies, Hydraulic Presses, Suction Cup Mould: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During the first 10 years of their relationship, R was involved in several "odd jobs" on behalf of Stelmark. However the first job of any note arose in early 1991, when Stelmark contracted with the Canadian Imperial Bank of Commerce (CIBC) for the production of a huge order of hours of operations signs. Later, the order was expanded to include bank rate boards.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signs were made up of a number of lexan (polycarbonate) blades mounted on magnetic backing sheets, which blades slid into various slots on the sign and could be regularly changed.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 approached R and asked whether he knew where he could purchase a cutting die press, sufficiently strong to cut the lexan blades. In response, R told S that he had built such cutting die presses in the past. R says that he deferred to S and provided him with instructions to build the presses capable of cutting 3 different thicknesses of material: 10/1000th, 20/1000th and 30/1000th of an inch. R denies such instructions, stating that S specified no more than one thickness-that is 10/1000th of an inch thick lexan and magnetic sheeting.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 testified that he had great reservations about the amount of pressure which would be required to allow the cutting dies to cut through the lexan strips, which reservations he expressed to S. He says that S convinced him that a sufficiently strong hydraulic system would do the job. Accordingly, R left it to S to order the hydraulic system sufficient to cut through the materials. By contrast, S testified that it was understood R himself would calculate the necessary hydraulic or pneumatic pressures.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R produced the cutting dies, S says that the cutting presses lacked the pressure required to cut the materials. The manufacturer of the presses remachined the presses at an additional cost of $3000 and the dies were ultimately able to accomplish the cutting tasks required.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I understand it, no claim was ever advanced by Stelmack in respect of the cost to remachine the cutting presses. Invoice No. 61079 dated May 3, 1991 (Exhibit 1-1) in the sum of $30,460.50 was paid out over a period of 4 years, with interest at 10%. At trial, R testified he did not know why it took four years for the invoice to be paid out, although he agreed this was not his usual approach to collection of accounts.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CIBC Suction cups: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approximately the same time the cutting die presses were being manufactured, S asked R to build the necessary mould for the manufacture of instruments made of stems and suction cups, designed to remove the lexan strips from the CIBC signs. R testified he told S that if he had any extra time available, he would assemble and glue the suction cups and stems together at no cost to Stelmark. He did so and eventually the 5000 suction instruments were delivered in early May, 1991. S was apparently very satisfied with the job. The cost of the suction cups and stems was included in the earlier invoice of May 6, 1991, which invoice, as I noted earlier, was paid out over a period of four years.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AM South Bank Black 26" brochure holder frames, T-rails, and dividers: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Stelmack was eventually retained by the AM South Bank in the South Eastern United States, to design a free standing pylon or kiosk allowing for complete flexibility of display, using all three sides of the pylon. A brochure holder also had to be designed, which would attach in some fashion to the pylon.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 says that R was constantly hanging around the Stelmack plant. According to him, R learned of the project and thrust himself into the arena, rather aggressively suggesting that Stelmack adopt plastic injection moulding as a means of producing the various parts. Although reluctant to adopt such a means of production, S says that he eventually did ask R to provide an estimate price for the production of a brochure holder. Since the price was essentially the same as Stelmack's own cost to hand fabricate the item and since the plastic injection moulding offered the ability to incorporate a number of additional features which could not be accomplished by hand, S deferred to R and offered him the job.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Although R says that he generally knew the brochures holders were to be used for display purposes, he denies that he was aware of the actual shape or dimensions of the pylon.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 says that he discussed the matter with S and that it was agreed Stelmark would pay $34,500 for the creation of a mould for the frame and T-board and a further $10,000 for the mould for the end caps.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not disputed that S provided R with a series of hand sketches of the brochure holder. Additionally, S says he told R that since a matte velvet textured lexan material would be used to cover the face of the pylon, the brochure holder would have to be produced using a material with a similarly textured surface. Accordingly, he says he provided R with lexan samples so that he would be aware of the texture to be matched. He also says he told R the brochure had to be rectangular in shape and that the ends had to be perfectly square.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 denies that S ever told him the brochure holder frames had to be textured. Further he denied that S provided him with 6" x 6" pieces of textured lexan and told him that this was the type of texturing of the frames which he desired. R insisted that he is only able to achieve such a textured effect by having glass bead incorporated in the mould, a process which cannot be accomplished at Columbia Plastics but requires the mould to be shipped to Windsor Ontario. This further process results in additional costs of approximately $1200-$3000.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Since the overall job was beginning to run behind, S says that Stelmack proceeded with the production of the parts it had decided to produce (the plexiglass cover strip and the magnetic backing panel) and provided samples of those completed parts to R so that he could consider them before beginning construction of the brochure holder mould.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R says that he prepared the necessary mould layout drawing. He emphasized that such a drawing is not the equivalent of a mould blueprint drawing - which will cost as much as $4000-$5000 and will only be prepared on the client's specific instructions. Nevertheless, he says that the drawing he prepared for S's approval was sufficient for the purposes of allowing the customer some understanding of the general layout of the mould.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is no dispute that S did attend R's home in North Vancouver to review the mould layout drawing. The meeting occurred in either December 1993 or January 1994. R contacted S and asked him to attend in his home to view and approve the mould design. While S and Mrs. S clearly recall that they both went upstairs to R's study to review the drawings together, R could not recall whether Mrs. S attended.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 testified that the original drawing was in the same form as the copy produced at trial - Exhibit 1-35. He says that he reviewed the drawing with S and that S approved the design. According to him, the discussion which followed was limited. Earlier he had understood that the brochure frame was to be 26" long and "roughly" 5" high. The T-rail piece which would sit into and over the brochure holder, provided for spacing of 3/8" between the rails, thus allowing plastic dividers to be inserted at any point along the R-rail, so as to accommodate any width of brochure.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 says that the only particular concern which he specifically wished to discuss with S was the fact that in order to allow the brochure frame to be removed from the mould, it would be necessary to taper the brochure mould by 2 degrees at both ends. He says that he raised this specific issue with S and sought his permission to proceed in this fashion. Indeed, he points to Exhibit 1-35 in which the note "Length of core @ PL 26.156" - 2 degrees/side" appears. While he is not sure, he believes this note may have been recorded in S's presence that day. The note refers both to the calculation of shrinkage as well as the 2 degree tapering of the sides which he insists he discussed with 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denied that the 27.000 X 5.000 dimension shown at the top of the sketch (Exhibit 1-35E) denoted the specific measurement tolerances specified by S, to the 1/1000th of an inch. Rather he says the measurements applied to the tolerances of the steel insert or pocket in the mould which must close perfectly. As to the product itself, R insists that the measurements provided by S were never "that critical". By way of example, he recounted his earlier reference to Stelmack's computer drawing of a cutting die, which failed to include any measurements. He says that when he raised the matter with S, he instructed him to simply put an ordinary scale on the computer drawing and scale it from that document-a procedure which would not yield highly specific measurements or dimensions.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insists that S approved the mould drawing and that he instructed him to proceed. He says that had S told him the brochure frame had to be perfectly perpendicular at both ends, he would have had to produce a much larger and stronger mould at an additional cost of approximately $10,000.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contrast, both S and Mrs. S testified that when they attended in R's study they found that the mould drawing was not complete. S recalled that the drawing was no more than 80% complete and that the right side of the drawing had not been completed. In contrast Mrs. S. testified that the entire top of the drawing depicting the T-board section was complete.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 testified that his main concern was to ensure the t-board dividers were correctly spaced at 3/8" and that the ends of the frame were right-angled. During the course of the discussion, S says R mentioned for the first time that in order to build the mould in such a way that the part could be removed, the frame had to designed with "a bit of a taper". S says that he was somewhat surprised, since R had "quoted on a rectangular unit" - that is a rectangular shaped frame with square ends. He said however that he "could understand the dilemma" and "tried to help him [R] out" by responding that he would allow some tapering, provided it was only visible from the side and was very subtle.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cross examination, S admitted that he had not recalled such a discussion on discovery and that at trial he had primarily recalled the conversation since discussing the matter with his wife. Later he testified that he had had the discussion with his wife "years ago" and that he was "not sure when it came to him". Having closely observed S testify on this issue, I am satisfied that he has no significant recollection of this conversation. I have formed the very strong impression that the evidence he provided in court on this matter was no more than a reconstruction, largely based on his discussions with his wife and her purported recollection of the meeting at R's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Mrs. S testified that during the course of the discussion with R, R advised that the brochure holder required a 2 degree taper in order to allow it to be released from the mould. She admitted that she was not clear what this entailed and that she assumed he was referring to a tapering on the back face of the brochure holder. Significantly, she testified that after she and her husband left R's home, she asked her husband what R had meant and that they exchanged their views on what R had said. While I am satisfied S has no recollection of either this conversation or the earlier conversation with R, this evidence is significant since it underscores the fact the S's had a limited understanding of injection mould production and sought no full explanation from 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Pursuant to S's instructions, R says that he built the moulds as designed. Sometime in January, he asked S to attend at the Columbia Plastics plant to see the completed moulds. In fact, both S and his wife as well as R's wife all dropped into the Columbia Plastics plant en route to dinner one evening.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 recalls that he was particularly uncomfortable during this visit, since R informed them that Columbia Plastics would not approve of his entry into the plant, after hours, with visitors. As a result, the plant lights were not turned and only limited lighting was available. The visitors moved through the relative darkness to the area where the moulds were stored. S says that he was distracted by the circumstances and was not able to particularly focus on the task at hand. He recalled that R showed them "something", which "could have been moulds", although he is sure that whatever was shown were definitely not parts. He testified that whatever he saw was of no particular significance to him and that being a fabricator, and not a mould maker, he would have been unable to recognize whether the mould, which he considered "a hunk of steel", was satisfactory or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R says that that night, he showed S both the completed moulds as well as some of the sample parts - that is the black brochure frame and T-rail - which had come from he large mould. S denies that he was shown any parts. Mrs. S testified that the large mould was not finished (the glass beading for texturing had not been completed) and that the smaller mould was also not completed.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February 1994, R delivered the first 1300 parts-the frame, T-board dividers and end caps. (see Modern Plastics' packing slip, February 11, 1994, Exhibit 1-4). S testified that on delivery at the Stelmack plant, the first thing he noticed was the flimsiness of the product. He examined the frames more carefully and noted that the bottoms were distinctly tapered, so that viewed from the front, the frames had a somewhat "ice cream cone" like effect. Further, contrary to his instructions to R, he says there was no texturizing of the surface of the brochure holder. Furious, he says he immediately told R the frames were both visually as well as functionally unacceptable. He says that R insisted he had been permitted to build in a tapering of the frame. S apparently conceded the point but asked why he had not accomplished the tapering from a side view, with no esthetic or functional impediment. He said that R provided no "real reply". As to the texturizing, he says that R explained he had prepared the mould in such a fashion as to produce a textured surface, but that the texture had "rubbed off' when the mould had been opened. While R said he could do nothing to change the moulds, he could address the lack of texturizing. In any case, R declared the T-boards unusable.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 says he then considered how he might salvage the parts, particularly given the fast approaching deadline for the project. He conducted various experiments and ultimately settled on spraying the T-boards with paint, thus simulating a textured surface. Later he demonstrated the textured T-boards to R who was apparently impressed. In the interim, he says that he instructed R to take whatever steps were required to build texturing into the mould.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to the frame, he approached his plastic fabricator, "Wayne" of Feature Plastics and asked him what he might be able to do to salvage the frame. Wayne determined that any attempt to salvage the defective part would be as expensive as creating a new part. However any new plastic frame to be created by Features Plastic in substitution for the Modern Plastics' frame could not include a hook at the back of the plastic panel.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While R admits that the frame which he produced is 26" long across the top but approximately 1/2" - 3/8" narrower at the bottom, he says that it was understood by S, at the time he agreed to the 2 degree tapering on each side, that the frame would be so configured following production. He agreed however that as a result of the tapering, both the plexiglass piece and the magnetic strip fabricated by Stelmark, were too wide at the bottom and required cutting to fit the frame. He insisted that this was not significant since it was always possible to alter those parts or alternatively, that the end caps could be manufactured in such a way as to fit and cover any resulting gap.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R agreed that in any case, the brochure rack was not used by Stelmark and that he was asked to pick up the 1300 frames. He insists this had nothing to do with the tapering but rather was the result of a further design change made by Stelmark. R says that by the time the frames were delivered, S realized the brochure racks (as originally designed) could not be safely hooked to the pylons, without risking falling off under the weight of the brochures or the handling action of a customer. Accordingly he says S redesigned the frames to exclude the hooks at the back and to include screws and screw holes at either end, such that the brochure frame could now sit, tension wedged, between two perimeter rails on the pylon. While R testified it would have been possible for him to redesign the mould so as to remove the hook at the back of the mould, he says S made no request for such a redesign.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 acknowledged that the brochure holder eventually fabricated by Stelmack was substantially different that the brochure holder produced by Modern Plastics. It was 1/2" higher, included screws at both ends, with no hook on the back and no magnetic strip. S insisted that all of these design changes were necessitated by the fact Modern Plastics' parts were unusable and the fact that Stelmack (not having access to the plastic injection process) could not include a hook at the back of the brochure holder frame.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any case, given the redesign of the frames, R says that S instructed him to fill in the "frame" cavity of the mould and only use the remaining mould cavity to produce T-rails which could still fit in the newly redesigned frames. Production continued pursuant to these instructions and in September 1994, Modern Plastics delivered 1000 more T-boards (Exhibit 1-5, Invoice No. 61089). This invoice provides for a unit price of $3.16 per T-board, rather than $4.50 as originally quoted for both the frame and T-board.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 insists that the only products which were ever acceptable were the T-boards and that even the T-boards required remedial work. The company comptroller, Mr. Hansen, originally estimated that the texturizing of the T-boards cost $2 per part. Later, at trial, he revised his estimate to $1.40 per part.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difficulty with S's position is that following the deliveries, S made arrangements for payment of the various invoices. On December 2, 1994, Stelmack paid out $12,438.75 in full satisfaction of Invoice No. 61095 and approximately $12,000 on account of Invoice No. 61087 (Exhibit 1-48, Exhibit 1-61D). Invoice No. 61087 is in the sum of $69,251.47, and reflects some $11,550 for seven machine cutting dies. The balance is the cost of the frames, T-boards and end caps.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Earlier Hansen and S had discussed Invoice No. 61087, resulting in the various handwritten notations set out on the face of the invoice (Exhibit 1-4A). S identified his own handwriting on the face of the invoice, confirming that the $34,500 charged for the T-board frame mould and the $10,000 charge for the end cap mould, would be paid out over a period of 12 months. Hansen agreed that R attended in the Stelmack offices and that it was agreed Invoice No. 61087 would be paid out over time. He acknowledged that this was indeed an unusual arrangement based largely on the close personal relationship between S and R, and designed to accommodate Stelmack's need to amortize the capital costs involved in developing such a product line. Stelmack understood R was content with this arrangement.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S acknowledges that he agreed to pay out these amounts over time, he nevertheless insists that his agreement was predicated on his understanding that Modern Plastics would "stand by" its product. There is however absolutely no documentary evidence or other evidence to support the contention that full payment of the invoice was contingent on some action on Modern Plastics' part to address any deficiency. To the contrary, payments of interest on the invoice continued on schedule with no objections raised until the parties' relationship broke down in June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a review of the whole of the evidence, I reject the notion that the parts were unusable or otherwise unacceptable. S agreed to pay for 1300 frames and T-boards as well as 1300 right and left end caps shortly after the delivery of Invoice No. 61087. The only items in respect of which payment was deferred were the large capital costs items relating to the production of the moulds. These costs, it was agreed, would be paid out over 12 months. In the period which followed, further T-boards and rails were delivered - a development which in my view simply confirms Stelmack's acceptance of the goods.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find that Modern Plastics manufactured and produced the goods ordered. To the extent the goods did not satisfy Stelmack, I find that this was more the reflection of a continuing refinement of the design combined with a failure, on the part of Stelmack, to fully and accurately detail the design requirements. Significantly, Mrs. S described the entire process related to this initial brochure holder as a "fiasco". She said that following this experience, she and her husband agreed that the process had been "too loose and sloppy" and that in future, Stelmack would provide more detailed drawings to Modern Plastics. Likewise, more detailed drawings and samples from Modern Plastics would be expected.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any case, I find Stelmack entirely liable for all amounts outstanding in respect of Invoice No. 61087, which I believe to be in the order of $47,615. I leave it to counsel to determine the precise amount together with interest which has accrued thereon.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entirely reject the evidence advanced by the defence relating to the matter of remedial work. While some remedial work may well have been performed, the evidence produced by Stelmack, in the form of a bald statement from Hansen, with no supporting documents is unreliable.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Bank of Montreal - Beige T-Boards: Invoice No. 61095: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At approximately the same time the AM South Bank job was underway, Stelmack was asked to create brochure holders for the curved Bank of Montreal display pylons. Stelmack did not ask Modern Plastics to create brochure holders, but rather simply the same T-boards which had been created for the AM Bank, except in the Bank of Montreal beige. Using only one cavity in the earlier mould, R produced 1000 beige T-boards which were delivered on December 6, 1994. $3310 of the total costs reflected on Invoice No. 61095 (Exhibit 1-48) relate to these T-boards. As I understand it Stelmack admits liability for the costs related to these T-boards, although Stelmack seeks to recover a $1.40 labour cost per T-board, reflecting the cost of spray painting the T-boards to achieve texturing.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I noted earlier, I reject any attempt by Stelmack to recover the alleged cost of the remedial work performed. The amounts reflected on the invoice relating to the Bank of Montreal T-boards will be paid out together with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Invoice No. 61094 - Reflector blade (diffuser) mould and divider with hook mould: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summer of 1994, Stelmack successfully bid to fabricate various parts for the Bank of Montreal's new national design theme.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According to R, S asked if he could design and build "reflector blades" for the light valances for the Bank of Montreal. Although S later scraped the design and instead used a transparent textured sheeting at the bottom of the valances to diffuse light, Stelmark nevertheless paid for the original Invoice No. 61094.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Invoice No. 61094, also includes the cost of a mould for hook dividers to be used with the frame. Despite the design change for the frames, Stelmark was able to use these hook dividers. They were apparently produced to S' satisfaction and ultimately paid for via a series of payments including interest in the spring of 1991. While not directly relevant to the claims before the Court, the history of this invoice establishes the relationship between the parties which included payments over time as well as in those cases where design changes occurred post-production.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Blue Bank of Montreal 8" x 8" brochure holders and dividers: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late 1994, S asked that R create two separate moulds - for a blue brochure holder as well as a divider to sit in the holder. S provided R with a series of sketches (Exhibits 1-64, 64A, 64B and 64C) as well as a prototype of the brochure holder which had been created in Stelmack's own plant.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According to R, he built a small mould and discussed it with S. By this point in time, S instructed R to amend the mould design so as to delete the need for a divider, but rather to replace same with a slot at the back of the brochure holder. This, R says he was able to do. (It should be noted that Modern Plastics nevertheless billed Stelmack for the hook divider and that invoice was paid).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 insists that during the course of these initial discussions, he specifically instructed R that the brochure holders had to be textured so as to match the lexan strips used. R is equally emphatic that he told S the inside surface of the brochure holders could not be textured, since to incorporate such a feature would make it impossible to remove the part from the mould. He says that S understood this and provided him with instructions to proceed, albeit with a non-textured surface. He says that had S insisted the surface be textured, he would have refused the job. On cross examination, R's evidence was somewhat different. He said that the discussion concerning the inability to achieve a textured effect had occurred earlier (in the context of the AM South Bank's brochure holders) and that by this point in time, it was understood that Stelmark had refined the achievement of a textured effect in its own plant, using spray paint.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170 sample brochure holders were produced and delivered to Stelmack on February 23 1995. Invoice No. 124511 (Exhibit 1-8) in the sum of $43,102.96, reflects the charges for a two cavity divider mould, a one cavity brochure holder mould and 2520 small blue brochure holders (which made up the sample run). R acknowledged that in this first sample run, a slight sink mark appeared at the front of the brochure holder at that location where the plastic is injected into the back surface. R says that he specifically addressed this issue with S and that S did not complain. To the contrary, he says S advised him the sink mark was acceptable and that in any case it would be hidden by the brochures held in the brochure holder. He testified that S was satisfied with the brochure holders and indeed S testified that this first run of brochure holders was "good".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Accordingly, he ordered a further 2500 brochure holders. These were delivered in September 1995 (Invoice No. 124549). Invoice No. 12459 reflects a charge of $7377.65 in respect of the 2500 small blue brochure holders. S testified that it was this second run of 2500 brochure holders which presented difficulties. He estimated that approximately 1/2 of the order was flawed - with a very pronounced sink mark at that point where the plastic had been injected. He described the sink mark as "glaringly obvious".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Mrs. S testified that both the first and second runs were "wonderful" and that it was the third run which presented difficulties. She said that approximately 1/3 of the run displayed a "huge dimple" at the center of the back plate of the brochure holder, which appeared as a bulge on the front of the back plate.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 testified that he discussed the matter with R who suggested he simply set aside the flawed brochure holders, which he would pick up, regrind and reprocess. S says R never did as he promised since he was "too busy". In the meantime, R's stepson, Eric, was dispatched to sort out the salvageable from the non-salvageable brochure holders. He said that of those which remained, Stelmark's staff spent considerable time spray painting the brochure holders to create a textured look. He believed the staff "may have" also sanded down the sink mark area, in an attempt to disguise it. Mrs. S testified that eventually the flawed brochure holders were sanded and sprayed and in some cases, covered over with lexam in an effort to disguise the sink mark.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cross examination, R testified he was "unaware" of the fact that his step-son Eric (who was employed at Stelmark) had been instructed to sort through the brochure holders and to set aside all those with visible sink marks for R's pickup. He said he was "unaware" that approximately 1/3 of the brochure holders were found to be flawed and set aside in this manner. He also testified he was unaware that some of Stelmark's staff were engaged to lightly sand the surface of the brochure holder in an effort to hide the sink mark.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I understand Stelmack position, it denies liability to pay for either of the two moulds and it admits liability only for the 2520 brochure holders delivered in February 1995. Deducting the amounts which it says may be attributed to the remedial work performed to repair the brochure holders (based entirely on Hansen's estimates regarding those costs), it says its liability under Invoice No. 124511 is limited to some $7,523.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to Invoice No. 124549, while Stelmack admits liability for the costs of the manufacture of the 2500 brochure holders, it again seeks to deduct the costs incurred in respect of the remedial work performed. Hansen has testified that approximately 40% of the 2500 brochure holders were flawed and that approximately $6.50 per unit, in labour and materials costs, were spent sanding, respraying, and covering over defects. He estimated that the remedial work cost approximately $6,500. Again, I note that no supporting documents of any kind were produced by the defence to establish or support any of Hansen's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is no dispute that these moulds were produced by Modern Plastics and were used to produce the thousands of brochure holders which Stelmack subsequently sold to its banking customers. I accept that some portion of those holders were faulty and that some work was undertaken to repair those parts. Unfortunately, no reliable evidence has been tendered to establish precisely what number of holders were faulty, what number were scraped entirely, what number were repaired and sold to the customer and what specific remedial work was performed and at what cost.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circumstances, I am satisfied that Modern Plastics has proven its claim for the recovery of the entire outstanding amounts for both Invoice Nos. 124511 and 124549 plus interest thereon.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Bank of Montreal - Large Suction Cups: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 smaller version of the suction cups was first produced by Modern Plastics in 1991. In 1994, Stelmack provided R with sample parts and ordered the creation of a mould for the production of a larger set of stems and suction cups. The mould was created in late 1994-following which Modern Plastics produced 5000 small suction cups and stems (Invoice No. 61095) in November 1994, and 650 small suction cups and stems (using the original mould) and 5625 large suction cups and stems (using the new mould) in December 1994 (see Invoice No. 61100).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Again Mr. R insists there never was any complaint regarding the moulds or the suction cups. He acknowledges that before production in 1991, he asked and S advised him that Stelmark used "Lock Tite" glue to glue the stems and cups. He used the same glue. He admitted that following production he noticed some of the suction cups and stems were separating. He denied that he offered to reglue any of the suction cups and stems. He notes that on December 12, 1994, Stelmark paid for the first delivery of suction cups and stems under Invoice No. 61095.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I understand it, Stelmack accepts liability for the cost of the moulds as well as the parts. However, Stelmack seeks to recover the costs of the remedial work performed to reglue the parts.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Hansen testified that of the approximate 5625 suction cups and stems delivered, approximately 30% required repair in the form of regluing. He estimated costs of approximately $1 per part for a total cost of approximately $1,856. For the same reasons I have noted earlier, I reject this evidence. There is absolutely nothing in the way of evidence to support these bald statements on Mr. Hansen's part and at no point in this action, either in discovery or otherwise, until just before trial, were any particulars of this claim advanced.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Modern Plastics will recover the entire outstanding amount of for all suction cups and stems under both invoices.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Bank Teller Sign base: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spring of 1995, Stelmark asked R to create a bank teller sign base. Although S provided R with some samples, he provided no information concerning plastic strength tolerances nor any other specifications. R asked and S approved his use of a special 65% mineral filled plastic which offered the properties of both strength and weight required by the client.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two cavity teller sign mould was produced in June 1995 (see Invoice No. 124533, Exhibit 1-20) followed by the production of 30 sample bases which were approved. In September 1995, 4000 clear teller signs and bases were delivered (Invoice No. 124548) - which invoices have not been paid. No complaints have been received in respect of either product.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I understand it, Stelmack admits liability in respect of both Invoice Nos. 124533 and 124548. Modern Plastics is therefore entitled to recovery of those amounts together with interest thereon.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Bank of Montreal - Light valance C-brackets and end brackets: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Being impressed with Stelmark's initial production of various miscellaneous parts, the Bank of Montreal asked Stelmark to design light valances for installation over the teller areas, in compliance with the overall design motif approved by the Bank's chief architect.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Initially, Stelmark produced a number of prototypes - 8-10" long light boxes inside which sat a number of structural brackets made with lukabond - an aluminum piece laminated with plastic, which brackets supported a façade of lexam sheeting. S complained to R that these aluminum reinforced brackets were very expensive to produce. R says he pointed out to S that it would be difficult to produce a plastic injection mould bracket of the prototype's thickness, without the bracket "warping all over the place". He suggested that the middle be cored out of he bracket, thus avoiding a potential warping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 was particularly concerned about whether a plastic bracket produced by way of injection moulding would sufficiently strong to support a valance structure. He says that R reassured him that he could mould the part using 30% glass filled nylon - the strongest material used by Columbia Plastics. He brought in a hockey stick and a motorcycle helmet to demonstrate the material's strength.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 referred R to Mr. Mike Fyles at Stelmack and Mr. D. Lucas at Features Plastic (both of whom were involved to this point in producing Stelmark's prototype valances) and asked them to clear R's idea. They apparently did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first sample brackets produced by Modern Plastics were substantially different from the prototype initially provided by S. In particular the bracket walls were thicker than those of the prototype. S clearly recalls that the brackets were "out of square", as a result of warpage during the cooling process. R acknowledges that the brackets were out of square and says that in any case, he had warned S it was very difficult material to work with and that the first product produced invariably indicated some need for adjustment of the mould by the mouldmaker. He told S the warpage could be controlled by cooling the brackets on a cooling jig and that subsequent runs of the product would not suffer the same defect.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Somewhat in contrast to his own evidence, R also testified that there never was any understanding that the brackets would be "perfectly square" and that he would never have taken on the job had the client told him the brackets had to be "perfectly square". Indeed, he says that given Stelmack's instructions, he felt free to manufacture and deliver C-brackets which were not "perfectly square".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 reviewed Modern Plastics' prototype and at the request of Mr. Lucas of Features Plastic, Modern Plastics incorporated other design changes - slots in the corners of the brackets for mounting of a sentra strip which would eventually connect the brackets; screw holes to screw the sentra strips to the C-brackets; and bolt holes in the end brackets to allow the light valances sections to be bolted or screwed together. So as to accommodate the screw holes, R was instructed to produce extra "meat" or plastic material at the front and sides of the C-brackets, so that the brackets could be drilled in these locations and be sufficiently thick to accommodate screws.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necessary mould design changes were made and eventually R was instructed to proceed with the first run. On May 2, 1995, 120 left and right end brackets (end caps) were delivered to Stelmack (Exhibit 1-11). The next day, 125 C-brackets were delivered to Stelmack.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Although S acknowledged that the first run of brackets appeared satisfactory and that they were indeed used by Mr. Dave Lucas to fabricate a number of valances, Mr. Lucas testified that from the outset he "recognized that something was wrong". According to him, the end brackets were concave on all sides, with a consequential gap which appeared between the two ends. He said R assured him it would eventually work out to be satisfactory in the manufacture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Based on R's assurance that a cooling gig would resolve any "squareness" issues, a further order for 500 more C- brackets was placed on May 3, 1995. That same date Modern Plastics invoiced Stelmack for both the end bracket and the C-bracket moulds as well as 500 C-brackets for a total cost of $61,080.95 (Invoice No. 124527 - Exhibit 1-14). Lucas agreed the run of 500 brackets appeared to be satisfactory.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 second order was placed later that spring, resulting in the delivery of 5000 further C-brackets on June 12, 1995. The Invoice No. 124532 (Exhibit 1-17) reflects total costs of $23,165.00. Mr. Lucas testified that on opening the boxes, he found that 15-20% of the C-brackets were unusable, while the balance were "shrunk" with the end of the C-bracket "caved in". He testified that he telephoned R and advised him of the problem and was instructed by R to set aside the defective brackets, which he would pick up and replace. For his part, R denied that any complaints were ever lodged by Mr. Lucas or anyone at Stelmark concerning defective brackets. He further denied that he instructed anyone to set any aside for replacement.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According to S, while the balance of the brackets initially appeared to function well, various branches of the Bank of Montreal began to lodge a number of complaints regarding the valances, over the next 2-3 months. According to him there was some bulging or "oil canning" of the lexan façade. Mr. Lucas testified that initially it was impossible to determine the source of the problem. Eventually, S arranged to take apart an old section of a valance which remained behind in the Stelmack plant. On measuring the exposed C-brackets (manufactured by Modern Plastics), S says he found the bracket ends had "shrunk", thus resulting in a non-rectangular shape.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S insists that when he discovered that the problem was "shrinking valances", he telephoned R at home to complain. He says he told R Stelmack had a serious problem, since the light valances were shrinking and warping. He says that R told him there was no cause for complaint, that he had used the brackets for some six months and that accordingly, Stelmack had accepted them. S says that he should "stop fooling around" and that there was a serious problem to resolve. He says that R promised to attend at the plant to discuss the matter the next day but that he never attended.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R denies any such phone call. Rather he says that in May, 1996, on reviewing his books of account, he noted that various invoices rendered to Stelmack remained outstanding and that the interest payments which Stelmack had agreed to pay in respect of a particular invoice, were also outstanding. He says that he approached Mr. Hansen who advised that "There is no money" but that R shouldn't worry, Stelmack would pay Modern Plastics. In the interim, he says Hansen reassured him that interest would be paid at the rate of 10% per annum. While returning home from the Stelmack plant, R says he dropped in at S's home and that on raising the matter with him, S expressed surprise Hansen had not paid R since he had instructed him to do so, and that he would be paid out by the end of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It was only following this that R says he received Stelmack's undated letter delivered in June 1996 (Exhibit 2-1). There, for the first time, R says that he read of S's various complaints concerning the many products which he had produced and delivered to Stelmack over the previous few years. For his part, S testified that after R failed to turn up at the plant to discuss the issues, he telephoned S, this time wanting to know when he would be paid. In response, S says he prepared the letter.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this letter, S complains (according to R, for the first time) of "shrinking" brackets and records the Bank's demands that the light valances be repaired. Following the receipt of this letter, various letters were exchanged between counsel, finally culminating in the commencement of legal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find that despite Stelmack's complaints, many of the C-brackets and end brackets produced by Modern Plastics were indeed received, accepted and used in the production of the light valances. As I will note later, no satisfactory analysis of the alleged deficiencies has ever been offered by Stelmark. In these circumstances, I am satisfied Stelmark is entirely liable for the cost of the production of the moulds and parts reflected in the initial invoice No. 124527.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Regarding the second run, I accept Mr. Lucas' evidence that approximately 15-20% of that production run was flawed and set aside and accordingly, regarding Invoice No. 124532, the amount claimed, in the sum of $23,165 shall be reduced by 20%. The balance is payable by Stelmark together with interest thereon.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COUNTERCLAIM: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Stelmack counterclaim essentially springs from Stelmack's allegation that it has expended certain monies attending at various branches of the Bank of Montreal performing remedial work to repair the light valances.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this regard, the evidence is both vague and unsatisfactory. Despite demands for particulars dating back to January 1997, no particulars of any damages have ever been produced by Stelmack, beyond Exhibit 3 - a document co-authored by S, Mrs. S and Hansen, purportedly setting out a summary of costs incurred. This document was produced for the first time at S's discovery in February, 2000, just days before trial. Although Hansen insisted that the supporting documentation had been forwarded to counsel as early as 1996, no such documentation has ever been produced at trial. At trial, neither S nor Mrs. S provided any evidence supporting Exhibit 3. In particular, S deferred to Mr. Hansen, saying that all particulars would be provided by him. Hansen in turn attempted to refer to various supporting documents, none of which had been produced in the action. Accordingly I ruled that no production would be allowed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Modern Plastics has received little or no details of the alleged deficiencies. The only document produced by Stelmack in the course of this action, detailing any complaint from the bank, is a memorandum from a Mr. Hyslop, Senior Project Manager, Real Estate Services at the Bank of Montreal directed to S on April 22, 1997 (which letter is authored approximately one year after commencement of this action) expressing distress that most of the valances at the Saanich and Oak Branch in Victoria were "oil canning".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response to this specific complaint, R undertook his own investigation on February 9, 2000 and travelled to this Bank branch in Victoria, with his colleague, Mr. Mike Schmidts. They entered the Saanich and Oak Branch, introduced themselves and requested the Bank Manager's permission to inspect the light valance. Using a ladder, they subsequently inspected the three light valances which appeared the worst. Accordingly to R, the lexan strips held magnetically to the front façade of the valance, appeared to be wavy on the horizontal axis.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He removed the lexan sheet from the front face of the three valances, thus exposing the C-brackets he had produced. In one 8" section of the light valance, most of the installation screws were missing. The sentra strip at the front of the C-bracket was glued in some locations, while it was neither glued nor affixed using screws in other locations - thus accounting for the wavy effect observed. He noted that when the sentra was pushed back to the C-bracket surface, the waviness problem was resolved.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He denied S's counsel's suggestion that any shrinkage or warpage or change in shape of the brackets was accountable for the "oil canning" of the lexam façade of the valances. Further he denied that he had ever informed S or anyone at Stelmark that the brackets had changed shape as a result of the high temperatures produced by the light fixtures within the valance. He acknowledged however that heat might indeed be a factor here and that the complete closure of the light valances, using the clear plastic sheeting, rather than the use of light baffles or diffusers, likely accounted for build-ups of heat within the light valances. He pointed out that he was not accountable for Stelmark's valance design.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R and his colleague travelled next to the Esquimalt branch of the Bank of Montreal and again examined the valances and again noted the same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February 17, 2000, he attended the Guildford Shopping Center branch of the Bank of Montreal. On inspection he noted that the lexam façade was glued to the front of the valance rather than being held in place using magnetic strips. He was bewildered to find it was impossible to get into the light box to view the interior and concluded that the lights had been totally redesigned.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February 18, 2000 R returned to the Bank of Montreal Saanich &amp; Oak branch, this time accompanied by Mr. Chuck Stewart. Mr. Stewart is a technical support manager at Columbia Plastics with B.C.I.T. diplomas in technology, electronics and Plastic Engineering. On this examination, they noted that the metal strip off the sentra was also bulging out from the sentra strip, thus perhaps also causing the "oil canning" effect.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At trial, Mr. Stewart explained that they removed approximately three of the face panels. He looked closely at the pattern of waviness and attributed that problem to three separate deficiencies: (i) the failure of the installer to apply the fascia panel directly against the magnetic strip since those strips overlap the lip at the bottom of the valance; (ii) a lack of proper gluing or screwing of the sentra strips to the C-brackets; and finally (iii) a detachment of the metal strips (which were longer than required and in a bowed configuration) attached to the sentra strips, thus forcing the front fascia panels away from the whole valance assembly.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On attendance at a Bank of Montreal Duncan branch later that day, Mr. Stewart noted that the entire valance design had changed; they could no longer be taken apart and the C-brackets were in a different orientation to the original design. Indeed, at trial, Mr. Lucas acknowledged that the second generation of valances had been entirely redesigned and no longer included a light fixture.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Stewart denied any suggestion that any of the measurements of the C-brackets indicated any disturbance in their C-shape configuration or that the ends of the C's were closer than as originally designed, as suggested by defence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I understand it, many of these valances were installed in the various bank branches in the spring of 1995. S admitted that for the most part, the 5-year warranties which Stelmack provided to the Bank of Montreal are about to expire. It appears to me that despite the complaints advanced in this lawsuit, Stelmack has deliberately laid low and has conducted no intensive investigation of the deficiencies and no itemization of the remedial work required, preferring, it would appear, to allow the expiry of the warranty. At most, it has detailed a host of "contingent" expenses which it might someday incur, in the event the Bank calls upon Stelmack to repair the light valances, which deficiencies it will attribute to Modern Plastics.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specific remedial costs incurred are estimated to be $20,667.50 (Exhibit 3, Schedule B). Contingent liability for costs yet to be incurred is estimated to be $113,811.25 (Exhibit 3, Schedule 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Direct evidence regarding the repairs actually performed was relatively vague. Mr. Felix Lopez, a longstanding Stelmark employee, was unfamiliar with Exhibit 3. He testified that he was involved in a few of the jobs involving the repair or replacement of valances. He believed the company essentially produced new faces for the valances which he custom trimmed on site at a few locations. He offered no particulars beyond the fact that some of the valance faces were "not parallel" and "sagged in the middle". According to him, the mere trimming of the valance façade corrected the problem at the locations he attended.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Lucas, a subcontractor at Stelmark, who performed most of the work developing and assembling the light valances in 1994-5, also attended the Saanich &amp; Oak branch of the Bank of Montreal. He noted that contrary to Stelmark's directions for installation, only half the required number of suspension poles had been used to install the light valances and to suspend them from the ceiling. In his view, many of the valances were not properly supported. Further he noted that many of the assembly screws were missing. He acknowledged that many of the difficulties observed, arose from the improper installation of the valances although he insisted the defective C-brackets and end-brackets also contributed to the "waviness" of the valance faces. He had little direct knowledge of any particulars of the remedial work performed, as detailed in Exhibit 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Brian Smith, the Director of Sales and Marketing at Stelmark, offered vague evidence to the effect that Stelmark had lost its opportunity to successfully tender a job for the Bank of Boston due to its ongoing dispute with Modern Plastics. He further testified that he too had attended a Bank of Montreal branch in Chatham, Ontario to observe certain remedial work performed on valances but he offered no particulars.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the end result, the Court has been faced with a counterclaim based on bald statements of complaint, with absolutely no supporting evidence, documentary or otherwise, and no independent analysis by any other party as to the extent or nature of the deficiencies, the nature of the remedial work required or the cost of same. I reject the counterclaim in its entirety.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Interest: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While there was an ongoing agreement that interest on Invoice Nos. 61079 and 61087 would accrue at the rate of 10% per annum, the evidence regarding the balance of the invoices is less satisfactory. Contrary to the earlier invoices in which Notes #1 and 2 detail the interest rate and payments to be made, there is no written documentation recording any agreement between the parties. Hansen agreed that it was understood interest would accrue in respect of unpaid amounts but he denied any agreement to pay interest thereon at the rate of 10% per annum.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Thus, with the exception of the two invoices noted, interest will simply accrue in accordance with the rates set out in the Court Order Interest Act.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is entitled to the costs of this action under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BOYD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128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
          <w:headerReference w:type="default" r:id="rId21"/>
          <w:footerReference w:type="even" r:id="rId22"/>
          <w:footerReference w:type="default" r:id="rId23"/>
          <w:headerReference w:type="first" r:id="rId24"/>
          <w:footerReference w:type="first" r:id="rId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 w:history="1">
        <w:r>
          <w:rPr>
            <w:rFonts w:ascii="arial" w:eastAsia="arial" w:hAnsi="arial" w:cs="arial"/>
            <w:b/>
            <w:bCs/>
            <w:i/>
            <w:color w:val="0077CC"/>
            <w:kern w:val="32"/>
            <w:sz w:val="28"/>
            <w:szCs w:val="32"/>
            <w:u w:val="single"/>
            <w:shd w:val="clear" w:color="auto" w:fill="FFFFFF"/>
            <w:lang w:val="en-US" w:eastAsia="en-US" w:bidi="ar-SA"/>
          </w:rPr>
          <w:t>Monaco v. Coquitlam (City), [2015] B.C.J. No. 2838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Abrioux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4-6, June 5 and July 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22,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S083289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2838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2421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3785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262 A.C.W.S. (3d) 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M.P.L.R. (5th) 241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Nicola Monaco and Tammy Marie Joseph, Plaintiffs, and City of Coquitlam and the Minister of Justice (British Columbia) and Attorney General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4"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 w:name="Keywords_1"/>
      <w:bookmarkEnd w:id="12"/>
      <w:r>
        <w:rPr>
          <w:rFonts w:ascii="arial" w:eastAsia="arial" w:hAnsi="arial" w:cs="arial"/>
          <w:b/>
          <w:color w:val="000000"/>
          <w:sz w:val="20"/>
          <w:lang w:val="en-US" w:eastAsia="en-US" w:bidi="ar-SA"/>
        </w:rPr>
        <w:t>Civil litigation — Civil procedure — Parties — Class or representative actions — Certification — Application by plaintiffs to certify action as class proceeding dismissed — Proposed class action arose out of 582 searches of certain properties in Coquitlam conducted pursuant to Coquitlam's Controlled substances Property Bylaw, which targeted fire and life-safety hazards related to marijuana grow operations — Plaintiffs challenged constitutionality of Bylaw and sought damages for trespass and Charter breaches — Claim failed to plead necessary material facts and was bound to fail — Leave to amend would not assist plaintiffs — Class Proceedings Act, s. 4(1).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Constitutional law — Constitutional proceedings — Practice and procedure — Parties — Pleadings — Application by plaintiffs to certify action as class proceeding dismissed — Proposed class action arose out of 582 searches of certain properties in Coquitlam conducted pursuant to Coquitlam's Controlled substances Property Bylaw, which targeted fire and life-safety hazards related to marijuana grow operations — Plaintiffs challenged constitutionality of Bylaw and sought damages for trespass and Charter breaches — Claim failed to plead necessary material facts and was bound to fail — Leave to amend would not assist plaintiffs — Class Proceedings Act, s. 4(1).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 w:name="Case Summary_1"/>
            <w:bookmarkEnd w:id="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to certify their action as a class proceeding. The proposed class action arose out of 582 searches of properties in Coquitlam, between 2007 and 2013, allegedly all without warrants. The searches were conducted pursuant to Coquitlam's Controlled substances Property Bylaw, which targeted fire and life-safety hazards related to marijuana grow operations. Most inspections were consented to by the residents or owners after receiving notice of the inspection. Upon inspecting the plaintiffs' property, the inspection team found significant hazards, had the electricity disconnected and revoked the occupancy permit. The plaintiffs were fined $1,000. They challenged the constitutionality of the Bylaw and sought damages for trespass and Charter breaches.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 w:name="Holdings of Court_1"/>
            <w:bookmarkEnd w:id="14"/>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damages claim for Charter breaches was bound to fail. No entitlement existed to a personal remedy in damages for legislative invalidity. The plaintiffs' claim did not plead sufficient material facts, including facts of bad faith and abuse of power, why they had a reasonable expectation of privacy, whether the search was not authorized by law, or the reasonableness of the search, in regard to their Charter damages claim. Granting leave to amend the claim would not assist the plaintiffs as they could not extrapolate a pleading of material facts to the intended class for either the Charter claim or the trespass claim, which was contingent on the Charter claim. The proposed class was overbroad and vague. Most of the proposed common issues required individual assessments and lacked commonality. A class proceeding would not be a fair, effective and efficient procedure for resolving the individual plaintiffs' claims. Conflicts could exist between putative class members.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 w:name="Legislation Cited"/>
      <w:bookmarkEnd w:id="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5"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 7, s. 8, s. 11(d),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27" w:history="1">
        <w:r>
          <w:rPr>
            <w:rFonts w:ascii="arial" w:eastAsia="arial" w:hAnsi="arial" w:cs="arial"/>
            <w:i/>
            <w:color w:val="0077CC"/>
            <w:sz w:val="20"/>
            <w:u w:val="single"/>
            <w:shd w:val="clear" w:color="auto" w:fill="FFFFFF"/>
            <w:lang w:val="en-US" w:eastAsia="en-US" w:bidi="ar-SA"/>
          </w:rPr>
          <w:t>R.S.B.C. 1996, c. 50, s. 4</w:t>
        </w:r>
      </w:hyperlink>
      <w:r>
        <w:rPr>
          <w:rFonts w:ascii="arial" w:eastAsia="arial" w:hAnsi="arial" w:cs="arial"/>
          <w:color w:val="000000"/>
          <w:sz w:val="20"/>
          <w:lang w:val="en-US" w:eastAsia="en-US" w:bidi="ar-SA"/>
        </w:rPr>
        <w:t>, s. 4(1), s. 4(1)(a), s. 4(1)(b), s. 4(1)(c), s. 4(1)(d), s. 4(1)(e), s. 4(1)(e)(ii), s. 4(2), s. 7, s.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Community Charter, </w:t>
      </w:r>
      <w:hyperlink r:id="rId28" w:history="1">
        <w:r>
          <w:rPr>
            <w:rFonts w:ascii="arial" w:eastAsia="arial" w:hAnsi="arial" w:cs="arial"/>
            <w:i/>
            <w:color w:val="0077CC"/>
            <w:sz w:val="20"/>
            <w:u w:val="single"/>
            <w:shd w:val="clear" w:color="auto" w:fill="FFFFFF"/>
            <w:lang w:val="en-US" w:eastAsia="en-US" w:bidi="ar-SA"/>
          </w:rPr>
          <w:t>S.B.C. 2003, c. 26, s. 8</w:t>
        </w:r>
      </w:hyperlink>
      <w:r>
        <w:rPr>
          <w:rFonts w:ascii="arial" w:eastAsia="arial" w:hAnsi="arial" w:cs="arial"/>
          <w:color w:val="000000"/>
          <w:sz w:val="20"/>
          <w:lang w:val="en-US" w:eastAsia="en-US" w:bidi="ar-SA"/>
        </w:rPr>
        <w:t>, s. 16, s. 260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 Act, 1982, s.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Controlled Substances Property Bylaw No. 3833, 2007, s.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Fire Services Act, </w:t>
      </w:r>
      <w:hyperlink r:id="rId29" w:history="1">
        <w:r>
          <w:rPr>
            <w:rFonts w:ascii="arial" w:eastAsia="arial" w:hAnsi="arial" w:cs="arial"/>
            <w:i/>
            <w:color w:val="0077CC"/>
            <w:sz w:val="20"/>
            <w:u w:val="single"/>
            <w:shd w:val="clear" w:color="auto" w:fill="FFFFFF"/>
            <w:lang w:val="en-US" w:eastAsia="en-US" w:bidi="ar-SA"/>
          </w:rPr>
          <w:t>R.S.B.C. 1996, c. 144, s. 21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Local Government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Narcotic Control Act, </w:t>
      </w:r>
      <w:hyperlink r:id="rId30" w:history="1">
        <w:r>
          <w:rPr>
            <w:rFonts w:ascii="arial" w:eastAsia="arial" w:hAnsi="arial" w:cs="arial"/>
            <w:i/>
            <w:color w:val="0077CC"/>
            <w:sz w:val="20"/>
            <w:u w:val="single"/>
            <w:shd w:val="clear" w:color="auto" w:fill="FFFFFF"/>
            <w:lang w:val="en-US" w:eastAsia="en-US" w:bidi="ar-SA"/>
          </w:rPr>
          <w:t>R.S.C. 1985, c. N-1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Residential Tenancy Act, </w:t>
      </w:r>
      <w:hyperlink r:id="rId31" w:history="1">
        <w:r>
          <w:rPr>
            <w:rFonts w:ascii="arial" w:eastAsia="arial" w:hAnsi="arial" w:cs="arial"/>
            <w:i/>
            <w:color w:val="0077CC"/>
            <w:sz w:val="20"/>
            <w:u w:val="single"/>
            <w:shd w:val="clear" w:color="auto" w:fill="FFFFFF"/>
            <w:lang w:val="en-US" w:eastAsia="en-US" w:bidi="ar-SA"/>
          </w:rPr>
          <w:t>S.B.C. 2002, c. 78, s. 28</w:t>
        </w:r>
      </w:hyperlink>
      <w:r>
        <w:rPr>
          <w:rFonts w:ascii="arial" w:eastAsia="arial" w:hAnsi="arial" w:cs="arial"/>
          <w:color w:val="000000"/>
          <w:sz w:val="20"/>
          <w:lang w:val="en-US" w:eastAsia="en-US" w:bidi="ar-SA"/>
        </w:rPr>
        <w: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Safety Standards Act, </w:t>
      </w:r>
      <w:hyperlink r:id="rId32" w:history="1">
        <w:r>
          <w:rPr>
            <w:rFonts w:ascii="arial" w:eastAsia="arial" w:hAnsi="arial" w:cs="arial"/>
            <w:i/>
            <w:color w:val="0077CC"/>
            <w:sz w:val="20"/>
            <w:u w:val="single"/>
            <w:shd w:val="clear" w:color="auto" w:fill="FFFFFF"/>
            <w:lang w:val="en-US" w:eastAsia="en-US" w:bidi="ar-SA"/>
          </w:rPr>
          <w:t>S.B.C. 2003, c. 39, s. 18</w:t>
        </w:r>
      </w:hyperlink>
      <w:r>
        <w:rPr>
          <w:rFonts w:ascii="arial" w:eastAsia="arial" w:hAnsi="arial" w:cs="arial"/>
          <w:color w:val="000000"/>
          <w:sz w:val="20"/>
          <w:lang w:val="en-US" w:eastAsia="en-US" w:bidi="ar-SA"/>
        </w:rPr>
        <w:t>, s. 18(1), s. 19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 w:name="Counsel_1"/>
      <w:bookmarkEnd w:id="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6"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L. Brasil, S.M. Precious.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City of Coquitlam: D. McKnight, T.M. Hoogstraten.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Minister of Justice (British Columbia): B. Sokhansanj, L.Y. Bantourakis.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Attorney General of British Columbia: C. Drake.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 w:name="Judgment_1"/>
      <w:bookmarkEnd w:id="17"/>
      <w:r>
        <w:pict>
          <v:line id="_x0000_s1037"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II: BACKGROUND</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 The Bylaw, the Inspections, and the Surrey Proceedings (Arkinstall v. City of Surrey)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The Plaintiffs'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III: THE LEGAL FRAMEWORK</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IV: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Introduction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The Requirements for Certification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Section 4(1)(a): Do the pleadings disclose a cause of action?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Parties' Positions Discussion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Section 4(1)(b): Is there an identifiable class of two or more persons?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Parties' Position Discussion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Section 4(1)(c): Do the claims raise common issues?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Parties' Position Discussion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Section 4(1)(d): Is a class proceeding the preferable procedure?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Parties' Position Discussion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Section 4(1)(e): Is there a suitable representative plaintiff and an adequate litigation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 Representation of the Class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 Litigation Plan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 CONCLUSION</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SCHEDULE "A"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 w:name="P. ABRIOUX J."/>
            <w:bookmarkEnd w:id="18"/>
            <w:r>
              <w:rPr>
                <w:rFonts w:ascii="arial" w:eastAsia="arial" w:hAnsi="arial" w:cs="arial"/>
                <w:b/>
                <w:color w:val="000000"/>
                <w:sz w:val="30"/>
                <w:lang w:val="en-US" w:eastAsia="en-US" w:bidi="ar-SA"/>
              </w:rPr>
              <w:t>P. ABRIOUX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apply to certify this action as a class proceeding pursuant to section 4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proposed class action arises out of searches of certain properties in the City of Coquitlam ("Coquitlam") allegedly all without warrants between March 22, 2007 and June 29, 2013 (the "Inspections"). The searches were conducted pursuant to Coquitlam's Controlled Substances Property Bylaw No. 3833, 2007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seek damages for trespass and breaches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Part I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xml:space="preserve"> (UK), 1982, c. 11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allegedly arising from the searches conducted pursuant to the Bylaw. The defendants originally named in the proceeding were Coquitlam and the Royal Canadian Mounted Police ("RCMP") as represented by the Minister of Justice (British Columbia), (collectively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Attorney General of British Columbia was added as a party because the plaintiffs challenge the constitutionality of the Bylaw and section 16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the reasons that follow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action was commenced on May 8, 2008. An amended statement of claim was filed on November 20, 2009. A notice of civil claim was filed on August 27, 2013 pursuant to an order made June 20, 2013 with an amended notice of civil claim (the "Amended NOCC") filed on October 24, 2014 pursuant to an order made September 17,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July 19, 2013 the plaintiffs filed a notice of application seeking to certify this proceeding as a class proceeding, with the plaintiffs to be appointed as the Representative plaintiffs (the "Certification Application"). The plaintiffs seek an order defining a single class (the "Class"). I shall refer to the definition of the proposed class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Due to amendments to pleadings and the addition and removal of certain parties, this application was heard in May, June and July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Bylaw, the Inspections, and the Surrey Proceedings (</w:t>
      </w:r>
      <w:r>
        <w:rPr>
          <w:rFonts w:ascii="arial" w:eastAsia="arial" w:hAnsi="arial" w:cs="arial"/>
          <w:b/>
          <w:i/>
          <w:color w:val="000000"/>
          <w:sz w:val="20"/>
          <w:lang w:val="en-US" w:eastAsia="en-US" w:bidi="ar-SA"/>
        </w:rPr>
        <w:t>Arkinstall v. City of Surrey</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Coquitlam enacted the Bylaw to identify and resolve hazardous or unsafe situations caused in property used for controlled substance manufacturing. Specifically, the Bylaw targets marihuana grow operations. It was designed to address the unpermitted and uninspected electrical, plumbing and building alterations typically associated with grow operations that, in Coquitlam's view, substantially increased the risk of fire and electrocution in those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Bylaw's objective was shown in Preamble B:</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Property for the manufacture of Controlled Substances as defined in this Bylaw, has been found to exist within the City of Coquitlam (the "City"), and the existence of such activity is detrimental to the well-being of the City and its residents.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Bylaw provided in section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 of Inspection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Inspector has the right to enter upon any Property in accordance with the provisions of the [Community] Charter for the purpose of inspecting the Property and declaring whether the Property is being used for the manufacture, trade, use, sharing, storage, sale or barter of a Controlled Substance, contains a Hazardous Situation or is otherwise not in compliance with this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Bylaw was enacted pursuant to the provisions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(in particular sections 8, 16, and 260).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Section 16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Authority to enter on or into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(1) This section applies in relation to an authority under this or another Act for a municipality to enter on property.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 may be exercised by officers or employees of the municipality or by other persons authorized by the council.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this section, the authority includes authority to enter on property, and to enter into property, without the consent of the owner or occupier.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the case of an emergency, a person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only exercise the authority at reasonable times and in a reasonable manner,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take reasonable steps to advise the owner or occupier before entering the property.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 may only be used to enter into a place that is occupied as a private dwelling if any of the following applies: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consents;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municipality has given the occupier at least 24 hours' written notice of the entry and the reasons for it;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entry is made under the authority of a warrant under this or another Act;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exercising the authority has reasonable grounds for believing that failure to enter may result in a significant risk to the health or safety of the occupier or other persons;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entry is for a purpose referred to in subsection (6) (a) in relation to regulations, prohibitions or requirements applicable to the place that is being entered.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the matters to which this section applies, a municipality may enter on property for any of the following purposes: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inspect and determine whether all regulations, prohibitions and requirements are being met in relation to any matter for which the council, a municipal officer or employee or a person authorized by the council has exercised authority under this or another Act to regulate, prohibit and impose requirements;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take action authorized under section 17 (1) </w:t>
      </w:r>
      <w:r>
        <w:rPr>
          <w:rFonts w:ascii="arial" w:eastAsia="arial" w:hAnsi="arial" w:cs="arial"/>
          <w:i/>
          <w:color w:val="000000"/>
          <w:sz w:val="20"/>
          <w:lang w:val="en-US" w:eastAsia="en-US" w:bidi="ar-SA"/>
        </w:rPr>
        <w:t>[municipal action at defaulter's expense]</w:t>
      </w: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relation to section 18 </w:t>
      </w:r>
      <w:r>
        <w:rPr>
          <w:rFonts w:ascii="arial" w:eastAsia="arial" w:hAnsi="arial" w:cs="arial"/>
          <w:i/>
          <w:color w:val="000000"/>
          <w:sz w:val="20"/>
          <w:lang w:val="en-US" w:eastAsia="en-US" w:bidi="ar-SA"/>
        </w:rPr>
        <w:t>[authority to discontinue providing a service]</w:t>
      </w:r>
      <w:r>
        <w:rPr>
          <w:rFonts w:ascii="arial" w:eastAsia="arial" w:hAnsi="arial" w:cs="arial"/>
          <w:color w:val="000000"/>
          <w:sz w:val="20"/>
          <w:lang w:val="en-US" w:eastAsia="en-US" w:bidi="ar-SA"/>
        </w:rPr>
        <w:t>, to disconnect or remove the system or works of the service;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assess or inspect in relation to the exercise of authority under section 8 (3)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Section 21 of the </w:t>
      </w:r>
      <w:r>
        <w:rPr>
          <w:rFonts w:ascii="arial" w:eastAsia="arial" w:hAnsi="arial" w:cs="arial"/>
          <w:i/>
          <w:color w:val="000000"/>
          <w:sz w:val="20"/>
          <w:lang w:val="en-US" w:eastAsia="en-US" w:bidi="ar-SA"/>
        </w:rPr>
        <w:t>Fire Services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144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Fire Services Act</w:t>
      </w:r>
      <w:r>
        <w:rPr>
          <w:rFonts w:ascii="arial" w:eastAsia="arial" w:hAnsi="arial" w:cs="arial"/>
          <w:color w:val="000000"/>
          <w:sz w:val="20"/>
          <w:lang w:val="en-US" w:eastAsia="en-US" w:bidi="ar-SA"/>
        </w:rPr>
        <w:t>], on which the defendants also rely,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Inspection of fire hazards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complaint of a person interested or, if believed advisable, without complaint, the fire commissioner and the commissioner's inspectors may at all reasonable hours enter any premises anywhere in British Columbia to inspect them and ascertain whether or not any of the following conditions exist: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premises are in a state of disrepair that a fire starting in them might spread rapidly to endanger life or other property;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premises are so used or occupied that fire would endanger life or property;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combustible or explosive material is kept or other flammable conditions exist on the premises so as to endanger life or property;</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fire hazard exists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Coquitlam established the Public Safety Inspection Program (the "Program") and the Public Safety Inspection Team (the "Team") to identify and resolve hazardous or unsafe situations caused in property used for the manufacturing of a controlled substance.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Team conducted Inspections of properties identified as being at risk of fire- and life-safety hazards related to grow operations. Members of the Team included a licensed electrician, and various Coquitlam building, plumbing, property use and fire safety inspectors. The members of the Team varied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decision to inspect a property depended on a series of underlying decisions made by various members of the Team in response to the particular circumstances of each considered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Coquitlam initiated the majority of the Inspections, 120 Inspections were conducted after the RCMP Marijuana Enforcement Team (the "MET") had executed a search warrant via the criminal process due to RCMP concerns about the safety of the property. In those cases, the MET requested the Team inspect and ensure the property was free from hazards.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For the Inspections not preceded by a MET search, Coquitlam forwarded a list of addresses identified for possible inspection to the RCMP for "de-confliction" and, following that process, Coquitlam decided which properties to inspect pursuant to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De-confliction meant that Coquitlam RCMP queried databases to confirm that an address was not currently subject to a RCMP or police investigation. The de-confliction process also verified whether any known hazards rendered an inspection unsafe, such as if firearms where registered to the property or the registered owner(s), or if the registered owner had a previous record for violence or controlled drugs or substances.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If no conflict was identified, the RCMP advised Coquitlam which then decided whether to proceed with an inspection of that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Not all Team Inspections were initiated by action of Coquitlam or the RCMP. In some cases, the property owner, building manager, or other Coquitlam staff identified hazards in the course of other routine building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From May 2007 to April 2011, the RCMP attended properties with the Team. The Team was typically accompanied by one or two RCMP members on posting day (the day that notice of an intended Team inspection was delivered to the property); and inspection day (the day that the Inspection was carried out). From May 2007 to April 2011 approximately 125 different members from the Coquitlam or other RCMP detachments attended Team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RCMP attended to keep the peace and ensure the safety of Team. The RCMP did not conduct inspections. The RCMP did not, as a general rule, detain any individuals present at the inspected property, nor did they, as a general rule, refuse to allow those individuals to accompany the Team as they inspected. There may have been discrete instances where individuals were detained, depending on the circumstances and, in particular, the presence of any threat to the safety of the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Coquitlam RCMP Detachment's policy as to the duties of attending RCMP members has changed over time:</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April 2007 to October 2008, to ensure that no one was present who might pose a risk to any member of the PSIT, the Coquitlam Detachment of the RCMP's policy provided that RCMP members would enter the building(s) to be inspected upon admission by the homeowner, resident or representative, and before the PSIT conducted its inspection, to check the property to ensure that it was safe for the PSIT to enter. At the time, it was PSIT policy not to conduct the inspection, until it was cleared by the RCMP.</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October 2008 to May 2010, the Coquitlam Detachment's policy was that RCMP members remained outside the building(s) being inspected at all times unless a safety risk was identified.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May 2010 until the present, the Coquitlam Detachment's policy has been that RCMP members must remain outside the property line at all times unless a safety risk is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Because a number of different members attended Team Inspections, each relying on and exercising some degree of individual judgment, the manner in which safety checks occurred varied slightly from property to property. This was the case from April 2007 to October 2008 when safety checks were routinely conducted on inspected properties. From October 2008 onwards, individual judgment also factored into the members' risk assessment and their steps in the face of such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variety of external factors that arose subsequent to the de-confliction process but prior to or while attending the property for posting or inspection also influenced the manner in which a member exercised judgment in relation to a specific property. For example:</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information regarding the registered owner might be discovered between de- confliction and posting or inspection;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information might come to light when attending the address for posting or inspection, such as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resident, identified at the time of posting or inspection, had: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criminal record for violence or controlled substances, or</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firearms registered to them or</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any vehicles located on the property were associated with criminal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All of these circumstances needed to be taken into account in deciding how to conduct a safety sweep and, more generally, what was required to keep the peace and ensure the Team's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Notice was provided to residents and owners of Coquitlam's interest in inspecting their property under the Program in accordance with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For most Inspections, the residents or owners consented to the Inspections, meaning they confirmed the Inspection via telephone after receiving the notice of inspection, and attended the Inspections, or sent representatives as was the case with the plaintiffs. In some cases consent was provided after consultation with legal counsel. It was the Team's standard practice to explain its authority to inspect under the </w:t>
      </w:r>
      <w:r>
        <w:rPr>
          <w:rFonts w:ascii="arial" w:eastAsia="arial" w:hAnsi="arial" w:cs="arial"/>
          <w:i/>
          <w:color w:val="000000"/>
          <w:sz w:val="20"/>
          <w:lang w:val="en-US" w:eastAsia="en-US" w:bidi="ar-SA"/>
        </w:rPr>
        <w:t>Fire Services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and the potential safety threats to the occupants and the neighbours if a potential electrical hazard remained. As the Program evolved, the Team began obtaining written consent to 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For some Inspections, the Team did not enter buildings in which residents lived; instead, it inspected only external barns or sheds, or commercial spaces with no living quarters. In other cases, only basement suites may have been inspected, leaving the upstairs residence without an inspection. This depended on the layout and design of individual buildings, and whether the identified safety issues were isolated or affected the whole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According to the plaintiffs, owners or residents were notified that their properties had been targeted for Inspections by letter from Coquitlam as little as 24-48 hours in advance of the Inspection. In addition Coquitlam represented that its Team had authority pursuant to the Bylaw to enter properties to perform Inspections at any time, and that an owner or resident's failure to contact Coquitlam to schedule an inspection would result in the disconnection of electrical service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If BC Hydro disconnected electrical service to a property, the residents or owners had access to a process for reconnecting power. This process and result was outside Coquitlam's control as BC Hydro managed it and undertook no consultation or direction from Coquitlam.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An Inspection that found significant fire- or life-safety hazards engaged the remediation requirements, tickets, and fees prescribed by the Bylaw. If the Team identified particular hazardous situations, it was empowered to revoke the occupancy permit for a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Under the Bylaw, property owners had the ability to appeal the Team's decision to revoke an occupancy permit to Coquitlam's General Manager of Planning and Development. Of the 582 Inspections conducted by the Team (for the Program and for the MET), 268 resulted in revoked occupancy permits. Owners of only 47 of those properties exercised the Bylaw appeal process. The General Manager reinstated occupancy permits in 12 of those appeals.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Bylaw Enforcement Notices ("Tickets") were issued as a result of the identification of particular hazards. Ticket recipients were able to dispute them and proceed to independent adjudication, or simply pay the Tickets. A majority of Tickets issued pursuant to the Bylaw were not disputed: of the 1141 Tickets issued to persons associated with the Class where the occupancy permit was revoked under the Bylaw, only 317 Tickets were disputed. The independent adjudicator determined that the contraventions alleged in 266 of those Tickets actually occurred, and those Tickets were upheld. The independent adjudicator cancelled 51 Tickets.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purportedly warrantless Inspections authorized by the Bylaw were modelled on similar inspections conducted by the City of Surrey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Those inspections were at issue in the October 24, 2008 decision of this Court in </w:t>
      </w:r>
      <w:r>
        <w:rPr>
          <w:rFonts w:ascii="arial" w:eastAsia="arial" w:hAnsi="arial" w:cs="arial"/>
          <w:i/>
          <w:color w:val="000000"/>
          <w:sz w:val="20"/>
          <w:lang w:val="en-US" w:eastAsia="en-US" w:bidi="ar-SA"/>
        </w:rPr>
        <w:t>Arkinstall v. City of Surrey</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2008 BCSC 1419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BCSC the petitioners sought a variety of remedies including a declaration that certain impugned provisions of the </w:t>
      </w:r>
      <w:r>
        <w:rPr>
          <w:rFonts w:ascii="arial" w:eastAsia="arial" w:hAnsi="arial" w:cs="arial"/>
          <w:i/>
          <w:color w:val="000000"/>
          <w:sz w:val="20"/>
          <w:lang w:val="en-US" w:eastAsia="en-US" w:bidi="ar-SA"/>
        </w:rPr>
        <w:t>Safety Standards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39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SSA</w:t>
      </w:r>
      <w:r>
        <w:rPr>
          <w:rFonts w:ascii="arial" w:eastAsia="arial" w:hAnsi="arial" w:cs="arial"/>
          <w:color w:val="000000"/>
          <w:sz w:val="20"/>
          <w:lang w:val="en-US" w:eastAsia="en-US" w:bidi="ar-SA"/>
        </w:rPr>
        <w:t xml:space="preserve">] be declared of no force and effect since they offended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One of those sections, s. 18, provided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Powers of safety officers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(1) For the purposes of this Act and in the course of performing their duties, safety officers may exercise any or all of the following powers and any other powers assigned to them under the regulations: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issue, suspend or revoke a permit under this Act;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issuing a permit, include terms and conditions;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are reasonable grounds to do so, enter any premises at any reasonable time for the purpose of</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inspecting regulated work, regulated products and records respecting regulated work or regulated products, or</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investigating any incident;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 all regulated products and regulated work found on any premises by a safety officer;...</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that a person provide evidence that this Act and the regulations, and any safety order, compliance order, discipline order or decision of a provincial safety manager, a local safety manager or the appeal board is being, or has been, complied with;</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presence of a person is necessary in respect of a regulated product or regulated work about which the person has particular knowledge, on reasonable notice, require that a person come to a location at a specified time to answer oral or written questions;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that a person produce any record for inspection;</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a person to produce for inspection any licence, permit, other permission, certificate or any other document issued under this Act to the person by the minister or a local government;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temporarily remove a record to copy it;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or after completion of regulated work, require a certificate or affidavit, given by a person recognized by the regulations as having the authority to provide a certificate or affidavit, that the specified regulated work meets the requirements of this Act and the regulations;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 that the appropriate safety manager impose a monetary penalty.</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safety officer may require that a person provide information orally, in writing or by an affidavit.</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any other provision under this Act, a safety officer may refuse to issue or may cancel or suspend any certificate, licence, permit or other permission under this Act if a person is delinquent in the payment of any fee, penalty or other money owed under this Act.</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safety officer considers that it is necessary to take immediate action in order to prevent, avoid or reduce a risk of personal injury or damage to property and there is no person who could carry out the action, a safety officer may take the necessary action and issue any safety order that could be made by a safety manager under section 31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BCSC arose from an electrical inspection of the petitioners' property which was to be performed in May 2007 by Surrey's Electrical and Fire Safety Inspection Team (the "EFSI Team") pursuant to the </w:t>
      </w:r>
      <w:r>
        <w:rPr>
          <w:rFonts w:ascii="arial" w:eastAsia="arial" w:hAnsi="arial" w:cs="arial"/>
          <w:i/>
          <w:color w:val="000000"/>
          <w:sz w:val="20"/>
          <w:lang w:val="en-US" w:eastAsia="en-US" w:bidi="ar-SA"/>
        </w:rPr>
        <w:t>SSA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petitioners' residence had been identified for inspection due to high electricity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EFSI Team was composed of a safety officer, a fire official, two RCMP officers, and the Team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Arkinstall advised the members of the EFSI Team that the safety officer and fire officials were permitted to enter his residence, but he refused entry to the RCMP officers unless they had a warrant. As it was the policy of the EFSI Team not to enter a residence without the police members first undertaking a safety check of the premises, the EFSI Team left the property without conducting an inspection. As a result, Surrey requested BC Hydro disconnect the electrical power to the petitioners'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electricity was reconnected a number of days later pursuant to an interlocutory injunction ordered by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Justice Smart found that the </w:t>
      </w:r>
      <w:r>
        <w:rPr>
          <w:rFonts w:ascii="arial" w:eastAsia="arial" w:hAnsi="arial" w:cs="arial"/>
          <w:i/>
          <w:color w:val="000000"/>
          <w:sz w:val="20"/>
          <w:lang w:val="en-US" w:eastAsia="en-US" w:bidi="ar-SA"/>
        </w:rPr>
        <w:t>SSA</w:t>
      </w:r>
      <w:r>
        <w:rPr>
          <w:rFonts w:ascii="arial" w:eastAsia="arial" w:hAnsi="arial" w:cs="arial"/>
          <w:color w:val="000000"/>
          <w:sz w:val="20"/>
          <w:lang w:val="en-US" w:eastAsia="en-US" w:bidi="ar-SA"/>
        </w:rPr>
        <w:t xml:space="preserve"> provisions authorizing residential electrical safety inspections did not violate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since: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[194] ... [the] inspections are of a regulated service that can present a danger to both occupants of a residence and their neighbours. They are driven by safety, as opposed to criminal law, objectives, and require both reasonable grounds and notice to the occupant. In my view, the </w:t>
      </w:r>
      <w:r>
        <w:rPr>
          <w:rFonts w:ascii="arial" w:eastAsia="arial" w:hAnsi="arial" w:cs="arial"/>
          <w:i/>
          <w:color w:val="000000"/>
          <w:sz w:val="20"/>
          <w:lang w:val="en-US" w:eastAsia="en-US" w:bidi="ar-SA"/>
        </w:rPr>
        <w:t>SSA</w:t>
      </w:r>
      <w:r>
        <w:rPr>
          <w:rFonts w:ascii="arial" w:eastAsia="arial" w:hAnsi="arial" w:cs="arial"/>
          <w:color w:val="000000"/>
          <w:sz w:val="20"/>
          <w:lang w:val="en-US" w:eastAsia="en-US" w:bidi="ar-SA"/>
        </w:rPr>
        <w:t xml:space="preserve"> strikes a reasonable balance between administrative efficiency and individual privacy, such that its provisions authorizing electrical safety inspections are reasonable for the purposes of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[195] However, in the circumstances of the present case, I find that the police did not have authority, either pursuant to statute or at common law, to enter and search the petitioners' residence in aid of the EFSI Team inspection without a warrant. Accordingly, the disconnection of electrical power to the petitioners' residence consequent upon their refusal to permit the police entry was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On May 20, 2010, a five justice division of the British Columbia Court of Appeal found that the warrantless inspections conducted by Surrey were unlawful: </w:t>
      </w:r>
      <w:r>
        <w:rPr>
          <w:rFonts w:ascii="arial" w:eastAsia="arial" w:hAnsi="arial" w:cs="arial"/>
          <w:i/>
          <w:color w:val="000000"/>
          <w:sz w:val="20"/>
          <w:lang w:val="en-US" w:eastAsia="en-US" w:bidi="ar-SA"/>
        </w:rPr>
        <w:t>Arkinstall v. City of Surrey</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BCCA 250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BCCA]. In particular, the Court of Appeal concluded that those inspections breached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Plaintiffs' Circumstances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Nicola Monaco ("Mr. Monaco") and Tammy Marie Joseph ("Ms. Joseph") were an owner and resident respectively of the property at 368 Seaforth Crescent, Coquitlam, British Columbia (the "Property"). At all material times, Ms. Joseph was the occupant of the Property and Mr. Monaco was her landlord. Mr. Monaco did not reside at the Property, although he did attend from time to time to perform maintenance and other duties associated with being a landlord and owner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May 7, 2007, Coquitlam received residential electricity information for the Property from BC Hydro showing sustained, significant, and abnormal excessive electricity consumption from October 2005 to February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Coquitlam reviewed its records, looking for explanations of the excessive consumption, or reasons to disqualify the Property from further review. No justifications could be identified. A drive-by was conducted, but nothing seemed to explain the excessive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March 26, 2008, the Team delivered a letter at the Property, giving notice that the Property was scheduled to be inspected. The letter requested that the owners contact Coquitlam within 24 hours to confirm the intended inspection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themselves did not attend the Inspection, but Anna Monaco ("Ms. Monaco"), an agent for Ms. Joseph and a co-owner of the Property attended the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During the Inspection the Team found numerous indicia of a grow operation and fire- and life-safety hazards. In particular, the main electrical panel appeared modified. Scorch marks and a heat-deformed insulator suggested an electrical hazard and significant electrocution or fire threat. Within the circuit feeders in the panel were burnt conductors and two breakers too large for the gauge of wire connected. Also, in the side of the panel was a missing knockout.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plumbing system had also been modified. The modifications appeared to be designed to provide water drainage for a room in the unfinished basement. In the floor of the unfinished room in the basement was a plumbing stack severed near the slab. This severing of the stack would allow sewer gas to enter the house and is both an explosion and health hazard. No record of a permit being issued for the plumbing modifications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Modifications of this nature pose potential safety risks as they can create cross connections between the sewer lines and the potable water entering the property from the municipal works. Based on the results of the Inspection, the Team decided that significant fire- and life-safety hazards in the Property amounted to a hazardous situation and further action would need to be taken. On March 27, 2008, Coquitlam requested BC Hydro to disconnect electrical services to the Property by reason of potential electrical hazards.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Monaco was then advised that the occupancy permit for the Property was revoked pursuant to the Bylaw. She was issued two Tickets under the Bylaw totalling $1,000, which she paid notwithstanding the fact there was an independent dispute process available. She was also assessed a $5,000 Special Safety Inspection Fee, which she then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According to the plaintiffs, the Inspection did not reveal a marihuana growing operation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Team identified the potential health, safety, and Bylaw issues and required the owners to remedy certain matters and/or provide certifications confirming safety before the occupancy permit would be reinstated.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Coquitlam also added the Property to a list of properties, known as the "Grow Op Registry" which it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April 1, 2008, Coquitlam received a letter from Ms. Monaco requesting a reconsideration of the Team's determination to revoke the occupancy permit. Coquitlam did not reinstate the occupancy permit at that time, although in October 2010, Coquitlam agreed to reinstate the occupancy permit and refund the inspection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allege that the Inspections have resulted in very serious consequences for the residents of the homes and homeowners. Aside from the extremely intrusive search and the stigma associated to it, residents and homeowners accumulated many additional costs or expenses, including for revocation of occupancy permits, securing alternate accommodation, rental losses, fines and fees, and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LEGAL FRAMEWORK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Section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sets out the requirements for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The court must certify a proceeding as a class proceeding on an application under section 2 or 3 if all of the following requirements are met: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Section 4(2) directs the court to consider all relevant matters "[i]n determining whether a class proceeding would be the preferable procedure for the fair and efficient resolution of the common issues". This includes:</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Pursuant to s. 7, the court must not refuse to certify a proceeding merely because of one or more of the following:</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includes a claim for damages that would require individual assessment after determination of the common issues;</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relates to separate contracts involving different class members;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different remedies are sought for different class members;</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class members or the identity of each class member is not known;</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includes a subclass whose members have claims that raise common issues not shared by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should be construed generously. In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McLachlin C.J.C. described three important advantages of class actions: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by aggregating similar individual actions, class actions serve judicial economy by avoiding unnecessary duplication in fact-finding and legal analysis. Second, by distributing fixed litigation costs amongst a large number of class members, class actions improve access to justice by making economical the prosecution of claims that any one class member would find too costly to prosecute on his or her own. Third, class actions serve efficiency and justice by ensuring that actual and potential wrongdoers modify their behaviour to take full account of the harm they are causing, or might cause,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At the certification stage the question is whether the matter is appropriately prosecuted as a class action, not whether the claim is likely to succeed: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16. Merits are not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Beyond the requirement that the pleadings disclose a cause of action, the plaintiffs, through the Class representatives, must establish some basis in fact from admissible evidence for each of the requirements in s. 4(1)(b) to (e). See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Ernewein v. General Motors of Canada Ltd</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2005 BCCA 540</w:t>
        </w:r>
      </w:hyperlink>
      <w:r>
        <w:rPr>
          <w:rFonts w:ascii="arial" w:eastAsia="arial" w:hAnsi="arial" w:cs="arial"/>
          <w:color w:val="000000"/>
          <w:sz w:val="20"/>
          <w:lang w:val="en-US" w:eastAsia="en-US" w:bidi="ar-SA"/>
        </w:rPr>
        <w:t xml:space="preserve"> at para. 25, leave to appeal ref'd </w:t>
      </w:r>
      <w:hyperlink r:id="rId37" w:history="1">
        <w:r>
          <w:rPr>
            <w:rFonts w:ascii="arial" w:eastAsia="arial" w:hAnsi="arial" w:cs="arial"/>
            <w:i/>
            <w:color w:val="0077CC"/>
            <w:sz w:val="20"/>
            <w:u w:val="single"/>
            <w:shd w:val="clear" w:color="auto" w:fill="FFFFFF"/>
            <w:lang w:val="en-US" w:eastAsia="en-US" w:bidi="ar-SA"/>
          </w:rPr>
          <w:t>[2005] SCCA No. 545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Arora v. Whirlpool Canada LP</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2012 ONSC 4642</w:t>
        </w:r>
      </w:hyperlink>
      <w:r>
        <w:rPr>
          <w:rFonts w:ascii="arial" w:eastAsia="arial" w:hAnsi="arial" w:cs="arial"/>
          <w:color w:val="000000"/>
          <w:sz w:val="20"/>
          <w:lang w:val="en-US" w:eastAsia="en-US" w:bidi="ar-SA"/>
        </w:rPr>
        <w:t xml:space="preserve"> at para. 108, aff'd </w:t>
      </w:r>
      <w:hyperlink r:id="rId39" w:history="1">
        <w:r>
          <w:rPr>
            <w:rFonts w:ascii="arial" w:eastAsia="arial" w:hAnsi="arial" w:cs="arial"/>
            <w:i/>
            <w:color w:val="0077CC"/>
            <w:sz w:val="20"/>
            <w:u w:val="single"/>
            <w:shd w:val="clear" w:color="auto" w:fill="FFFFFF"/>
            <w:lang w:val="en-US" w:eastAsia="en-US" w:bidi="ar-SA"/>
          </w:rPr>
          <w:t>2013 ONCA 657</w:t>
        </w:r>
      </w:hyperlink>
      <w:r>
        <w:rPr>
          <w:rFonts w:ascii="arial" w:eastAsia="arial" w:hAnsi="arial" w:cs="arial"/>
          <w:color w:val="000000"/>
          <w:sz w:val="20"/>
          <w:lang w:val="en-US" w:eastAsia="en-US" w:bidi="ar-SA"/>
        </w:rPr>
        <w:t xml:space="preserve">, leave to appeal ref'd </w:t>
      </w:r>
      <w:hyperlink r:id="rId40" w:history="1">
        <w:r>
          <w:rPr>
            <w:rFonts w:ascii="arial" w:eastAsia="arial" w:hAnsi="arial" w:cs="arial"/>
            <w:i/>
            <w:color w:val="0077CC"/>
            <w:sz w:val="20"/>
            <w:u w:val="single"/>
            <w:shd w:val="clear" w:color="auto" w:fill="FFFFFF"/>
            <w:lang w:val="en-US" w:eastAsia="en-US" w:bidi="ar-SA"/>
          </w:rPr>
          <w:t>[2013] S.C.C.A. No. 498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Arora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Martin v. Astrazeneca Pharmaceuticals PLC</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2012 ONSC 2744</w:t>
        </w:r>
      </w:hyperlink>
      <w:r>
        <w:rPr>
          <w:rFonts w:ascii="arial" w:eastAsia="arial" w:hAnsi="arial" w:cs="arial"/>
          <w:color w:val="000000"/>
          <w:sz w:val="20"/>
          <w:lang w:val="en-US" w:eastAsia="en-US" w:bidi="ar-SA"/>
        </w:rPr>
        <w:t xml:space="preserve"> at paras. 21-23, (Sup. Ct.), aff'd </w:t>
      </w:r>
      <w:hyperlink r:id="rId42" w:history="1">
        <w:r>
          <w:rPr>
            <w:rFonts w:ascii="arial" w:eastAsia="arial" w:hAnsi="arial" w:cs="arial"/>
            <w:i/>
            <w:color w:val="0077CC"/>
            <w:sz w:val="20"/>
            <w:u w:val="single"/>
            <w:shd w:val="clear" w:color="auto" w:fill="FFFFFF"/>
            <w:lang w:val="en-US" w:eastAsia="en-US" w:bidi="ar-SA"/>
          </w:rPr>
          <w:t>2013 ONSC 1169</w:t>
        </w:r>
      </w:hyperlink>
      <w:r>
        <w:rPr>
          <w:rFonts w:ascii="arial" w:eastAsia="arial" w:hAnsi="arial" w:cs="arial"/>
          <w:color w:val="000000"/>
          <w:sz w:val="20"/>
          <w:lang w:val="en-US" w:eastAsia="en-US" w:bidi="ar-SA"/>
        </w:rPr>
        <w:t xml:space="preserve"> (Div.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burden on the plaintiffs is light. The court must not weigh competing evidence. Rather it must consider only whether the evidence provides some basis that supports the plaintiffs' assertions. In </w:t>
      </w:r>
      <w:r>
        <w:rPr>
          <w:rFonts w:ascii="arial" w:eastAsia="arial" w:hAnsi="arial" w:cs="arial"/>
          <w:i/>
          <w:color w:val="000000"/>
          <w:sz w:val="20"/>
          <w:lang w:val="en-US" w:eastAsia="en-US" w:bidi="ar-SA"/>
        </w:rPr>
        <w:t>Arora</w:t>
      </w:r>
      <w:r>
        <w:rPr>
          <w:rFonts w:ascii="arial" w:eastAsia="arial" w:hAnsi="arial" w:cs="arial"/>
          <w:color w:val="000000"/>
          <w:sz w:val="20"/>
          <w:lang w:val="en-US" w:eastAsia="en-US" w:bidi="ar-SA"/>
        </w:rPr>
        <w:t xml:space="preserve"> at paras. 109-110, Justice Perrell summarized this issue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[109] The class representative must come forward with sufficient evidence to support certification, and the opposing party may respond with evidence of its own to challenge certification: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at para. 22. Certification will be denied if there is an insufficient evidentiary basis for the facts on which the claims of the class members depend: </w:t>
      </w:r>
      <w:r>
        <w:rPr>
          <w:rFonts w:ascii="arial" w:eastAsia="arial" w:hAnsi="arial" w:cs="arial"/>
          <w:i/>
          <w:color w:val="000000"/>
          <w:sz w:val="20"/>
          <w:lang w:val="en-US" w:eastAsia="en-US" w:bidi="ar-SA"/>
        </w:rPr>
        <w:t>Williams v. Canon Canada Inc</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2011 ONSC 6571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Chadha v. Bayer Inc</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(2003), 63 O.R. (3d) 22</w:t>
        </w:r>
      </w:hyperlink>
      <w:r>
        <w:rPr>
          <w:rFonts w:ascii="arial" w:eastAsia="arial" w:hAnsi="arial" w:cs="arial"/>
          <w:color w:val="000000"/>
          <w:sz w:val="20"/>
          <w:lang w:val="en-US" w:eastAsia="en-US" w:bidi="ar-SA"/>
        </w:rPr>
        <w:t xml:space="preserve"> (C.A.), leave to appeal to S.C.C. ref'd </w:t>
      </w:r>
      <w:hyperlink r:id="rId45" w:history="1">
        <w:r>
          <w:rPr>
            <w:rFonts w:ascii="arial" w:eastAsia="arial" w:hAnsi="arial" w:cs="arial"/>
            <w:i/>
            <w:color w:val="0077CC"/>
            <w:sz w:val="20"/>
            <w:u w:val="single"/>
            <w:shd w:val="clear" w:color="auto" w:fill="FFFFFF"/>
            <w:lang w:val="en-US" w:eastAsia="en-US" w:bidi="ar-SA"/>
          </w:rPr>
          <w:t>[2003] S.C.C.A. No. 106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Ernewein v. General Motors of Canada Ltd.,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Taub v. Manufacturers Life Insurance Co., </w:t>
      </w:r>
      <w:hyperlink r:id="rId46" w:history="1">
        <w:r>
          <w:rPr>
            <w:rFonts w:ascii="arial" w:eastAsia="arial" w:hAnsi="arial" w:cs="arial"/>
            <w:i/>
            <w:color w:val="0077CC"/>
            <w:sz w:val="20"/>
            <w:u w:val="single"/>
            <w:shd w:val="clear" w:color="auto" w:fill="FFFFFF"/>
            <w:lang w:val="en-US" w:eastAsia="en-US" w:bidi="ar-SA"/>
          </w:rPr>
          <w:t>[1998] O.J. No. 2694</w:t>
        </w:r>
      </w:hyperlink>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[110] On a certification motion, evidence directed at the merits may be admissible if it also bears on the requirements for certification but, in such cases, the issues are not decided on the basis of a balance of probabilities but rather on that of the applicable much less stringent test of "some basis in fact": </w:t>
      </w:r>
      <w:r>
        <w:rPr>
          <w:rFonts w:ascii="arial" w:eastAsia="arial" w:hAnsi="arial" w:cs="arial"/>
          <w:i/>
          <w:color w:val="000000"/>
          <w:sz w:val="20"/>
          <w:lang w:val="en-US" w:eastAsia="en-US" w:bidi="ar-SA"/>
        </w:rPr>
        <w:t>Hollick v. Toronto (City), supra at</w:t>
      </w:r>
      <w:r>
        <w:rPr>
          <w:rFonts w:ascii="arial" w:eastAsia="arial" w:hAnsi="arial" w:cs="arial"/>
          <w:color w:val="000000"/>
          <w:sz w:val="20"/>
          <w:lang w:val="en-US" w:eastAsia="en-US" w:bidi="ar-SA"/>
        </w:rPr>
        <w:t xml:space="preserve"> paras. 16-26; </w:t>
      </w:r>
      <w:r>
        <w:rPr>
          <w:rFonts w:ascii="arial" w:eastAsia="arial" w:hAnsi="arial" w:cs="arial"/>
          <w:i/>
          <w:color w:val="000000"/>
          <w:sz w:val="20"/>
          <w:lang w:val="en-US" w:eastAsia="en-US" w:bidi="ar-SA"/>
        </w:rPr>
        <w:t>Cloud v. Canada</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[2004] O.J. No. 4924</w:t>
        </w:r>
      </w:hyperlink>
      <w:r>
        <w:rPr>
          <w:rFonts w:ascii="arial" w:eastAsia="arial" w:hAnsi="arial" w:cs="arial"/>
          <w:color w:val="000000"/>
          <w:sz w:val="20"/>
          <w:lang w:val="en-US" w:eastAsia="en-US" w:bidi="ar-SA"/>
        </w:rPr>
        <w:t xml:space="preserve"> (C.A.), at para.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As Justice Fisher noted in </w:t>
      </w:r>
      <w:r>
        <w:rPr>
          <w:rFonts w:ascii="arial" w:eastAsia="arial" w:hAnsi="arial" w:cs="arial"/>
          <w:i/>
          <w:color w:val="000000"/>
          <w:sz w:val="20"/>
          <w:lang w:val="en-US" w:eastAsia="en-US" w:bidi="ar-SA"/>
        </w:rPr>
        <w:t>Marshall v. United Furniture Warehouse Limited Partnership</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2013 BCSC 2050</w:t>
        </w:r>
      </w:hyperlink>
      <w:r>
        <w:rPr>
          <w:rFonts w:ascii="arial" w:eastAsia="arial" w:hAnsi="arial" w:cs="arial"/>
          <w:color w:val="000000"/>
          <w:sz w:val="20"/>
          <w:lang w:val="en-US" w:eastAsia="en-US" w:bidi="ar-SA"/>
        </w:rPr>
        <w:t xml:space="preserve"> at paras. 54-55, aff'd </w:t>
      </w:r>
      <w:hyperlink r:id="rId49" w:history="1">
        <w:r>
          <w:rPr>
            <w:rFonts w:ascii="arial" w:eastAsia="arial" w:hAnsi="arial" w:cs="arial"/>
            <w:i/>
            <w:color w:val="0077CC"/>
            <w:sz w:val="20"/>
            <w:u w:val="single"/>
            <w:shd w:val="clear" w:color="auto" w:fill="FFFFFF"/>
            <w:lang w:val="en-US" w:eastAsia="en-US" w:bidi="ar-SA"/>
          </w:rPr>
          <w:t>2015 BCCA 252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The statement, "evidence directed at the merits may be admissible if it also bears on the requirements for certification" requires some comment. Where the defendants adduce evidence to challenge certification, as they have done here, it is proper for the court to scrutinize the plaintiffs' evidence by reference to the defendants' evidence but care must be taken not to engage in an impermissible weighing of the evidence: see </w:t>
      </w:r>
      <w:r>
        <w:rPr>
          <w:rFonts w:ascii="arial" w:eastAsia="arial" w:hAnsi="arial" w:cs="arial"/>
          <w:i/>
          <w:color w:val="000000"/>
          <w:sz w:val="20"/>
          <w:lang w:val="en-US" w:eastAsia="en-US" w:bidi="ar-SA"/>
        </w:rPr>
        <w:t>Martin v Astrazeneca Pharmaceuticals PLC</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2012 ONSC 2744</w:t>
        </w:r>
      </w:hyperlink>
      <w:r>
        <w:rPr>
          <w:rFonts w:ascii="arial" w:eastAsia="arial" w:hAnsi="arial" w:cs="arial"/>
          <w:color w:val="000000"/>
          <w:sz w:val="20"/>
          <w:lang w:val="en-US" w:eastAsia="en-US" w:bidi="ar-SA"/>
        </w:rPr>
        <w:t xml:space="preserve"> at paras. 38-39; </w:t>
      </w:r>
      <w:hyperlink r:id="rId42" w:history="1">
        <w:r>
          <w:rPr>
            <w:rFonts w:ascii="arial" w:eastAsia="arial" w:hAnsi="arial" w:cs="arial"/>
            <w:i/>
            <w:color w:val="0077CC"/>
            <w:sz w:val="20"/>
            <w:u w:val="single"/>
            <w:shd w:val="clear" w:color="auto" w:fill="FFFFFF"/>
            <w:lang w:val="en-US" w:eastAsia="en-US" w:bidi="ar-SA"/>
          </w:rPr>
          <w:t>2013 ONSC 1169</w:t>
        </w:r>
      </w:hyperlink>
      <w:r>
        <w:rPr>
          <w:rFonts w:ascii="arial" w:eastAsia="arial" w:hAnsi="arial" w:cs="arial"/>
          <w:color w:val="000000"/>
          <w:sz w:val="20"/>
          <w:lang w:val="en-US" w:eastAsia="en-US" w:bidi="ar-SA"/>
        </w:rPr>
        <w:t xml:space="preserve"> (Div. Ct.) at paras. 7-9.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In essence the court acts as a gatekeeper and must consider all of the admissible evidence and decide if the criteria for certification are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DISCUSSION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Fisher J. commented at para. 58 that pleadings failing to disclose material facts or sufficient particulars can make certification assessment difficult. She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As Kirkpatrick J. (as she then was) said in </w:t>
      </w:r>
      <w:r>
        <w:rPr>
          <w:rFonts w:ascii="arial" w:eastAsia="arial" w:hAnsi="arial" w:cs="arial"/>
          <w:i/>
          <w:color w:val="000000"/>
          <w:sz w:val="20"/>
          <w:lang w:val="en-US" w:eastAsia="en-US" w:bidi="ar-SA"/>
        </w:rPr>
        <w:t>L.R. v. British Columbia (sub nom Rumley v. British Columbia)</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(1998), 65 B.C.L.R. (3d) 382</w:t>
        </w:r>
      </w:hyperlink>
      <w:r>
        <w:rPr>
          <w:rFonts w:ascii="arial" w:eastAsia="arial" w:hAnsi="arial" w:cs="arial"/>
          <w:color w:val="000000"/>
          <w:sz w:val="20"/>
          <w:lang w:val="en-US" w:eastAsia="en-US" w:bidi="ar-SA"/>
        </w:rPr>
        <w:t xml:space="preserve"> (S.C.) at para. 23, rev'd on other grounds </w:t>
      </w:r>
      <w:hyperlink r:id="rId51" w:history="1">
        <w:r>
          <w:rPr>
            <w:rFonts w:ascii="arial" w:eastAsia="arial" w:hAnsi="arial" w:cs="arial"/>
            <w:i/>
            <w:color w:val="0077CC"/>
            <w:sz w:val="20"/>
            <w:u w:val="single"/>
            <w:shd w:val="clear" w:color="auto" w:fill="FFFFFF"/>
            <w:lang w:val="en-US" w:eastAsia="en-US" w:bidi="ar-SA"/>
          </w:rPr>
          <w:t>1999 BCCA 689</w:t>
        </w:r>
      </w:hyperlink>
      <w:r>
        <w:rPr>
          <w:rFonts w:ascii="arial" w:eastAsia="arial" w:hAnsi="arial" w:cs="arial"/>
          <w:color w:val="000000"/>
          <w:sz w:val="20"/>
          <w:lang w:val="en-US" w:eastAsia="en-US" w:bidi="ar-SA"/>
        </w:rPr>
        <w:t xml:space="preserve">, aff'd </w:t>
      </w:r>
      <w:hyperlink r:id="rId52"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recognize that, in an application to certify a class action, the question of particulars is significant because the court is required to assess the suitability of the action as a class action. That exercise requires information traditionally supplied through particulars - the nature of the case and issues to be tried - as well as whether, in the words of s. 4(2)(a) of the Act, "questions of fact or law common to the members of the class predominate over any questions affecting only individual members." That assessment cannot be made in an information vacuum.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For the reasons I shall set out below, much of what was said in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applies on this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recognize that class proceedings are amenable to refinement as they progress. However, the plaintiffs are in effect proceeding in what I shall term a "grant certification now and we'll cross that bridge when we get to it" approach as they attempt to respond to the substantive arguments raised by the defendants in opposition to certification. That is particularly problematic in this case since much of what the plaintiffs would prefer to leave to a later date goes to the root of the certification requirements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 will now turn to each of the requirements set out in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Requirements for Certification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Section 4(1)(a): Do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principles that apply to the first requirement are well known and were summarized by Justice G.C. Weatherill in </w:t>
      </w:r>
      <w:r>
        <w:rPr>
          <w:rFonts w:ascii="arial" w:eastAsia="arial" w:hAnsi="arial" w:cs="arial"/>
          <w:i/>
          <w:color w:val="000000"/>
          <w:sz w:val="20"/>
          <w:lang w:val="en-US" w:eastAsia="en-US" w:bidi="ar-SA"/>
        </w:rPr>
        <w:t>Ileman v. Rogers Communications Inc.</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2014 BCSC 1002</w:t>
        </w:r>
      </w:hyperlink>
      <w:r>
        <w:rPr>
          <w:rFonts w:ascii="arial" w:eastAsia="arial" w:hAnsi="arial" w:cs="arial"/>
          <w:color w:val="000000"/>
          <w:sz w:val="20"/>
          <w:lang w:val="en-US" w:eastAsia="en-US" w:bidi="ar-SA"/>
        </w:rPr>
        <w:t xml:space="preserve"> at paras. 45-46, aff'd </w:t>
      </w:r>
      <w:hyperlink r:id="rId54" w:history="1">
        <w:r>
          <w:rPr>
            <w:rFonts w:ascii="arial" w:eastAsia="arial" w:hAnsi="arial" w:cs="arial"/>
            <w:i/>
            <w:color w:val="0077CC"/>
            <w:sz w:val="20"/>
            <w:u w:val="single"/>
            <w:shd w:val="clear" w:color="auto" w:fill="FFFFFF"/>
            <w:lang w:val="en-US" w:eastAsia="en-US" w:bidi="ar-SA"/>
          </w:rPr>
          <w:t>2015 BCCA 260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 4(1)(a) requirement that the pleadings disclose a cause of action is assessed on the same standard as on a motion to strike pleadings under Rule 9-5(1)(a)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The pleadings survive unless it is plain and obvious that the claim cannot succeed. The facts pleaded are assumed to be true unless they are patently unreasonable or incapable of proof: </w:t>
      </w:r>
      <w:r>
        <w:rPr>
          <w:rFonts w:ascii="arial" w:eastAsia="arial" w:hAnsi="arial" w:cs="arial"/>
          <w:i/>
          <w:color w:val="000000"/>
          <w:sz w:val="20"/>
          <w:lang w:val="en-US" w:eastAsia="en-US" w:bidi="ar-SA"/>
        </w:rPr>
        <w:t>Watson v. Bank of America Corporation</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2014 BCSC 532</w:t>
        </w:r>
      </w:hyperlink>
      <w:r>
        <w:rPr>
          <w:rFonts w:ascii="arial" w:eastAsia="arial" w:hAnsi="arial" w:cs="arial"/>
          <w:color w:val="000000"/>
          <w:sz w:val="20"/>
          <w:lang w:val="en-US" w:eastAsia="en-US" w:bidi="ar-SA"/>
        </w:rPr>
        <w:t xml:space="preserve"> at para. 60.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Notwithstanding the foregoing, a plaintiff must clearly plead the facts relied upon for the claim. If the plaintiff has not made out a legal claim, then there is no utility in a class proceeding: </w:t>
      </w:r>
      <w:r>
        <w:rPr>
          <w:rFonts w:ascii="arial" w:eastAsia="arial" w:hAnsi="arial" w:cs="arial"/>
          <w:i/>
          <w:color w:val="000000"/>
          <w:sz w:val="20"/>
          <w:lang w:val="en-US" w:eastAsia="en-US" w:bidi="ar-SA"/>
        </w:rPr>
        <w:t>MacFarlane v. United Parcel Service Canada Ltd</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2010 BCCA 171</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Nor should a claim be struck merely because it is novel or complex: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w:t>
      </w:r>
      <w:r>
        <w:rPr>
          <w:rFonts w:ascii="arial" w:eastAsia="arial" w:hAnsi="arial" w:cs="arial"/>
          <w:i/>
          <w:color w:val="000000"/>
          <w:sz w:val="20"/>
          <w:lang w:val="en-US" w:eastAsia="en-US" w:bidi="ar-SA"/>
        </w:rPr>
        <w:t>49 B.C.L.R. (2d) 273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Although the plaintiffs advance claims for breaches of both s. 7 and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they are only seeking to certify the s. 8 claims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Their position is that the Amended NOCC pleads the requisite elements of the causes of action of breach of s. 8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and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Specifically it pleads that:</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conducted intrusive warrantless searches of their home and of the homes of other proposed class members;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warrantless searches are prima facie unreasonable;</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warrantless searches were conducted under the purported authority of the Bylaw; and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Bylaw is unreasonable or, in the alternative is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They point to </w:t>
      </w:r>
      <w:r>
        <w:rPr>
          <w:rFonts w:ascii="arial" w:eastAsia="arial" w:hAnsi="arial" w:cs="arial"/>
          <w:i/>
          <w:color w:val="000000"/>
          <w:sz w:val="20"/>
          <w:lang w:val="en-US" w:eastAsia="en-US" w:bidi="ar-SA"/>
        </w:rPr>
        <w:t>Monaco v. City of Coquitlam</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2009 BCSC 141</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Monaco</w:t>
      </w:r>
      <w:r>
        <w:rPr>
          <w:rFonts w:ascii="arial" w:eastAsia="arial" w:hAnsi="arial" w:cs="arial"/>
          <w:color w:val="000000"/>
          <w:sz w:val="20"/>
          <w:lang w:val="en-US" w:eastAsia="en-US" w:bidi="ar-SA"/>
        </w:rPr>
        <w:t xml:space="preserve"> Stay Decision") in which the court held the injunction application disclosed a serious issue to be tried. They submit this is "virtually dispositive of any assertion that the pleadings disclose no cause of action". They also say that material facts have been sufficiently plead to satisfy the low threshold they are required to meet in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 4(1)(a).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Central to the plaintiffs' submission is that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BCCA and this case are "apples and apples". That is because the Court of Appeal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[94] To the extent that ss. 18(1) and 19.3(1) of the SSA authorize the warrantless entry and inspection of residential premises for the regulatory purpose of inspecting electrical systems for safety risks that may be related to marihuana grow-operations, they infringe the appellants' rights under s. 8 of the Charter of Rights and Freedoms.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They also point to Coquitlam's failure to obtain an administrative warrant. This issue was canvassed by the Court of Appeal in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BCCA. In that case, the court found that the sufficient length of the notice period, the lower threshold of "reasonable grounds" required for warrants under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past efficiency and willingness of EFSI Team members in obtaining warrants all suggested obtaining a warrant was feasible: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BCCA at paras. 82-86.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Accordingly, the plaintiffs say that the claim for breach of s. 8 rights in this case is not bound to fail. All members of the proposed Class had a reasonable expectation of privacy and none of the searches were authorized by law in accordance with </w:t>
      </w:r>
      <w:r>
        <w:rPr>
          <w:rFonts w:ascii="arial" w:eastAsia="arial" w:hAnsi="arial" w:cs="arial"/>
          <w:i/>
          <w:color w:val="000000"/>
          <w:sz w:val="20"/>
          <w:lang w:val="en-US" w:eastAsia="en-US" w:bidi="ar-SA"/>
        </w:rPr>
        <w:t>R. v. Edwards</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[1996] 1 S.C.R. 128</w:t>
        </w:r>
      </w:hyperlink>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132 D.L.R. (4th) 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cited to S.C.R.]. Since, according to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BCCA, each warrantless inspection conducted pursuant to an alleged illegal bylaw was unlawful, an individual assessment of what occurred in each case was not required. The plaintiffs claim this should be dispositive of the s. 4(1)(a) requirement and make this proceeding ideally suited for determination as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They also plead in the Amended NOCC that:</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the conduct of Defendants in conducting and supporting the warrantless Class Inspections which they knew or should have known were in breach of the Class members' Charter rights was clearly wrong, an abuse or process and/or done in bad faith, in particular after the commencement of the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Challenge, and the decision of the British Columbia Court of Appeal on May 20.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their written submission, the plaintiffs say that the tort of trespass occurs when one occupies another's land without permission and that this is actionable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The Amended NOCC pleads that the inspectors entered the plaintiffs' Property and that of the proposed Class members without their consent and this is sufficient from a pleading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defendants point to the court's gatekeeper function and submit that the Amended NOCC fails to set out "some basis in fact" for each of the admissibility criteria including what is required in s. 4(1)(a).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They argue that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BCCA and this proceeding are not "apples and apples" but "fruit and vegetables" in that the legal authority for the Program and the Inspections was substantively different from that in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BCCA. While the Program may have had similar features and intended to generally follow what had occurred in Surrey, the latter's program was founded on s. 18(1) of the </w:t>
      </w:r>
      <w:r>
        <w:rPr>
          <w:rFonts w:ascii="arial" w:eastAsia="arial" w:hAnsi="arial" w:cs="arial"/>
          <w:i/>
          <w:color w:val="000000"/>
          <w:sz w:val="20"/>
          <w:lang w:val="en-US" w:eastAsia="en-US" w:bidi="ar-SA"/>
        </w:rPr>
        <w:t>SSA</w:t>
      </w:r>
      <w:r>
        <w:rPr>
          <w:rFonts w:ascii="arial" w:eastAsia="arial" w:hAnsi="arial" w:cs="arial"/>
          <w:color w:val="000000"/>
          <w:sz w:val="20"/>
          <w:lang w:val="en-US" w:eastAsia="en-US" w:bidi="ar-SA"/>
        </w:rPr>
        <w:t xml:space="preserve"> whereas the authority for Coquitlam was derived not just from the Bylaw itself but also s. 16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Fire Services Act</w:t>
      </w:r>
      <w:r>
        <w:rPr>
          <w:rFonts w:ascii="arial" w:eastAsia="arial" w:hAnsi="arial" w:cs="arial"/>
          <w:color w:val="000000"/>
          <w:sz w:val="20"/>
          <w:lang w:val="en-US" w:eastAsia="en-US" w:bidi="ar-SA"/>
        </w:rPr>
        <w:t xml:space="preserve">. Section 16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provides for entry to premises in many cases, including on the consent of the occupier.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defendants submit that the decisions of this court in </w:t>
      </w:r>
      <w:r>
        <w:rPr>
          <w:rFonts w:ascii="arial" w:eastAsia="arial" w:hAnsi="arial" w:cs="arial"/>
          <w:i/>
          <w:color w:val="000000"/>
          <w:sz w:val="20"/>
          <w:lang w:val="en-US" w:eastAsia="en-US" w:bidi="ar-SA"/>
        </w:rPr>
        <w:t>Thorburn v. British Columbia</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2012 BCSC 1585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Thorburn</w:t>
      </w:r>
      <w:r>
        <w:rPr>
          <w:rFonts w:ascii="arial" w:eastAsia="arial" w:hAnsi="arial" w:cs="arial"/>
          <w:color w:val="000000"/>
          <w:sz w:val="20"/>
          <w:lang w:val="en-US" w:eastAsia="en-US" w:bidi="ar-SA"/>
        </w:rPr>
        <w:t xml:space="preserve"> BCSC] and the Court of Appeal, </w:t>
      </w:r>
      <w:hyperlink r:id="rId60" w:history="1">
        <w:r>
          <w:rPr>
            <w:rFonts w:ascii="arial" w:eastAsia="arial" w:hAnsi="arial" w:cs="arial"/>
            <w:i/>
            <w:color w:val="0077CC"/>
            <w:sz w:val="20"/>
            <w:u w:val="single"/>
            <w:shd w:val="clear" w:color="auto" w:fill="FFFFFF"/>
            <w:lang w:val="en-US" w:eastAsia="en-US" w:bidi="ar-SA"/>
          </w:rPr>
          <w:t>2013 BCCA 480</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Thorburn</w:t>
      </w:r>
      <w:r>
        <w:rPr>
          <w:rFonts w:ascii="arial" w:eastAsia="arial" w:hAnsi="arial" w:cs="arial"/>
          <w:color w:val="000000"/>
          <w:sz w:val="20"/>
          <w:lang w:val="en-US" w:eastAsia="en-US" w:bidi="ar-SA"/>
        </w:rPr>
        <w:t xml:space="preserve"> BCCA], apply to this proceeding. They say that any liability of damages which may flow from the Inspections is not related to the applicable legislation in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or the applicable policy in </w:t>
      </w:r>
      <w:r>
        <w:rPr>
          <w:rFonts w:ascii="arial" w:eastAsia="arial" w:hAnsi="arial" w:cs="arial"/>
          <w:i/>
          <w:color w:val="000000"/>
          <w:sz w:val="20"/>
          <w:lang w:val="en-US" w:eastAsia="en-US" w:bidi="ar-SA"/>
        </w:rPr>
        <w:t>Thorburn</w:t>
      </w:r>
      <w:r>
        <w:rPr>
          <w:rFonts w:ascii="arial" w:eastAsia="arial" w:hAnsi="arial" w:cs="arial"/>
          <w:color w:val="000000"/>
          <w:sz w:val="20"/>
          <w:lang w:val="en-US" w:eastAsia="en-US" w:bidi="ar-SA"/>
        </w:rPr>
        <w:t>. It must be related to the circumstances of each proposed plaintiff, his or her relationship with the property inspected, and the acts of the particular defendants or their representatives in a given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They also argue that the plaintiffs' failure to plead material facts is a significant defect. An example of this is the reasonable expectation of privacy in so far as both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 8 and the trespass claims are concerned. They point to the variety of different circumstances which exist including owners who had leased premises like the plaintiff, Mr. Monaco. There is nothing in the Amended NOCC which provides material facts as to why he would have a reasonable expectation of privacy in the premises he had leased to Ms. Joseph.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Other examples, according to the defendants, include those situations where owners specifically requested an Inspection, where consent was provided after obtaining legal advice, and where the Inspections occurred after a MET search and the RCMP had specifically requested the Inspection.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 will first consider the plaintiffs' submission that the </w:t>
      </w:r>
      <w:r>
        <w:rPr>
          <w:rFonts w:ascii="arial" w:eastAsia="arial" w:hAnsi="arial" w:cs="arial"/>
          <w:i/>
          <w:color w:val="000000"/>
          <w:sz w:val="20"/>
          <w:lang w:val="en-US" w:eastAsia="en-US" w:bidi="ar-SA"/>
        </w:rPr>
        <w:t>Monaco</w:t>
      </w:r>
      <w:r>
        <w:rPr>
          <w:rFonts w:ascii="arial" w:eastAsia="arial" w:hAnsi="arial" w:cs="arial"/>
          <w:color w:val="000000"/>
          <w:sz w:val="20"/>
          <w:lang w:val="en-US" w:eastAsia="en-US" w:bidi="ar-SA"/>
        </w:rPr>
        <w:t xml:space="preserve"> Stay Decision is virtually dispositive of this first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 disagree. The issue in the </w:t>
      </w:r>
      <w:r>
        <w:rPr>
          <w:rFonts w:ascii="arial" w:eastAsia="arial" w:hAnsi="arial" w:cs="arial"/>
          <w:i/>
          <w:color w:val="000000"/>
          <w:sz w:val="20"/>
          <w:lang w:val="en-US" w:eastAsia="en-US" w:bidi="ar-SA"/>
        </w:rPr>
        <w:t>Monaco</w:t>
      </w:r>
      <w:r>
        <w:rPr>
          <w:rFonts w:ascii="arial" w:eastAsia="arial" w:hAnsi="arial" w:cs="arial"/>
          <w:color w:val="000000"/>
          <w:sz w:val="20"/>
          <w:lang w:val="en-US" w:eastAsia="en-US" w:bidi="ar-SA"/>
        </w:rPr>
        <w:t xml:space="preserve"> Stay Decision was whether, in the context of an injunction application, there was a serious issue to be tried. At para. 44 of his reasons for judgment, Justice Warren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common ground that there is a serious issue to be tried in this lawsuit, and I need not address that issue further other than to observe that a serious and significant question to be tried in the litigation at bar involves a municipal bylaw which authorizes entry into a private dwelling without judicial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various issues involved on this Certification Application regarding the first criterion for certification including the sufficiency of the pleadings, potential immunities to which I shall refer below and available remedies, were not considered in the </w:t>
      </w:r>
      <w:r>
        <w:rPr>
          <w:rFonts w:ascii="arial" w:eastAsia="arial" w:hAnsi="arial" w:cs="arial"/>
          <w:i/>
          <w:color w:val="000000"/>
          <w:sz w:val="20"/>
          <w:lang w:val="en-US" w:eastAsia="en-US" w:bidi="ar-SA"/>
        </w:rPr>
        <w:t>Monaco</w:t>
      </w:r>
      <w:r>
        <w:rPr>
          <w:rFonts w:ascii="arial" w:eastAsia="arial" w:hAnsi="arial" w:cs="arial"/>
          <w:color w:val="000000"/>
          <w:sz w:val="20"/>
          <w:lang w:val="en-US" w:eastAsia="en-US" w:bidi="ar-SA"/>
        </w:rPr>
        <w:t xml:space="preserve"> Stay Decision since that was not required under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 will next deal with the s. 8 claim. In doing so I will not repeat in these reasons for judgment, but am mindful of the analysis of Chief Justice Finch in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BCCA, commencing at para. 49 as to the applicable legal framework for the s. 8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Amended NOCC pleads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[33] The Class Inspections were.-performed without Coquitlam or the RCMP seeking or obtaining a warrant for those Class Inspections, with little or no notice of the Class Inspections to the Class, and without valid consent from the Class.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[34] To the extent that the Defendants sought consent to enter the Class Properties. Such consent was only obtained after the Defendants advised Class members that they had authority to enter the Class Properties without a warrant and threatened to disconnect power to the Class Properties.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[35] The Class Inspections were conducted notwithstanding the commencement of proceedings challenging the authority of the City of Surrey and of the Attorney General of British Columbia to conduct similar warrantless searches (see </w:t>
      </w:r>
      <w:r>
        <w:rPr>
          <w:rFonts w:ascii="arial" w:eastAsia="arial" w:hAnsi="arial" w:cs="arial"/>
          <w:i/>
          <w:color w:val="000000"/>
          <w:sz w:val="20"/>
          <w:u w:val="single"/>
          <w:lang w:val="en-US" w:eastAsia="en-US" w:bidi="ar-SA"/>
        </w:rPr>
        <w:t>Arkinstall v. City of Surrey</w:t>
      </w:r>
      <w:r>
        <w:rPr>
          <w:rFonts w:ascii="arial" w:eastAsia="arial" w:hAnsi="arial" w:cs="arial"/>
          <w:color w:val="000000"/>
          <w:sz w:val="20"/>
          <w:u w:val="single"/>
          <w:lang w:val="en-US" w:eastAsia="en-US" w:bidi="ar-SA"/>
        </w:rPr>
        <w:t xml:space="preserve">. SCBC Vancouver Registry No. S073785, hereinafter the "Arkinstall Challenge"). Further, the Class Inspections continued to be conducted even after the British Columbia Court of Appeal concluded, in </w:t>
      </w:r>
      <w:r>
        <w:rPr>
          <w:rFonts w:ascii="arial" w:eastAsia="arial" w:hAnsi="arial" w:cs="arial"/>
          <w:i/>
          <w:color w:val="000000"/>
          <w:sz w:val="20"/>
          <w:u w:val="single"/>
          <w:lang w:val="en-US" w:eastAsia="en-US" w:bidi="ar-SA"/>
        </w:rPr>
        <w:t>Arkinstall v. City of Surrey</w:t>
      </w:r>
      <w:r>
        <w:rPr>
          <w:rFonts w:ascii="arial" w:eastAsia="arial" w:hAnsi="arial" w:cs="arial"/>
          <w:color w:val="000000"/>
          <w:sz w:val="20"/>
          <w:u w:val="single"/>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BCCA 250</w:t>
        </w:r>
      </w:hyperlink>
      <w:r>
        <w:rPr>
          <w:rFonts w:ascii="arial" w:eastAsia="arial" w:hAnsi="arial" w:cs="arial"/>
          <w:color w:val="000000"/>
          <w:sz w:val="20"/>
          <w:u w:val="single"/>
          <w:lang w:val="en-US" w:eastAsia="en-US" w:bidi="ar-SA"/>
        </w:rPr>
        <w:t>. that similar warrantless inspections of homes for the purposes of inspecting electrical systems for safety risks that may be associated with marihuana grow operations were "a considerable intrusion into an individual's reasonable expectation of privacy", and further, that the provisions of the statute that purportedly authorized those searches breached s. 8 of the Canadian Charter of Rights and Freedoms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threshold issue according to the plaintiffs is the legality of the warrantless searches. Since all the searches were illegal in that they were conducted without a warrant, and that the defendants could and should have obtained an administrative warrant, then all the members of the putative Class had their section 8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breached even if potential conflicts exist between certain Class members. Accordingly, certification should be granted since the source of the defendants' conduct is the same for all putative plaintiffs: the warrantless search pursuant to the Bylaw which breached their section 8 rights. So an individual assessment of each case is not required. That is why, according to the plaintiffs,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BCCA is virtually dispositive of the first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Inspections commenced in March 2007 and ended in June 2013. The Inspection of the Property took place in March 2008, approximately six months prior to the judgment of Smart J. in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BCSC. That judgment was to the effect that the impugned sections of the </w:t>
      </w:r>
      <w:r>
        <w:rPr>
          <w:rFonts w:ascii="arial" w:eastAsia="arial" w:hAnsi="arial" w:cs="arial"/>
          <w:i/>
          <w:color w:val="000000"/>
          <w:sz w:val="20"/>
          <w:lang w:val="en-US" w:eastAsia="en-US" w:bidi="ar-SA"/>
        </w:rPr>
        <w:t>SSA</w:t>
      </w:r>
      <w:r>
        <w:rPr>
          <w:rFonts w:ascii="arial" w:eastAsia="arial" w:hAnsi="arial" w:cs="arial"/>
          <w:color w:val="000000"/>
          <w:sz w:val="20"/>
          <w:lang w:val="en-US" w:eastAsia="en-US" w:bidi="ar-SA"/>
        </w:rPr>
        <w:t xml:space="preserve"> did not violate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It was not until May 20, 2010 when the Court of Appeal rendered its reasons for judgment in the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appeal that the applicable provisions in the </w:t>
      </w:r>
      <w:r>
        <w:rPr>
          <w:rFonts w:ascii="arial" w:eastAsia="arial" w:hAnsi="arial" w:cs="arial"/>
          <w:i/>
          <w:color w:val="000000"/>
          <w:sz w:val="20"/>
          <w:lang w:val="en-US" w:eastAsia="en-US" w:bidi="ar-SA"/>
        </w:rPr>
        <w:t>SSA</w:t>
      </w:r>
      <w:r>
        <w:rPr>
          <w:rFonts w:ascii="arial" w:eastAsia="arial" w:hAnsi="arial" w:cs="arial"/>
          <w:color w:val="000000"/>
          <w:sz w:val="20"/>
          <w:lang w:val="en-US" w:eastAsia="en-US" w:bidi="ar-SA"/>
        </w:rPr>
        <w:t xml:space="preserve"> which authorized the warrantless inspection of Mr. Arkinstall's premises were found to infringe the appellants' s. 8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first issue under this rubric is whether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BCCA is dispositive of the cause of action requirement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Although the Surrey program had similarities with the Program at issue in this proceeding, I do not accept the plaintiffs' submissions that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BCCA and this case are "apples and apples".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That is because:</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legislative framework in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sections 18 and 19 of the </w:t>
      </w:r>
      <w:r>
        <w:rPr>
          <w:rFonts w:ascii="arial" w:eastAsia="arial" w:hAnsi="arial" w:cs="arial"/>
          <w:i/>
          <w:color w:val="000000"/>
          <w:sz w:val="20"/>
          <w:lang w:val="en-US" w:eastAsia="en-US" w:bidi="ar-SA"/>
        </w:rPr>
        <w:t>SSA,</w:t>
      </w:r>
      <w:r>
        <w:rPr>
          <w:rFonts w:ascii="arial" w:eastAsia="arial" w:hAnsi="arial" w:cs="arial"/>
          <w:color w:val="000000"/>
          <w:sz w:val="20"/>
          <w:lang w:val="en-US" w:eastAsia="en-US" w:bidi="ar-SA"/>
        </w:rPr>
        <w:t xml:space="preserve"> is substantively different from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in particular s. 16. Only the latter makes reference to the power to enter into a place that is occupied as a private dwelling "in the event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of the following applies" (emphasis added). The legislation lists applicable situations including where the occupier consents and when "the entry is made under the authority of a warrant under this or another Act".</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considered in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BCCA was whether ss. 18 and 19 of the </w:t>
      </w:r>
      <w:r>
        <w:rPr>
          <w:rFonts w:ascii="arial" w:eastAsia="arial" w:hAnsi="arial" w:cs="arial"/>
          <w:i/>
          <w:color w:val="000000"/>
          <w:sz w:val="20"/>
          <w:lang w:val="en-US" w:eastAsia="en-US" w:bidi="ar-SA"/>
        </w:rPr>
        <w:t>SSA</w:t>
      </w:r>
      <w:r>
        <w:rPr>
          <w:rFonts w:ascii="arial" w:eastAsia="arial" w:hAnsi="arial" w:cs="arial"/>
          <w:color w:val="000000"/>
          <w:sz w:val="20"/>
          <w:lang w:val="en-US" w:eastAsia="en-US" w:bidi="ar-SA"/>
        </w:rPr>
        <w:t xml:space="preserve"> to the extent they authorized warrantless searches breached the appellant's s. 8 rights. In this case the basis of the claim for s. 8 damages is acts of state agents pursuant to a legal framework which was unchallenged during the entire timeframe the Inspections were conducted. It was not until September 17, 2014 that the NOCC was amended to include an allegation that the Bylaw and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"infringed the rights of the plaintiffs and the Class" (Amended NOCC at para. 46);</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of Appeal did not find that each individual who was subject to a search in Surrey pursuant to sections 18 and 19 of the </w:t>
      </w:r>
      <w:r>
        <w:rPr>
          <w:rFonts w:ascii="arial" w:eastAsia="arial" w:hAnsi="arial" w:cs="arial"/>
          <w:i/>
          <w:color w:val="000000"/>
          <w:sz w:val="20"/>
          <w:lang w:val="en-US" w:eastAsia="en-US" w:bidi="ar-SA"/>
        </w:rPr>
        <w:t>SSA</w:t>
      </w:r>
      <w:r>
        <w:rPr>
          <w:rFonts w:ascii="arial" w:eastAsia="arial" w:hAnsi="arial" w:cs="arial"/>
          <w:color w:val="000000"/>
          <w:sz w:val="20"/>
          <w:lang w:val="en-US" w:eastAsia="en-US" w:bidi="ar-SA"/>
        </w:rPr>
        <w:t xml:space="preserve"> had suffered an individual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 of his s. 8 rights and that damages were the appropriate remedy. That issue was not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Even if I were to accept the plaintiffs' premise that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BCCA applied to this proceeding, that does not assist them in establishing that their s. 8 claims, either before or after May 20, 2010, are not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That is because, in my view, fundamental difficulties arise from the manner in which the plaintiffs have chosen to plead their cause of action for breach of s. 8 damages. These difficulties have not been cured by the constitutional and bad faith allegations added in the Amended 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Vancouver (City) v. Ward,</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2010 SCC 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Henry v. British Columbia (Attorney General</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2015 SCC 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clarify that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encompasses damage claims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This is a personal right of action "brought by an individual as a public law action directed against the state for violations of the claimant's constitutional rights" and that "courts must ...be careful not to stifle the emergence and development of this important remedy"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at paras. 34 and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Justice Moldaver referred to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for the four-step framework to determine state actors' liability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step in the inquiry is to establish that a Charter right has been breached. The second step is to show why damages are a just and appropriate remedy, having regard to whether they would fulfill one or more of the related functions of compensation, vindication of the right, and/or deterrence of future breaches. At the third step, the state has the opportunity to demonstrate, if it can, that countervailing factors defeat the functional considerations that support a damage award and render damages inappropriate or unjust. The final step is to assess the quantum of the damages. [para.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What follows is largely excerpted from Coquitlam's written submission summarizing other legal principles I consider germane to the first certification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Mackin v. New Brunswick (Minister of Finance)</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2002 SCC 13</w:t>
        </w:r>
      </w:hyperlink>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[2002] 1 S.C.R. 405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xml:space="preserve">], the Supreme Court of Canada considered the availability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for a statute declared to be constitutionally invalid.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xml:space="preserve"> involved a challenge to a New Brunswick statute which abolished the position of supernumerary judges of the Provincial Court. The respondent judges argued the law violated s. 11(d)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sought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Court specifically addressed the unavailability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pursuant to s. 24(1) when a law is declared invalid pursuant to s. 52 at paras. 78 and 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According to a general rule of public law, absent conduct that is clearly wrong, in bad faith or an abuse of power, the courts will not award damages for the harm suffered as a result of the mere enactment or application of a law that is subsequently declared to be unconstitutional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In short, although it cannot be asserted that damages may never be obtained following a declaration of unconstitutionality, it is true that, as a rule, an action for damages brought under s.24(1)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cannot be combined with an action for a declaration of invalidity based on s. 52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xml:space="preserve"> left open the possibility that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could be available in exceptional situations where government conduct is "clearly wrong, in bad faith or an abuse of process". However, the Court was clear that a government does not act in bad faith by enacting a statute which jurisprudence </w:t>
      </w:r>
      <w:r>
        <w:rPr>
          <w:rFonts w:ascii="arial" w:eastAsia="arial" w:hAnsi="arial" w:cs="arial"/>
          <w:color w:val="000000"/>
          <w:sz w:val="20"/>
          <w:u w:val="single"/>
          <w:lang w:val="en-US" w:eastAsia="en-US" w:bidi="ar-SA"/>
        </w:rPr>
        <w:t>subsequently</w:t>
      </w:r>
      <w:r>
        <w:rPr>
          <w:rFonts w:ascii="arial" w:eastAsia="arial" w:hAnsi="arial" w:cs="arial"/>
          <w:color w:val="000000"/>
          <w:sz w:val="20"/>
          <w:lang w:val="en-US" w:eastAsia="en-US" w:bidi="ar-SA"/>
        </w:rPr>
        <w:t xml:space="preserve"> casts doubt upon: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Applying these principles to the situation before us, it is clear that the respondents are not entitled to damages merely because the enactment of Bill 7 was unconstitutional. On the other hand, I do not find any evidence that might suggest that the government of New Brunswick acted negligently, in bad faith or by abusing its powers. Its knowledge of the unconstitutionality of eliminating the office of supernumerary judge has never been established. On the contrary, Bill 7 came into force on April 1, 1995, more than two years before this Court expressed its opinion in the Provincial Court Judges Reference, supra, which, it must be recognized, substantially altered the situation in terms of the institutional independence of the judiciary. Consequently, it may not reasonably be suggested that the government of New Brunswick displayed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bad faith or wilful blindness with respect to its constitutional obligations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the Supreme Court of Canada affirmed its decision in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xml:space="preserve"> that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are an inappropriate remedy for the finding that a law is constitutionally invalid: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In some situations, however, the state may establish that an award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would interfere with good governance such that damages should not be awarded unless the state conduct meets a minimum threshold of gravity. This was the situation in </w:t>
      </w:r>
      <w:r>
        <w:rPr>
          <w:rFonts w:ascii="arial" w:eastAsia="arial" w:hAnsi="arial" w:cs="arial"/>
          <w:i/>
          <w:color w:val="000000"/>
          <w:sz w:val="20"/>
          <w:lang w:val="en-US" w:eastAsia="en-US" w:bidi="ar-SA"/>
        </w:rPr>
        <w:t>Mackin v. New Brunswick (Minister of Finance)</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2002 SCC 13</w:t>
        </w:r>
      </w:hyperlink>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[2002] 1 S.C.R. 405</w:t>
        </w:r>
      </w:hyperlink>
      <w:r>
        <w:rPr>
          <w:rFonts w:ascii="arial" w:eastAsia="arial" w:hAnsi="arial" w:cs="arial"/>
          <w:color w:val="000000"/>
          <w:sz w:val="20"/>
          <w:lang w:val="en-US" w:eastAsia="en-US" w:bidi="ar-SA"/>
        </w:rPr>
        <w:t xml:space="preserve">, where the claimant sought damages for state conduct pursuant to a valid statute. The Court held that the action must be struck on the ground that duly enacted laws should be enforced until declared invalid, unless the state conduct under the law was "clearly wrong, in bad faith or an abuse of power": para. 78. The rule of law would be undermined if governments were deterred from enforcing the law by the possibility of future damage awards in the event the law was, at some future date, to be declared invalid. Thus, absent threshold misconduct, an action for damages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cannot be combined with an action for invalidity based on s. 52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at para.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the Court awarded the respondent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after determining that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were violated when he was detained and strip searched and his car was seized without cause. At issue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was the conduct of the government officials, not the validity of a law. As such, the court held that the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xml:space="preserve"> principle of immunity did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Both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were followed by the Court of Appeal in </w:t>
      </w:r>
      <w:r>
        <w:rPr>
          <w:rFonts w:ascii="arial" w:eastAsia="arial" w:hAnsi="arial" w:cs="arial"/>
          <w:i/>
          <w:color w:val="000000"/>
          <w:sz w:val="20"/>
          <w:lang w:val="en-US" w:eastAsia="en-US" w:bidi="ar-SA"/>
        </w:rPr>
        <w:t>Vancouver (City) v. Zhang</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2010 BCCA 450</w:t>
        </w:r>
      </w:hyperlink>
      <w:r>
        <w:rPr>
          <w:rFonts w:ascii="arial" w:eastAsia="arial" w:hAnsi="arial" w:cs="arial"/>
          <w:color w:val="000000"/>
          <w:sz w:val="20"/>
          <w:lang w:val="en-US" w:eastAsia="en-US" w:bidi="ar-SA"/>
        </w:rPr>
        <w:t xml:space="preserve">. In that case, a group of Falun Gong practitioners challenged the constitutional validity of a city bylaw disallowing the building of structures on city streets. The practitioners argued, and the Court of Appeal agreed, that the bylaw infringed their freedom of religion rights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As a remedy, the practitioners sought a declaration that the bylaw was invalid and damages pursuant to s. 24(1). The court relied upon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in refusing to award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rendering its decision, the court also relied on the Supreme Court of Canada decision in </w:t>
      </w:r>
      <w:r>
        <w:rPr>
          <w:rFonts w:ascii="arial" w:eastAsia="arial" w:hAnsi="arial" w:cs="arial"/>
          <w:i/>
          <w:color w:val="000000"/>
          <w:sz w:val="20"/>
          <w:lang w:val="en-US" w:eastAsia="en-US" w:bidi="ar-SA"/>
        </w:rPr>
        <w:t>R. v. Ferguson</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2008 SCC 6</w:t>
        </w:r>
      </w:hyperlink>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[2008] 1 S.C.R. 96</w:t>
        </w:r>
      </w:hyperlink>
      <w:r>
        <w:rPr>
          <w:rFonts w:ascii="arial" w:eastAsia="arial" w:hAnsi="arial" w:cs="arial"/>
          <w:color w:val="000000"/>
          <w:sz w:val="20"/>
          <w:lang w:val="en-US" w:eastAsia="en-US" w:bidi="ar-SA"/>
        </w:rPr>
        <w:t>, where McLachlin C.J.C. addressed the distinction between the remedies provided for in s. 52 and s. 24(1):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 Section 52(1) provides a remedy for </w:t>
      </w:r>
      <w:r>
        <w:rPr>
          <w:rFonts w:ascii="arial" w:eastAsia="arial" w:hAnsi="arial" w:cs="arial"/>
          <w:i/>
          <w:color w:val="000000"/>
          <w:sz w:val="20"/>
          <w:lang w:val="en-US" w:eastAsia="en-US" w:bidi="ar-SA"/>
        </w:rPr>
        <w:t>laws</w:t>
      </w:r>
      <w:r>
        <w:rPr>
          <w:rFonts w:ascii="arial" w:eastAsia="arial" w:hAnsi="arial" w:cs="arial"/>
          <w:color w:val="000000"/>
          <w:sz w:val="20"/>
          <w:lang w:val="en-US" w:eastAsia="en-US" w:bidi="ar-SA"/>
        </w:rPr>
        <w:t xml:space="preserve"> that violate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either in purpose or in effect. Section 24(1) , by contrast, provides a remedy for </w:t>
      </w:r>
      <w:r>
        <w:rPr>
          <w:rFonts w:ascii="arial" w:eastAsia="arial" w:hAnsi="arial" w:cs="arial"/>
          <w:i/>
          <w:color w:val="000000"/>
          <w:sz w:val="20"/>
          <w:lang w:val="en-US" w:eastAsia="en-US" w:bidi="ar-SA"/>
        </w:rPr>
        <w:t>government acts</w:t>
      </w:r>
      <w:r>
        <w:rPr>
          <w:rFonts w:ascii="arial" w:eastAsia="arial" w:hAnsi="arial" w:cs="arial"/>
          <w:color w:val="000000"/>
          <w:sz w:val="20"/>
          <w:lang w:val="en-US" w:eastAsia="en-US" w:bidi="ar-SA"/>
        </w:rPr>
        <w:t xml:space="preserve"> that violate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It provides a personal remedy against unconstitutional government action and so, unlike s. 52(1) , can be invoked only by a party alleging a violation of that party's own constitutional rights: </w:t>
      </w:r>
      <w:r>
        <w:rPr>
          <w:rFonts w:ascii="arial" w:eastAsia="arial" w:hAnsi="arial" w:cs="arial"/>
          <w:i/>
          <w:color w:val="000000"/>
          <w:sz w:val="20"/>
          <w:lang w:val="en-US" w:eastAsia="en-US" w:bidi="ar-SA"/>
        </w:rPr>
        <w:t>Big M</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[1985] 1 S.C.R. 295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Edwards</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[1996] 1 S.C.R. 128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Sivia v. British Columbia (Superintendent of Motor Vehicles)</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2012 BCSC 1030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Sivia</w:t>
      </w:r>
      <w:r>
        <w:rPr>
          <w:rFonts w:ascii="arial" w:eastAsia="arial" w:hAnsi="arial" w:cs="arial"/>
          <w:color w:val="000000"/>
          <w:sz w:val="20"/>
          <w:lang w:val="en-US" w:eastAsia="en-US" w:bidi="ar-SA"/>
        </w:rPr>
        <w:t xml:space="preserve">], Justice Sigurdson addressed the availability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following a declaration that the Automatic Roadside Prohibition regime violated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 petitioners argued the government engaged in serious misconduct and it had enacted an unconstitutional law that intentionally or recklessly deviated from a similar regime with a more meaningful review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Referring,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to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Sigurdson J. concluded damages were not appropriate since the legislation was lawfully passed. At para. 84,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[84] Peter Hogg in, </w:t>
      </w:r>
      <w:r>
        <w:rPr>
          <w:rFonts w:ascii="arial" w:eastAsia="arial" w:hAnsi="arial" w:cs="arial"/>
          <w:i/>
          <w:color w:val="000000"/>
          <w:sz w:val="20"/>
          <w:lang w:val="en-US" w:eastAsia="en-US" w:bidi="ar-SA"/>
        </w:rPr>
        <w:t>Constitutional law of Canada,</w:t>
      </w:r>
      <w:r>
        <w:rPr>
          <w:rFonts w:ascii="arial" w:eastAsia="arial" w:hAnsi="arial" w:cs="arial"/>
          <w:color w:val="000000"/>
          <w:sz w:val="20"/>
          <w:lang w:val="en-US" w:eastAsia="en-US" w:bidi="ar-SA"/>
        </w:rPr>
        <w:t xml:space="preserve"> 5th ed loose-leaf (Vol. 2 Ch. 40) (Toronto: Thomson Reuters, 2007) says (at p.40-40):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second consideration that could negate the appropriateness of Charter damages is "concern for effective governance". Of course, Charter damages would usually promote good governance, since they should deter Charter breaches by government. However, what the Chief Justice had in mind was the line of cases holding that no damages are available "for the harm suffered as the result of the mere enactment or application of a law that is subsequently held to be unconstitutional. Nor does s. 24(1) authorize damages for harm caused by government officials who act in good faith and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under the "claim of right" of a statute subsequently held to be unconstitutional for breach of the Charter." According to McLachlin CJ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these doctrines are exemplary of the principle of good governance, because damages awards would "chill the exercise of policy making discretion" and deter public officials from carrying out their duties under apparently valid statutes.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Sivia</w:t>
      </w:r>
      <w:r>
        <w:rPr>
          <w:rFonts w:ascii="arial" w:eastAsia="arial" w:hAnsi="arial" w:cs="arial"/>
          <w:color w:val="000000"/>
          <w:sz w:val="20"/>
          <w:lang w:val="en-US" w:eastAsia="en-US" w:bidi="ar-SA"/>
        </w:rPr>
        <w:t>, the court addressed the individual circumstances of the petitioners. The plaintiffs say this is unnecessary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Within this legal framework, I conclude that the plaintiffs' s. 8 claims are bound to fail. My reasons include:</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insufficiency of the plaintiffs' framing their claim on the basis of a presumptively unreasonable warrantless search arising out of a subsequently challenged Bylaw and legislative enactment. As stated in </w:t>
      </w:r>
      <w:r>
        <w:rPr>
          <w:rFonts w:ascii="arial" w:eastAsia="arial" w:hAnsi="arial" w:cs="arial"/>
          <w:i/>
          <w:color w:val="000000"/>
          <w:sz w:val="20"/>
          <w:lang w:val="en-US" w:eastAsia="en-US" w:bidi="ar-SA"/>
        </w:rPr>
        <w:t>Thorburn</w:t>
      </w:r>
      <w:r>
        <w:rPr>
          <w:rFonts w:ascii="arial" w:eastAsia="arial" w:hAnsi="arial" w:cs="arial"/>
          <w:color w:val="000000"/>
          <w:sz w:val="20"/>
          <w:lang w:val="en-US" w:eastAsia="en-US" w:bidi="ar-SA"/>
        </w:rPr>
        <w:t xml:space="preserve"> BCCA at para. 41 and </w:t>
      </w:r>
      <w:r>
        <w:rPr>
          <w:rFonts w:ascii="arial" w:eastAsia="arial" w:hAnsi="arial" w:cs="arial"/>
          <w:i/>
          <w:color w:val="000000"/>
          <w:sz w:val="20"/>
          <w:lang w:val="en-US" w:eastAsia="en-US" w:bidi="ar-SA"/>
        </w:rPr>
        <w:t>Thorburn</w:t>
      </w:r>
      <w:r>
        <w:rPr>
          <w:rFonts w:ascii="arial" w:eastAsia="arial" w:hAnsi="arial" w:cs="arial"/>
          <w:color w:val="000000"/>
          <w:sz w:val="20"/>
          <w:lang w:val="en-US" w:eastAsia="en-US" w:bidi="ar-SA"/>
        </w:rPr>
        <w:t xml:space="preserve"> BCSC at para. 76: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[41] ... An unreasonable policy alone could not provide the foundation for determining each class member's cause of action of an unreasonable search; only an individual assessment of the relevant circumstances unique to each class member would allow a judge to determine if a cause of action had been established.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[76] ...it is the lawfulness of the search and not the policy itself which must be considered in an action for damages.</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entitlement exists to a personal remedy in damages for legislative invalidity, barring proof of bad faith: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judgment of the Court of Appeal in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was rendered in May 2010, so even accepting the plaintiffs'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submission, a claim that the defendants knew or ought to have known that Inspections pursuant to the Program could or would infringe the plaintiffs' s. 8 rights prior to that has no basis in law;</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most that could be said based on the plaintiffs'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submission is that after May 20, 2010 the defendants continued with the Inspections when they knew, based on the Surrey program, that their acts may at some time in the future be found to be an abuse of power or that they had acted in bad faith. Even if this were the basis for a cause of action, which I have concluded is not the case, the representative plaintiffs could not advance this claim on behalf of the putative class. That is because their claims arise from an inspection which preceded </w:t>
      </w:r>
      <w:r>
        <w:rPr>
          <w:rFonts w:ascii="arial" w:eastAsia="arial" w:hAnsi="arial" w:cs="arial"/>
          <w:color w:val="000000"/>
          <w:sz w:val="20"/>
          <w:u w:val="single"/>
          <w:lang w:val="en-US" w:eastAsia="en-US" w:bidi="ar-SA"/>
        </w:rPr>
        <w:t>both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BSCS and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BCCA. Replacement representative plaintiffs would have to come forward;</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plead that the defendants acted in bad faith and yet the defendants modified some of their procedures during the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litigation even though their acts were as a result of a bylaw passed pursuant to a different statute than was the case in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The RCMP also ceased entering residences after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any event, even if I am wrong in reaching this conclusion, I find that the first certification requirement has not been met in that the Amended NOCC does not plead sufficient material facts in regard to the s. 8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at para. 45 points to the principled analysis of a claimed s. 8 right, setting out specifically what must be determined on the evidence:</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right to challenge the legality of a search depends upon the accused establishing that his personal rights to privacy have been violated. See </w:t>
      </w:r>
      <w:r>
        <w:rPr>
          <w:rFonts w:ascii="arial" w:eastAsia="arial" w:hAnsi="arial" w:cs="arial"/>
          <w:i/>
          <w:color w:val="000000"/>
          <w:sz w:val="20"/>
          <w:lang w:val="en-US" w:eastAsia="en-US" w:bidi="ar-SA"/>
        </w:rPr>
        <w:t>Pugliese, supra</w:t>
      </w:r>
      <w:r>
        <w:rPr>
          <w:rFonts w:ascii="arial" w:eastAsia="arial" w:hAnsi="arial" w:cs="arial"/>
          <w:color w:val="000000"/>
          <w:sz w:val="20"/>
          <w:lang w:val="en-US" w:eastAsia="en-US" w:bidi="ar-SA"/>
        </w:rPr>
        <w:t>.</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general rule, two distinct inquiries must be made in relation to s. 8. First, has the accused a reasonable expectation of privacy. Second, if he has such an expectation, was the search by the police conducted reasonably. See </w:t>
      </w:r>
      <w:r>
        <w:rPr>
          <w:rFonts w:ascii="arial" w:eastAsia="arial" w:hAnsi="arial" w:cs="arial"/>
          <w:i/>
          <w:color w:val="000000"/>
          <w:sz w:val="20"/>
          <w:lang w:val="en-US" w:eastAsia="en-US" w:bidi="ar-SA"/>
        </w:rPr>
        <w:t>Rawlings v. Kentucky</w:t>
      </w:r>
      <w:r>
        <w:rPr>
          <w:rFonts w:ascii="arial" w:eastAsia="arial" w:hAnsi="arial" w:cs="arial"/>
          <w:color w:val="000000"/>
          <w:sz w:val="20"/>
          <w:lang w:val="en-US" w:eastAsia="en-US" w:bidi="ar-SA"/>
        </w:rPr>
        <w:t>, 448 U.S. 98 (1980).</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reasonable expectation of privacy is to be determined on the basis of the totality of the circumstances. See </w:t>
      </w:r>
      <w:r>
        <w:rPr>
          <w:rFonts w:ascii="arial" w:eastAsia="arial" w:hAnsi="arial" w:cs="arial"/>
          <w:i/>
          <w:color w:val="000000"/>
          <w:sz w:val="20"/>
          <w:lang w:val="en-US" w:eastAsia="en-US" w:bidi="ar-SA"/>
        </w:rPr>
        <w:t>R. v. Colarusso</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[1994] 1 S.C.R. 20</w:t>
        </w:r>
      </w:hyperlink>
      <w:r>
        <w:rPr>
          <w:rFonts w:ascii="arial" w:eastAsia="arial" w:hAnsi="arial" w:cs="arial"/>
          <w:color w:val="000000"/>
          <w:sz w:val="20"/>
          <w:lang w:val="en-US" w:eastAsia="en-US" w:bidi="ar-SA"/>
        </w:rPr>
        <w:t xml:space="preserve">, at p. 54, and </w:t>
      </w:r>
      <w:r>
        <w:rPr>
          <w:rFonts w:ascii="arial" w:eastAsia="arial" w:hAnsi="arial" w:cs="arial"/>
          <w:i/>
          <w:color w:val="000000"/>
          <w:sz w:val="20"/>
          <w:lang w:val="en-US" w:eastAsia="en-US" w:bidi="ar-SA"/>
        </w:rPr>
        <w:t>R. v. Wong</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[1990] 3 S.C.R. 36</w:t>
        </w:r>
      </w:hyperlink>
      <w:r>
        <w:rPr>
          <w:rFonts w:ascii="arial" w:eastAsia="arial" w:hAnsi="arial" w:cs="arial"/>
          <w:color w:val="000000"/>
          <w:sz w:val="20"/>
          <w:lang w:val="en-US" w:eastAsia="en-US" w:bidi="ar-SA"/>
        </w:rPr>
        <w:t>, at p. 62.</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factors to be considered in assessing the totality of the circumstances may include, but are not restricted to, the following:</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presence at the time of the search;</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possession or control of the property or place searched;</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ownership of the property or place;</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historical use of the property or item;</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to regulate access, including the right to admit or exclude others from the place;</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subjective expectation of privacy; and</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objective reasonableness of the expectation.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United States v. Gomez</w:t>
      </w:r>
      <w:r>
        <w:rPr>
          <w:rFonts w:ascii="arial" w:eastAsia="arial" w:hAnsi="arial" w:cs="arial"/>
          <w:color w:val="000000"/>
          <w:sz w:val="20"/>
          <w:lang w:val="en-US" w:eastAsia="en-US" w:bidi="ar-SA"/>
        </w:rPr>
        <w:t>, 16 F.3d 254 (8th Cir. 1994), at p. 256.7.</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accused person establishes a reasonable expectation of privacy, the inquiry must proceed to the second stage to determine whether the search was conducted in a reasonable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Moldaver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When a heightened per se liability threshold has been imposed, this will have consequences at the pleadings stage. To survive a motion to strike, a claimant must plead sufficient facts to disclose a reasonable cause of action: see R. v. Imperial Tobacco Canada Ltd., </w:t>
      </w:r>
      <w:hyperlink r:id="rId70"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[2011] 3 S.C.R. 45</w:t>
        </w:r>
      </w:hyperlink>
      <w:r>
        <w:rPr>
          <w:rFonts w:ascii="arial" w:eastAsia="arial" w:hAnsi="arial" w:cs="arial"/>
          <w:color w:val="000000"/>
          <w:sz w:val="20"/>
          <w:lang w:val="en-US" w:eastAsia="en-US" w:bidi="ar-SA"/>
        </w:rPr>
        <w:t xml:space="preserve">. If the alleged Charter violation occurs in a context where courts have imposed a heightened per se liability threshold, </w:t>
      </w:r>
      <w:r>
        <w:rPr>
          <w:rFonts w:ascii="arial" w:eastAsia="arial" w:hAnsi="arial" w:cs="arial"/>
          <w:color w:val="000000"/>
          <w:sz w:val="20"/>
          <w:u w:val="single"/>
          <w:lang w:val="en-US" w:eastAsia="en-US" w:bidi="ar-SA"/>
        </w:rPr>
        <w:t>the claimant must particularize facts that, if proven, would be sufficient to establish that the state conduct met the required threshold of gravity. The failure to do so will be fatal to the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 v. Pugliese</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(1992), 8 O.R. (3d) 259</w:t>
        </w:r>
      </w:hyperlink>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71 C.C.C. (3d) 295</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Pugliese</w:t>
      </w:r>
      <w:r>
        <w:rPr>
          <w:rFonts w:ascii="arial" w:eastAsia="arial" w:hAnsi="arial" w:cs="arial"/>
          <w:color w:val="000000"/>
          <w:sz w:val="20"/>
          <w:lang w:val="en-US" w:eastAsia="en-US" w:bidi="ar-SA"/>
        </w:rPr>
        <w:t>], frames the context in which Mr. Monaco's claim and those of the owner/landlords in the putative Class should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Pugliese</w:t>
      </w:r>
      <w:r>
        <w:rPr>
          <w:rFonts w:ascii="arial" w:eastAsia="arial" w:hAnsi="arial" w:cs="arial"/>
          <w:color w:val="000000"/>
          <w:sz w:val="20"/>
          <w:lang w:val="en-US" w:eastAsia="en-US" w:bidi="ar-SA"/>
        </w:rPr>
        <w:t xml:space="preserve"> arose as a result of a conviction for one count of possession of a narcotic for the purpose of trafficking contrary to what was then the </w:t>
      </w:r>
      <w:r>
        <w:rPr>
          <w:rFonts w:ascii="arial" w:eastAsia="arial" w:hAnsi="arial" w:cs="arial"/>
          <w:i/>
          <w:color w:val="000000"/>
          <w:sz w:val="20"/>
          <w:lang w:val="en-US" w:eastAsia="en-US" w:bidi="ar-SA"/>
        </w:rPr>
        <w:t>Narcotic Control Act</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R.S.C. 1985 c.N-1</w:t>
        </w:r>
      </w:hyperlink>
      <w:r>
        <w:rPr>
          <w:rFonts w:ascii="arial" w:eastAsia="arial" w:hAnsi="arial" w:cs="arial"/>
          <w:color w:val="000000"/>
          <w:sz w:val="20"/>
          <w:lang w:val="en-US" w:eastAsia="en-US" w:bidi="ar-SA"/>
        </w:rPr>
        <w:t>. At issue was a search with warrant of certain residential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After affirming that s. 8 rights are not dependant on proprietary or possessory rights because s. 8 protects security of the person, Finlayson J.A. for the court concluded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evidentiary basis for the appellant's contention that he had the right to challenge the validity of the search warrant because of a proprietary or possessory interest in Apartment 5. The building may have been owned by him, but he had leased the apartment to McInnis and his right of entry was restricted by law to that of a landlord dealing with a tenant. It was McInnis who had a legitimate right to privacy in the apartment arising out of his status as sole tenant. He was the person who was in a position to grant or refuse permission to enter his apartment, and it was the lack of his permission that occasioned resort to the search warrant. The appellant, on the other hand, was in no position to refuse entry to McInnis's apartment to any person who had McInnis's permission to enter. Similarly, the appellant did not assert an interest in the drugs and drug paraphernalia and cannot be heard to say that he had a proprietary interest in those articles. His position, in fact, was that he had no interest in or control over the goods seized.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R. v. Vi</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2008 BCCA 481</w:t>
        </w:r>
      </w:hyperlink>
      <w:r>
        <w:rPr>
          <w:rFonts w:ascii="arial" w:eastAsia="arial" w:hAnsi="arial" w:cs="arial"/>
          <w:color w:val="000000"/>
          <w:sz w:val="20"/>
          <w:lang w:val="en-US" w:eastAsia="en-US" w:bidi="ar-SA"/>
        </w:rPr>
        <w:t xml:space="preserve">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Amended NOCC fails to satisfy this and other essential criteria. Specifically:</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does not address the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criteria with material facts. It contains only the bare assertion at para. 30 that "[t]he plaintiffs and other Class members possessed a reasonable expectation of privacy in the Class Properties which were inspected";</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example, it does not plead material facts as to why Mr. Monaco, who owned the property, had a reasonable expectation of privacy in the residence he had leased to Ms. Joseph;</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Amended NOCC does not plead adequate material facts of the bad faith and abuse of power requirements referred to in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xml:space="preserve">. In that regard I find that the reference to the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challenge at para. 35 of the Amended NOCC to be no more than a bare bones assertion which "is not sufficient to establish that the state conduct met the required threshold of gravity", (per Moldaver J. in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at para. 43);</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does not sufficiently plead material facts regarding whether the search was not authorized by law or the reasonableness of the search and the manner in which it was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pleadings issue, of which the owner/landlord and tenant relationship is but one example, underscores what I consider to be a fatal flaw in the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Further, several types of residences appear to have been inspected. They include:</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owner occupied;</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owner occupied with a tenant and only the tenant's portion of the premises was inspected;</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tenant occupied pursuant to a lease granted by the owner;</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tenant occupied with a portion of the residence leased to a sub-tenant;</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residences inspected at the request of the owner;</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residences inspected following a MET inspection;</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residences inspected after the occupier requested the opportunity to seek legal advice and in fact received such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There may well be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Also, some inspections were not conducted of the entire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agree with the defendants' submission that each member of the putative Class will have to establish that he/she had an expectation of privacy which was breached. That may well be accomplished in some circumstances, impossible to in others, and there may well be a number of circumstances which are not readily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plaintiffs are, in my view, in a "catch 22" situation. Granting leave to further amend the NOCC to plead material facts will not assist them in satisfying this first requirement for certification. Through additional material facts pleaded regarding the potential Class members' expectation of privacy, it will likely become apparent that an examination of the individual circumstances of Class members will be required. This will include the issues of consent and the actions of the defendants in relation to a particular inspection. Conflicts between Class members will likely arise, for example as between owner/landlord and tenant. All this underscores the individual nature of the claims and the unsuitability of this proceeding being certified as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Accordingly, the two representative plaintiffs will not be able to extrapolate a pleading of material facts to the intended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As the Amended NOCC is framed, they are also unable "to extend [the] substantive rights of the Representative Plaintiff[s] to the entire class" per Côte J. in </w:t>
      </w:r>
      <w:r>
        <w:rPr>
          <w:rFonts w:ascii="arial" w:eastAsia="arial" w:hAnsi="arial" w:cs="arial"/>
          <w:i/>
          <w:color w:val="000000"/>
          <w:sz w:val="20"/>
          <w:lang w:val="en-US" w:eastAsia="en-US" w:bidi="ar-SA"/>
        </w:rPr>
        <w:t>Canadian Imperial Bank of Commerce v. Green</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2015 SCC 60</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situation in this proceeding is analogous to what Justice Gropper described in </w:t>
      </w:r>
      <w:r>
        <w:rPr>
          <w:rFonts w:ascii="arial" w:eastAsia="arial" w:hAnsi="arial" w:cs="arial"/>
          <w:i/>
          <w:color w:val="000000"/>
          <w:sz w:val="20"/>
          <w:lang w:val="en-US" w:eastAsia="en-US" w:bidi="ar-SA"/>
        </w:rPr>
        <w:t>Thorburn</w:t>
      </w:r>
      <w:r>
        <w:rPr>
          <w:rFonts w:ascii="arial" w:eastAsia="arial" w:hAnsi="arial" w:cs="arial"/>
          <w:color w:val="000000"/>
          <w:sz w:val="20"/>
          <w:lang w:val="en-US" w:eastAsia="en-US" w:bidi="ar-SA"/>
        </w:rPr>
        <w:t xml:space="preserve"> BCSC at paras. 66 and 76. The Amended NOCC appears to presume that the Bylaw and the legislative enactments upon which it was based were presumptively in breach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But the Bylaw, whether or not it is flawed, is not at issue. Rather "it is the lawfulness of the search that forms the inquiry". Accordingly "a case by case analysis must be undertaken in order to determine whether a search was reasonable and lawful in the circumstances" and "the claim for breach of s.8 of the Charter does not meet this threshold for disclosing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conclusion, I am of the view that the s. 8 claim as presently framed does not disclose a cause of action. Granting leave to make further amendments to the NOCC would serve no useful purpose in advancing this proceeding as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agree with the defendants that the cause of action in trespass is essentially contingent on the s. 8 claim. This appears to be implicitly conceded by the plaintiffs in their reply submissions when they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availability of a remedy for trespass to recover the losses and costs visited upon the owners must be considered against the background and structure of the Bylaw which was designed around the concept that the homeowner had a responsibility to monitor the properties and should therefore "pay the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This also flows from the fact that the only paragraph in Part 3 Legal Basis in the Amended NOCC is para. 49 which follows those paragraphs outlining the legal basis for the s. 8 claim. This paragraph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As a result Coquitlam and the RCMP also committed the tort of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plaintiffs' substantive submission on the cause of action in trespass is that inspectors entered their property and the property of other proposed Class members without their consent and did so pursuant to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Pleading possession is an essential element of a claim in trespass: </w:t>
      </w:r>
      <w:r>
        <w:rPr>
          <w:rFonts w:ascii="arial" w:eastAsia="arial" w:hAnsi="arial" w:cs="arial"/>
          <w:i/>
          <w:color w:val="000000"/>
          <w:sz w:val="20"/>
          <w:lang w:val="en-US" w:eastAsia="en-US" w:bidi="ar-SA"/>
        </w:rPr>
        <w:t>Filliol v. Kozlowski</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2002 ABQB 767</w:t>
        </w:r>
      </w:hyperlink>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326 A.R. 7</w:t>
        </w:r>
      </w:hyperlink>
      <w:r>
        <w:rPr>
          <w:rFonts w:ascii="arial" w:eastAsia="arial" w:hAnsi="arial" w:cs="arial"/>
          <w:color w:val="000000"/>
          <w:sz w:val="20"/>
          <w:lang w:val="en-US" w:eastAsia="en-US" w:bidi="ar-SA"/>
        </w:rPr>
        <w:t xml:space="preserve">. Where the owner of land has given up possession, as in a landlord-tenant situation, he/she cannot maintain an action in trespass: GHL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3d ed. (Toronto: Thompson Reuters Canada Limited, 2010) at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78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applies to most landlord-tenant residential relationships. Section 28(c)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provides a tenant a right to exclusive possession of a rental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In fact,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proceedings were instituted between a landlord and tenant arising out of one of the Inspections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Although the plaintiffs have now sought a declaration of invalidity, or to have the Bylaw otherwise set aside, the principles from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xml:space="preserve"> also apply to the claim in trespass, specifically those principles to which I referred relating to state actors' liability for conduct pursuant to legislation subsequently found to be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Furthermore, the lack of requisite material facts also impacts the trespass claim, in particular:</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upon which the representative plaintiffs assert a right of possession. While those pertaining to Ms. Joseph may well be inferred from her status as tenant, the Amended NOCC is silent with respect to the landlord Mr. Monaco;</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consent, express or implied, to the Inspections by the members of this divergent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plaintiffs are in the same conundrum in the trespass claim as in the s. 8 claims. The more material facts are pleaded, the more evident it will likely become that this proceeding should not proceed as a class action due to the individual circumstances relating to the proposed Class members. Furthermore, it will likely become evident that success for certain members of the proposed Class will result in failure for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Accordingly, for the reasons I outlined in relation to the s. 8 claims, I conclude that the Amended NOCC fails to plead the necessary material facts. As currently pleaded, this claim is bound to fail and leave to amend would not assist the plaintiffs for the reasons I have described.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Section 4(1)(b): Is there an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at para. 132, Fisher J. cited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for the proposition that the class must be capable of clear definition and have issues of fact or law common to all its members. Clear definition is required so that individuals who are entitled to notice, relief if awarded, and to be bound by the judgment can be identified. Although "[i]t is not necessary that every class member be named or known. It is necessary, however, that any particular person's claim to membership in the class be determinable by stated, objective criteria."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As for the class relationship to the common issues, Fisher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[133] Establishing a rational relationship between the identified class and the common issues is not an onerous requirement. As stated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21: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representative need not show that everyone in the class shares the same interest in the resolution of the asserted common issue. There must be some showing, however, that the class is not unnecessarily broad -- that is, that the class could not be defined more narrowly without arbitrarily excluding some people who share the same interest in the resolution of the common issue. Where the class could be defined more narrowly, the court should either disallow certification or allow certification on condition that the definition of the class be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Weatherill J. reduced this requirement to a three-part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[122] There are three purposes for defining the class:</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identify persons who have a potential claim for relief against the defendants;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define the parameters of the lawsuit so as to identify those persons who are bound by the result; and</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describe who is entitled to notice of certification.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class definition must state objective criteria by which the class members can be identified: </w:t>
      </w:r>
      <w:r>
        <w:rPr>
          <w:rFonts w:ascii="arial" w:eastAsia="arial" w:hAnsi="arial" w:cs="arial"/>
          <w:i/>
          <w:color w:val="000000"/>
          <w:sz w:val="20"/>
          <w:lang w:val="en-US" w:eastAsia="en-US" w:bidi="ar-SA"/>
        </w:rPr>
        <w:t>Bywater v. Toronto Transit Commission</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(1998), 27 C.P.C. (4th) 172</w:t>
        </w:r>
      </w:hyperlink>
      <w:r>
        <w:rPr>
          <w:rFonts w:ascii="arial" w:eastAsia="arial" w:hAnsi="arial" w:cs="arial"/>
          <w:color w:val="000000"/>
          <w:sz w:val="20"/>
          <w:lang w:val="en-US" w:eastAsia="en-US" w:bidi="ar-SA"/>
        </w:rPr>
        <w:t xml:space="preserve"> at para. 10 (Ont. Gen. Div.);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In addition, each putative Class member must have a potential cause of action: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this Certification Application the proposed Class was initially described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British Columbia resident persons who owned or were resident in a property that was subjected to an inspection, pursuant to the City of Coquitlam Controlled Substance Property Bylaw No. 3833, 2007, that was not authorized by a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This definition was revised such that at the hearing of the Certification Application it consisted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British Columbia resident persons who [owned or were resident in a property]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were living in a residence</w:t>
      </w:r>
      <w:r>
        <w:rPr>
          <w:rFonts w:ascii="arial" w:eastAsia="arial" w:hAnsi="arial" w:cs="arial"/>
          <w:color w:val="000000"/>
          <w:sz w:val="20"/>
          <w:lang w:val="en-US" w:eastAsia="en-US" w:bidi="ar-SA"/>
        </w:rPr>
        <w:t xml:space="preserve"> that was subjected to an inspection </w:t>
      </w:r>
      <w:r>
        <w:rPr>
          <w:rFonts w:ascii="arial" w:eastAsia="arial" w:hAnsi="arial" w:cs="arial"/>
          <w:color w:val="000000"/>
          <w:sz w:val="20"/>
          <w:u w:val="single"/>
          <w:lang w:val="en-US" w:eastAsia="en-US" w:bidi="ar-SA"/>
        </w:rPr>
        <w:t>of its interior</w:t>
      </w:r>
      <w:r>
        <w:rPr>
          <w:rFonts w:ascii="arial" w:eastAsia="arial" w:hAnsi="arial" w:cs="arial"/>
          <w:color w:val="000000"/>
          <w:sz w:val="20"/>
          <w:lang w:val="en-US" w:eastAsia="en-US" w:bidi="ar-SA"/>
        </w:rPr>
        <w:t xml:space="preserve">, pursuant to the City of Coquitlam Controlled Substance Property Bylaw No. 3833, 2007, that was not authorized by a warrant, </w:t>
      </w:r>
      <w:r>
        <w:rPr>
          <w:rFonts w:ascii="arial" w:eastAsia="arial" w:hAnsi="arial" w:cs="arial"/>
          <w:color w:val="000000"/>
          <w:sz w:val="20"/>
          <w:u w:val="single"/>
          <w:lang w:val="en-US" w:eastAsia="en-US" w:bidi="ar-SA"/>
        </w:rPr>
        <w:t>and the owners of those residences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Parties'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plaintiffs' position is that the proposed Class definition meets the legal requirements in that it is objective, permits identification and does not depend on the outcome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defendants' position is that the definition is overly broad. They also argue that the requirement of an identifiable class is not satisfied when many of the putative Class members do not have any potential cause of action nor a claim which raises common issues with the cause of action asserted by the proposed representative plaintiffs.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conclude that this second criterion has not been established by the plaintiffs. My reasons include:</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Class is overbroad in that it includes persons such as some landlords who have no reasonable expectation of privacy to establish a claim pursuant to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or possession of the residence sufficient to ground a claim in trespass. These individuals would have no cause of action at all and, accordingly, would have no rational connection to the common issues proposed by the plaintiffs;</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other landlords or sub-landlords may have a reasonable expectation of privacy or possession of the residence or a portion of it. Establishing the expectation of privacy or possessory rights would then require reference to the terms of any written leases,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or the particular circumstances of a given tenancy;</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definition is vague. It is not clear, for example:</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the term "living in a residence" encompasses. This term may capture individuals with varying degrees of attachment to a given property, for example children or long-stay visitors;</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property used primarily for the production of drugs qualifies as a residence;</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inspections were without a warrant. Whether the MET inspections which were conducted with a warrant authorize subsequent inspections;</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inspections include those conducted because an owner requested the Inspection;</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includes those properties that were inspected for multiple reasons;</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includes those properties that were inspected after the owner or resident received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A class may also not be objectively defined where a preliminary finding of fact needs to be made in each individual case before membership in the class can be determined: </w:t>
      </w:r>
      <w:r>
        <w:rPr>
          <w:rFonts w:ascii="arial" w:eastAsia="arial" w:hAnsi="arial" w:cs="arial"/>
          <w:i/>
          <w:color w:val="000000"/>
          <w:sz w:val="20"/>
          <w:lang w:val="en-US" w:eastAsia="en-US" w:bidi="ar-SA"/>
        </w:rPr>
        <w:t>R. v. Nixon</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(2003), 24 C.L.R. (3d) 95</w:t>
        </w:r>
      </w:hyperlink>
      <w:r>
        <w:rPr>
          <w:rFonts w:ascii="arial" w:eastAsia="arial" w:hAnsi="arial" w:cs="arial"/>
          <w:color w:val="000000"/>
          <w:sz w:val="20"/>
          <w:lang w:val="en-US" w:eastAsia="en-US" w:bidi="ar-SA"/>
        </w:rPr>
        <w:t xml:space="preserve"> (Ont. Sup. Ct.) at paras.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referred above to the individual assessment of the circumstances giving rise to the Inspections. This factor also applies to my conclusion that the plaintiffs have failed to satisfy the second criterion for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Section 4(1)(c): Do the claims raise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 underlying foundation of a common issue is whether its resolution will avoid duplication of fact finding or legal analysis. </w:t>
      </w:r>
      <w:r>
        <w:rPr>
          <w:rFonts w:ascii="arial" w:eastAsia="arial" w:hAnsi="arial" w:cs="arial"/>
          <w:i/>
          <w:color w:val="000000"/>
          <w:sz w:val="20"/>
          <w:lang w:val="en-US" w:eastAsia="en-US" w:bidi="ar-SA"/>
        </w:rPr>
        <w:t>Singer v. Schering-Plough Canada Inc.</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2010 ONSC 42</w:t>
        </w:r>
      </w:hyperlink>
      <w:r>
        <w:rPr>
          <w:rFonts w:ascii="arial" w:eastAsia="arial" w:hAnsi="arial" w:cs="arial"/>
          <w:color w:val="000000"/>
          <w:sz w:val="20"/>
          <w:lang w:val="en-US" w:eastAsia="en-US" w:bidi="ar-SA"/>
        </w:rPr>
        <w:t xml:space="preserve"> at para. 140, cited in </w:t>
      </w:r>
      <w:r>
        <w:rPr>
          <w:rFonts w:ascii="arial" w:eastAsia="arial" w:hAnsi="arial" w:cs="arial"/>
          <w:i/>
          <w:color w:val="000000"/>
          <w:sz w:val="20"/>
          <w:lang w:val="en-US" w:eastAsia="en-US" w:bidi="ar-SA"/>
        </w:rPr>
        <w:t>Thorburn</w:t>
      </w:r>
      <w:r>
        <w:rPr>
          <w:rFonts w:ascii="arial" w:eastAsia="arial" w:hAnsi="arial" w:cs="arial"/>
          <w:color w:val="000000"/>
          <w:sz w:val="20"/>
          <w:lang w:val="en-US" w:eastAsia="en-US" w:bidi="ar-SA"/>
        </w:rPr>
        <w:t xml:space="preserve"> at para.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Watson v. Bank of America Corp.,</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2014 BCSC 532</w:t>
        </w:r>
      </w:hyperlink>
      <w:r>
        <w:rPr>
          <w:rFonts w:ascii="arial" w:eastAsia="arial" w:hAnsi="arial" w:cs="arial"/>
          <w:color w:val="000000"/>
          <w:sz w:val="20"/>
          <w:lang w:val="en-US" w:eastAsia="en-US" w:bidi="ar-SA"/>
        </w:rPr>
        <w:t xml:space="preserve"> at para. 66, appeal allowed in part </w:t>
      </w:r>
      <w:hyperlink r:id="rId79" w:history="1">
        <w:r>
          <w:rPr>
            <w:rFonts w:ascii="arial" w:eastAsia="arial" w:hAnsi="arial" w:cs="arial"/>
            <w:i/>
            <w:color w:val="0077CC"/>
            <w:sz w:val="20"/>
            <w:u w:val="single"/>
            <w:shd w:val="clear" w:color="auto" w:fill="FFFFFF"/>
            <w:lang w:val="en-US" w:eastAsia="en-US" w:bidi="ar-SA"/>
          </w:rPr>
          <w:t>2015 BCCA 362</w:t>
        </w:r>
      </w:hyperlink>
      <w:r>
        <w:rPr>
          <w:rFonts w:ascii="arial" w:eastAsia="arial" w:hAnsi="arial" w:cs="arial"/>
          <w:color w:val="000000"/>
          <w:sz w:val="20"/>
          <w:lang w:val="en-US" w:eastAsia="en-US" w:bidi="ar-SA"/>
        </w:rPr>
        <w:t>, Chief Justice Bauman explained this requirement: the resolution of each class member's claim must hinge on the resolution of that issue said to be common, although class members need not be identically situated to the opposing party, nor must common issues predominate. Success for one must be success for all, although that success need not be to the same extent for every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At para. 67, the Chief Justice elaborated: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The Court recently clarified the final point and held that "success for one member of the class does not necessarily have to lead to success for all the members. However, success for one member must not result in failure for another" (</w:t>
      </w:r>
      <w:r>
        <w:rPr>
          <w:rFonts w:ascii="arial" w:eastAsia="arial" w:hAnsi="arial" w:cs="arial"/>
          <w:i/>
          <w:color w:val="000000"/>
          <w:sz w:val="20"/>
          <w:lang w:val="en-US" w:eastAsia="en-US" w:bidi="ar-SA"/>
        </w:rPr>
        <w:t>Vivendi Canada Inc. v. Dell'Aniello</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2014 SCC 1</w:t>
        </w:r>
      </w:hyperlink>
      <w:r>
        <w:rPr>
          <w:rFonts w:ascii="arial" w:eastAsia="arial" w:hAnsi="arial" w:cs="arial"/>
          <w:color w:val="000000"/>
          <w:sz w:val="20"/>
          <w:lang w:val="en-US" w:eastAsia="en-US" w:bidi="ar-SA"/>
        </w:rPr>
        <w:t xml:space="preserve"> at para. 45). Further, questions may be common even if the answers to those questions vary from class member to class member (</w:t>
      </w:r>
      <w:r>
        <w:rPr>
          <w:rFonts w:ascii="arial" w:eastAsia="arial" w:hAnsi="arial" w:cs="arial"/>
          <w:i/>
          <w:color w:val="000000"/>
          <w:sz w:val="20"/>
          <w:lang w:val="en-US" w:eastAsia="en-US" w:bidi="ar-SA"/>
        </w:rPr>
        <w:t>Vivendi</w:t>
      </w:r>
      <w:r>
        <w:rPr>
          <w:rFonts w:ascii="arial" w:eastAsia="arial" w:hAnsi="arial" w:cs="arial"/>
          <w:color w:val="000000"/>
          <w:sz w:val="20"/>
          <w:lang w:val="en-US" w:eastAsia="en-US" w:bidi="ar-SA"/>
        </w:rPr>
        <w:t xml:space="preserve"> at paras. 45-46). In any event, concerns about unproven material differences are not determinative at certification. If they actually emerge during the proceeding, Courts can deal with them when the time comes, through decertification if necessary: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[2013] 3 S.C.R. 477</w:t>
        </w:r>
      </w:hyperlink>
      <w:r>
        <w:rPr>
          <w:rFonts w:ascii="arial" w:eastAsia="arial" w:hAnsi="arial" w:cs="arial"/>
          <w:color w:val="000000"/>
          <w:sz w:val="20"/>
          <w:lang w:val="en-US" w:eastAsia="en-US" w:bidi="ar-SA"/>
        </w:rPr>
        <w:t xml:space="preserve"> at para. 112;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Furthermore:</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common issue cannot be dependent on individual findings of fact that have to be made with respect to each individual claimant: </w:t>
      </w:r>
      <w:r>
        <w:rPr>
          <w:rFonts w:ascii="arial" w:eastAsia="arial" w:hAnsi="arial" w:cs="arial"/>
          <w:i/>
          <w:color w:val="000000"/>
          <w:sz w:val="20"/>
          <w:lang w:val="en-US" w:eastAsia="en-US" w:bidi="ar-SA"/>
        </w:rPr>
        <w:t>Singer</w:t>
      </w:r>
      <w:r>
        <w:rPr>
          <w:rFonts w:ascii="arial" w:eastAsia="arial" w:hAnsi="arial" w:cs="arial"/>
          <w:color w:val="000000"/>
          <w:sz w:val="20"/>
          <w:lang w:val="en-US" w:eastAsia="en-US" w:bidi="ar-SA"/>
        </w:rPr>
        <w:t xml:space="preserve"> as cited in </w:t>
      </w:r>
      <w:r>
        <w:rPr>
          <w:rFonts w:ascii="arial" w:eastAsia="arial" w:hAnsi="arial" w:cs="arial"/>
          <w:i/>
          <w:color w:val="000000"/>
          <w:sz w:val="20"/>
          <w:lang w:val="en-US" w:eastAsia="en-US" w:bidi="ar-SA"/>
        </w:rPr>
        <w:t>Thorburn</w:t>
      </w:r>
      <w:r>
        <w:rPr>
          <w:rFonts w:ascii="arial" w:eastAsia="arial" w:hAnsi="arial" w:cs="arial"/>
          <w:color w:val="000000"/>
          <w:sz w:val="20"/>
          <w:lang w:val="en-US" w:eastAsia="en-US" w:bidi="ar-SA"/>
        </w:rPr>
        <w:t xml:space="preserve"> BCSC at para. 101;</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have the burden to show some basis in fact that an issue exists which the court can assess as common: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at para. 143;</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many individual issues arise from the common issues proposed, the court may narrow or select certain common issues to be certified in cases where a class proceeding is otherwise the preferable procedure: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at para. 142;</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common issue must be a substantial component of each Class members' claim, but its resolution does not have to be determinative of liability. It must advance the litigation and there must be commonality in the actual wrongdoing alleged: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at para. 139;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at para. 130;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plaintiffs' schedule of proposed common issues is attached as Schedule A to these reasons for judgment.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Parties'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plaintiffs' position is that a reasonable expectation of privacy was apparent in all of the circumstances involving the proposed Class. They say that no conflicts arise between the members of the Class in relation to the proposed common issues since success for one member will not result in failure to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so far as the common issues relating to damages are concerned, they submit that the focus of those issues is "to establish overarching principles as to whether the defendants should compensate the plaintiffs and other proposed Class members for tangible and readily quantifiable losses they suffered as a result of the warrantless searches".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defendants' position is that there are no common issues.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light of my conclusion that the plaintiffs have failed to satisfy the first two requirements for certification, I do not propose to analyse each proposed common issue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Applying the principles to which I referred to the circumstances of this case, I agree with the defendants that practical differences arise out of the plaintiffs' proposed common issues. These differences come from the manner in which the plaintiffs have chosen to frame their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legal tests to which I have referred regarding the causes of action will require individual analyses of each potential claimant's particular circumstances in order to determine if liability exists in relation to that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As submitted by the defendants, the proposed common issues will entail a consideration of some or all of the following:</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had legal possession of the property and the rights of access or exclusion?</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contractual arrangements between the landlords and tenants?</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property used exclusively to produce drugs, but had a guard or "occupant" present?</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Inspection in fact without a warrant?</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legislation authorized each inspection? Depending on the circumstances, could it be authorized by the common law?</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exigent circumstances exist in relation to any of the Inspections such that the presumption of unreasonableness would not apply?</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depending on the circumstances which gave rise to an inspection, are the defendants able to rebut the presumption of unreasonableness?</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request for the Inspection came from the RCMP following a MET inspection, what was the effect of that request on the legality of the search?</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Inspection occurred at the request of a landlord/owner what is the effect of that request on the legality of the Inspection?</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consent was provided was it a valid consent? The plaintiffs allege no consent could be valid, but consent vitiates a reasonable expectation of privacy and provides a defence to a claim in trespass;</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consent provided after the owner or resident sought legal advice?</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steps were taken by the Team members to assess the reasonableness of a particular inspection?</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assumption that, as the plaintiffs assert,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is relevant, when did the Inspection occur: before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BCSC as was the case with the representative plaintiffs, after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BCSC but before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BCCA or after </w:t>
      </w:r>
      <w:r>
        <w:rPr>
          <w:rFonts w:ascii="arial" w:eastAsia="arial" w:hAnsi="arial" w:cs="arial"/>
          <w:i/>
          <w:color w:val="000000"/>
          <w:sz w:val="20"/>
          <w:lang w:val="en-US" w:eastAsia="en-US" w:bidi="ar-SA"/>
        </w:rPr>
        <w:t>Arkinstall</w:t>
      </w:r>
      <w:r>
        <w:rPr>
          <w:rFonts w:ascii="arial" w:eastAsia="arial" w:hAnsi="arial" w:cs="arial"/>
          <w:color w:val="000000"/>
          <w:sz w:val="20"/>
          <w:lang w:val="en-US" w:eastAsia="en-US" w:bidi="ar-SA"/>
        </w:rPr>
        <w:t xml:space="preserve"> BCCA? What steps were taken by the Team members to assess the reasonableness of a given inspection during these three discrete time frames?</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warrantless inspections constitute a trespass? This will involve a consideration of who had legal possession of a given property and many of the other questions above;</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a given Class member's s. 8 C</w:t>
      </w:r>
      <w:r>
        <w:rPr>
          <w:rFonts w:ascii="arial" w:eastAsia="arial" w:hAnsi="arial" w:cs="arial"/>
          <w:i/>
          <w:color w:val="000000"/>
          <w:sz w:val="20"/>
          <w:lang w:val="en-US" w:eastAsia="en-US" w:bidi="ar-SA"/>
        </w:rPr>
        <w:t>harter</w:t>
      </w:r>
      <w:r>
        <w:rPr>
          <w:rFonts w:ascii="arial" w:eastAsia="arial" w:hAnsi="arial" w:cs="arial"/>
          <w:color w:val="000000"/>
          <w:sz w:val="20"/>
          <w:lang w:val="en-US" w:eastAsia="en-US" w:bidi="ar-SA"/>
        </w:rPr>
        <w:t xml:space="preserve"> right breached? If so, what is the appropriate remedy? Are damages a just and appropriate remedy for that proposed Class member as alleged in the Amended NOCC?</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damages functionally justified in a given case?</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 any damages or restitution to which the Class members are found to be entitled be assessed in the aggregate pursuant to s. 29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If so, which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Many, if not most of these issues will require an individual assessment. As such they lack commonality. As Justice Smith stated in </w:t>
      </w:r>
      <w:r>
        <w:rPr>
          <w:rFonts w:ascii="arial" w:eastAsia="arial" w:hAnsi="arial" w:cs="arial"/>
          <w:i/>
          <w:color w:val="000000"/>
          <w:sz w:val="20"/>
          <w:lang w:val="en-US" w:eastAsia="en-US" w:bidi="ar-SA"/>
        </w:rPr>
        <w:t>Thorburn</w:t>
      </w:r>
      <w:r>
        <w:rPr>
          <w:rFonts w:ascii="arial" w:eastAsia="arial" w:hAnsi="arial" w:cs="arial"/>
          <w:color w:val="000000"/>
          <w:sz w:val="20"/>
          <w:lang w:val="en-US" w:eastAsia="en-US" w:bidi="ar-SA"/>
        </w:rPr>
        <w:t xml:space="preserve"> BCCA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resolution of these "common issues" in practical terms resolves no "common" element of each member's cause of action (an unlawful search), as each of the elements of the cause of action (reasonable grounds for arrest, search incidental to arrest, reasonableness of the manner of the search including the likelihood of a member being placed into the prison population, and the appropriateness of Charter damages) requires individual findings specific to the proposed class member. Accordingly, even if the answers to the "common issues" could be said to clarify the questions they pose, they would not advance the litigation in any meaningful way as they would not avoid the duplication that would be necessary for the individual fact finding and legal analysis of each class member's claim. In other words, a finding of a s. 8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 as a result of an unreasonable search of one class member will not found a similar finding for another class member as a finding of an unreasonable search is dependent on a multitude of variable circumstances unique to each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Also, conflicts will arise between certain Class members such that success for one will result in failure to another. This is seen by the inclusion of both owners/landlords and their tenants. See </w:t>
      </w:r>
      <w:r>
        <w:rPr>
          <w:rFonts w:ascii="arial" w:eastAsia="arial" w:hAnsi="arial" w:cs="arial"/>
          <w:i/>
          <w:color w:val="000000"/>
          <w:sz w:val="20"/>
          <w:lang w:val="en-US" w:eastAsia="en-US" w:bidi="ar-SA"/>
        </w:rPr>
        <w:t>Pugliese</w:t>
      </w:r>
      <w:r>
        <w:rPr>
          <w:rFonts w:ascii="arial" w:eastAsia="arial" w:hAnsi="arial" w:cs="arial"/>
          <w:color w:val="000000"/>
          <w:sz w:val="20"/>
          <w:lang w:val="en-US" w:eastAsia="en-US" w:bidi="ar-SA"/>
        </w:rPr>
        <w:t xml:space="preserve"> at paras. 13-15. In addition, some of the Inspections of leased premises were at the instigation of an owner/landlord.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Accordingly, I conclude that the plaintiffs have failed to establish the third requirement for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Section 4(1)(d): Is a class proceeding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The criterion to be considered by the court in deciding whether a class proceeding is the preferable procedure is set out in s. 4(1)(d)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which is reproduced at para. 61 above. The following principles are also applicable:</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have the burden to establish that certifying the action as a class proceeding is the preferable procedure for resolving the claims: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at para. 137;</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purposes of the </w:t>
      </w:r>
      <w:r>
        <w:rPr>
          <w:rFonts w:ascii="arial" w:eastAsia="arial" w:hAnsi="arial" w:cs="arial"/>
          <w:i/>
          <w:color w:val="000000"/>
          <w:sz w:val="20"/>
          <w:lang w:val="en-US" w:eastAsia="en-US" w:bidi="ar-SA"/>
        </w:rPr>
        <w:t>CPA -</w:t>
      </w:r>
      <w:r>
        <w:rPr>
          <w:rFonts w:ascii="arial" w:eastAsia="arial" w:hAnsi="arial" w:cs="arial"/>
          <w:color w:val="000000"/>
          <w:sz w:val="20"/>
          <w:lang w:val="en-US" w:eastAsia="en-US" w:bidi="ar-SA"/>
        </w:rPr>
        <w:t xml:space="preserve"> judicial economy, access to justice, and behaviour modification - heavily inform the analysis of whether a class procedure is the preferable procedure in the circumstances of the case: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at para. 230;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at para. 141;</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enumerated list in s. 4(1)(d) is not exhaustive as all relevant matters must be considered by the court: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at para. 231;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at para. 139;</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essential questions to consider are:</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class proceeding would be a fair, efficient, and manageable method of advancing the claim, and</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a class proceeding would be preferable to other procedures such as joinder, test cases, or consolidation. Whether something is fair, efficient, and manageable must be considered in the context of the entire claim. Determining whether a class proceeding is preferable requires the court to look at all reasonably available means of resolving the Class members' claims: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at paras. 230, 232;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at para. 140; and</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class proceeding must be the preferable procedure for resolving the </w:t>
      </w:r>
      <w:r>
        <w:rPr>
          <w:rFonts w:ascii="arial" w:eastAsia="arial" w:hAnsi="arial" w:cs="arial"/>
          <w:i/>
          <w:color w:val="000000"/>
          <w:sz w:val="20"/>
          <w:lang w:val="en-US" w:eastAsia="en-US" w:bidi="ar-SA"/>
        </w:rPr>
        <w:t>common issues</w:t>
      </w:r>
      <w:r>
        <w:rPr>
          <w:rFonts w:ascii="arial" w:eastAsia="arial" w:hAnsi="arial" w:cs="arial"/>
          <w:color w:val="000000"/>
          <w:sz w:val="20"/>
          <w:lang w:val="en-US" w:eastAsia="en-US" w:bidi="ar-SA"/>
        </w:rPr>
        <w:t xml:space="preserve">. Practicality alone cannot justify a class proceeding. It is not sufficient for the plaintiffs to establish that there is no other preferable procedure, the court must also be satisfied that a class proceeding would be fair, efficient, and manageable: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at para. 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Even if the court were to determine that there were certain issues common to the entire Class, it must still be satisfied that a class proceeding is the preferable procedure.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Parties'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plaintiffs' position is that the proposed common issues address the predominant liability issue facing any claimant against the defendants. That issue, as noted above in relation to the first certification requirement, is the reasonableness of the Bylaw provisions that purportedly authorized the searches in question. According to their written submissions, "there will likely be no liability issues for determination" and "the only variation as between Class members is in relation to the type of financial harm he or she suffered as a result of the searches".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plaintiffs also submit that further refinements could be made to the proceeding such as additional amendments to the proposed common issues. They say the creation of subclasses of plaintiffs and the availability of the opt-out provision in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would also address the concerns raised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defendants' position is that a class proceeding is not the preferable procedure where, as is the situation here, individual issues clearly predominate.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They also point to the fact that 45 individuals pursued administrative appeals and that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proceedings took place between certain landlord and tenants. This is relevant to the s. 4(1)(d) requirement as to whether the class proceeding would involve claims that are or have been the subject of other proceedings and whether other means of resolving the claims are less practical or less efficient.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conclude that the plaintiffs have failed to satisfy several of the s. 4(1)(d) criteria. For the reasons I have outlined, the court will be required to embark on an individual assessment and hear evidence from the individual Class members in relation to a number of the circumstances giving rise to the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potential conflict between Class members also arises when this criterion is considered. The representative plaintiffs demonstrate this. Quite apart from the issue as to how Mr. Monaco could assert an expectation of privacy or a right to possess the Property is his personal involvement prior to the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He asserts that he attended the Property on several occasions and saw no evidence of a grow op. That is not the evidence of Coquitlam's Mr. Eberle.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In defending Ms. Joseph's claims, the defendants may well join Mr. Monaco as a third party seeking contribution or indemnity for his alleged failure to properly inspect the Property thereby allowing a hazardous situation to develop. Similar allegations may be made by the defendants </w:t>
      </w:r>
      <w:r>
        <w:rPr>
          <w:rFonts w:ascii="arial" w:eastAsia="arial" w:hAnsi="arial" w:cs="arial"/>
          <w:i/>
          <w:color w:val="000000"/>
          <w:sz w:val="20"/>
          <w:lang w:val="en-US" w:eastAsia="en-US" w:bidi="ar-SA"/>
        </w:rPr>
        <w:t>vis a vis</w:t>
      </w:r>
      <w:r>
        <w:rPr>
          <w:rFonts w:ascii="arial" w:eastAsia="arial" w:hAnsi="arial" w:cs="arial"/>
          <w:color w:val="000000"/>
          <w:sz w:val="20"/>
          <w:lang w:val="en-US" w:eastAsia="en-US" w:bidi="ar-SA"/>
        </w:rPr>
        <w:t xml:space="preserve"> other putative Class members who were owners/landlords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A class proceeding is not the preferable procedure if the common issues, to the extent they exist, are overwhelmed or subsumed by the individual issues: </w:t>
      </w:r>
      <w:r>
        <w:rPr>
          <w:rFonts w:ascii="arial" w:eastAsia="arial" w:hAnsi="arial" w:cs="arial"/>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xml:space="preserve"> at para. 36, </w:t>
      </w:r>
      <w:hyperlink r:id="rId52"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Thorburn</w:t>
      </w:r>
      <w:r>
        <w:rPr>
          <w:rFonts w:ascii="arial" w:eastAsia="arial" w:hAnsi="arial" w:cs="arial"/>
          <w:color w:val="000000"/>
          <w:sz w:val="20"/>
          <w:lang w:val="en-US" w:eastAsia="en-US" w:bidi="ar-SA"/>
        </w:rPr>
        <w:t xml:space="preserve"> BCCA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As Smith J.A. stated in </w:t>
      </w:r>
      <w:r>
        <w:rPr>
          <w:rFonts w:ascii="arial" w:eastAsia="arial" w:hAnsi="arial" w:cs="arial"/>
          <w:i/>
          <w:color w:val="000000"/>
          <w:sz w:val="20"/>
          <w:lang w:val="en-US" w:eastAsia="en-US" w:bidi="ar-SA"/>
        </w:rPr>
        <w:t>Thorburn</w:t>
      </w:r>
      <w:r>
        <w:rPr>
          <w:rFonts w:ascii="arial" w:eastAsia="arial" w:hAnsi="arial" w:cs="arial"/>
          <w:color w:val="000000"/>
          <w:sz w:val="20"/>
          <w:lang w:val="en-US" w:eastAsia="en-US" w:bidi="ar-SA"/>
        </w:rPr>
        <w:t xml:space="preserve">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This criterion speaks to judicial economy in a class proceeding: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at para. 27. Certification applications typically have been rejected where individual issues have predominated over common issues: see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32 and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at para. 29.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The predominance of individual issues also is relevant to the objective of access to justice in a class proceeding as it raises questions as to the fairness and efficiency of the proposed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At para. 51, Smith J.A. also referred to </w:t>
      </w:r>
      <w:r>
        <w:rPr>
          <w:rFonts w:ascii="arial" w:eastAsia="arial" w:hAnsi="arial" w:cs="arial"/>
          <w:i/>
          <w:color w:val="000000"/>
          <w:sz w:val="20"/>
          <w:lang w:val="en-US" w:eastAsia="en-US" w:bidi="ar-SA"/>
        </w:rPr>
        <w:t>Tiemstra v. Insurance Corp. of British Columbia</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(1997), 38 B.C.L.R. (3d) 377</w:t>
        </w:r>
      </w:hyperlink>
      <w:r>
        <w:rPr>
          <w:rFonts w:ascii="arial" w:eastAsia="arial" w:hAnsi="arial" w:cs="arial"/>
          <w:color w:val="000000"/>
          <w:sz w:val="20"/>
          <w:lang w:val="en-US" w:eastAsia="en-US" w:bidi="ar-SA"/>
        </w:rPr>
        <w:t xml:space="preserve"> at. para. 10, </w:t>
      </w:r>
      <w:hyperlink r:id="rId82" w:history="1">
        <w:r>
          <w:rPr>
            <w:rFonts w:ascii="arial" w:eastAsia="arial" w:hAnsi="arial" w:cs="arial"/>
            <w:i/>
            <w:color w:val="0077CC"/>
            <w:sz w:val="20"/>
            <w:u w:val="single"/>
            <w:shd w:val="clear" w:color="auto" w:fill="FFFFFF"/>
            <w:lang w:val="en-US" w:eastAsia="en-US" w:bidi="ar-SA"/>
          </w:rPr>
          <w:t>149 D.L.R. (4th) 419</w:t>
        </w:r>
      </w:hyperlink>
      <w:r>
        <w:rPr>
          <w:rFonts w:ascii="arial" w:eastAsia="arial" w:hAnsi="arial" w:cs="arial"/>
          <w:color w:val="000000"/>
          <w:sz w:val="20"/>
          <w:lang w:val="en-US" w:eastAsia="en-US" w:bidi="ar-SA"/>
        </w:rPr>
        <w:t xml:space="preserve"> (C.A.) for the proposition that if after the resolution of the purported common issues, individual claimants are not able to materially improve their position and still must press their claims, class certification would clearly not be the preferable procedure as it would not promote judicial economy or access to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Parsons v. Coast Capital Savings Credit Union</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2007 BCCA 247</w:t>
        </w:r>
      </w:hyperlink>
      <w:r>
        <w:rPr>
          <w:rFonts w:ascii="arial" w:eastAsia="arial" w:hAnsi="arial" w:cs="arial"/>
          <w:color w:val="000000"/>
          <w:sz w:val="20"/>
          <w:lang w:val="en-US" w:eastAsia="en-US" w:bidi="ar-SA"/>
        </w:rPr>
        <w:t>, Justice Newbury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The relevance of individual circumstances to the plaintiff's proof of the claims or to defences asserted by Coast Capital should not in my view be brushed aside merely in order to fit the action into the mould of a class proceeding. Whilst the "flexibility" of the Act is an important feature and in some instances decertification or the creation of sub-classes may be useful procedural tools, the objectives of this remedial legislation will not be well served if the court at the certification stage routinely delays addressing structural difficulties that will inevitably arise, in the hope they can be dealt with "when the time comes" in the midst of a complex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These comments all apply here. A class action in this case will not be a fair, effective and efficient procedure for resolving the individual plaintiffs' claims. The "proposed class proceeding would simply render the litigation inefficient, unmanageable and costly" and "only result in a mirage of judicial economy". </w:t>
      </w:r>
      <w:r>
        <w:rPr>
          <w:rFonts w:ascii="arial" w:eastAsia="arial" w:hAnsi="arial" w:cs="arial"/>
          <w:i/>
          <w:color w:val="000000"/>
          <w:sz w:val="20"/>
          <w:lang w:val="en-US" w:eastAsia="en-US" w:bidi="ar-SA"/>
        </w:rPr>
        <w:t>Thorburn</w:t>
      </w:r>
      <w:r>
        <w:rPr>
          <w:rFonts w:ascii="arial" w:eastAsia="arial" w:hAnsi="arial" w:cs="arial"/>
          <w:color w:val="000000"/>
          <w:sz w:val="20"/>
          <w:lang w:val="en-US" w:eastAsia="en-US" w:bidi="ar-SA"/>
        </w:rPr>
        <w:t xml:space="preserve"> BCSC at para. 53; </w:t>
      </w:r>
      <w:r>
        <w:rPr>
          <w:rFonts w:ascii="arial" w:eastAsia="arial" w:hAnsi="arial" w:cs="arial"/>
          <w:i/>
          <w:color w:val="000000"/>
          <w:sz w:val="20"/>
          <w:lang w:val="en-US" w:eastAsia="en-US" w:bidi="ar-SA"/>
        </w:rPr>
        <w:t>Vaugeois v. Budget Rent-A-Car of B.C. Ltd.</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2015 BCSC 802</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This proceeding is very different from that in </w:t>
      </w:r>
      <w:r>
        <w:rPr>
          <w:rFonts w:ascii="arial" w:eastAsia="arial" w:hAnsi="arial" w:cs="arial"/>
          <w:i/>
          <w:color w:val="000000"/>
          <w:sz w:val="20"/>
          <w:lang w:val="en-US" w:eastAsia="en-US" w:bidi="ar-SA"/>
        </w:rPr>
        <w:t>Murray v. East Coast Forensic Hospital</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2015 NSSC 61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Good v. Toronto Police Services</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2014 ONSC 4583</w:t>
        </w:r>
      </w:hyperlink>
      <w:r>
        <w:rPr>
          <w:rFonts w:ascii="arial" w:eastAsia="arial" w:hAnsi="arial" w:cs="arial"/>
          <w:color w:val="000000"/>
          <w:sz w:val="20"/>
          <w:lang w:val="en-US" w:eastAsia="en-US" w:bidi="ar-SA"/>
        </w:rPr>
        <w:t xml:space="preserve">. In both those cases the claims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flowed from a single event which affected all putative class members at the same time, occurred on one occasion and was predicated on a single decision by the relevant authorities or state actors.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Section 4(1)(e): Is there a suitable representative plaintiff and an adequate litigation plan?</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Representation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this requirement was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[239] Section 4(1)(e)(i) and (iii)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addresses whether the representative plaintiffs would fairly and adequately represent the interests of the class and whether they have interests in conflict with other class members in relation to the common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[240] The representative plaintiffs must be prepared to vigorously represent the interests of the class: </w:t>
      </w:r>
      <w:r>
        <w:rPr>
          <w:rFonts w:ascii="arial" w:eastAsia="arial" w:hAnsi="arial" w:cs="arial"/>
          <w:i/>
          <w:color w:val="000000"/>
          <w:sz w:val="20"/>
          <w:lang w:val="en-US" w:eastAsia="en-US" w:bidi="ar-SA"/>
        </w:rPr>
        <w:t>Endean</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[1997] B.C.J. No. 1209</w:t>
        </w:r>
      </w:hyperlink>
      <w:r>
        <w:rPr>
          <w:rFonts w:ascii="arial" w:eastAsia="arial" w:hAnsi="arial" w:cs="arial"/>
          <w:color w:val="000000"/>
          <w:sz w:val="20"/>
          <w:lang w:val="en-US" w:eastAsia="en-US" w:bidi="ar-SA"/>
        </w:rPr>
        <w:t xml:space="preserve"> at para. 66; </w:t>
      </w:r>
      <w:r>
        <w:rPr>
          <w:rFonts w:ascii="arial" w:eastAsia="arial" w:hAnsi="arial" w:cs="arial"/>
          <w:i/>
          <w:color w:val="000000"/>
          <w:sz w:val="20"/>
          <w:lang w:val="en-US" w:eastAsia="en-US" w:bidi="ar-SA"/>
        </w:rPr>
        <w:t>Fakhri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[2003] B.C.J. No. 2618</w:t>
        </w:r>
      </w:hyperlink>
      <w:r>
        <w:rPr>
          <w:rFonts w:ascii="arial" w:eastAsia="arial" w:hAnsi="arial" w:cs="arial"/>
          <w:color w:val="000000"/>
          <w:sz w:val="20"/>
          <w:lang w:val="en-US" w:eastAsia="en-US" w:bidi="ar-SA"/>
        </w:rPr>
        <w:t xml:space="preserve"> at para. 74. The determination of whether they adequately and appropriately represent class members and whether there are potential conflicts of interest must be considered in relation to the proposed common issues. In </w:t>
      </w:r>
      <w:r>
        <w:rPr>
          <w:rFonts w:ascii="arial" w:eastAsia="arial" w:hAnsi="arial" w:cs="arial"/>
          <w:i/>
          <w:color w:val="000000"/>
          <w:sz w:val="20"/>
          <w:lang w:val="en-US" w:eastAsia="en-US" w:bidi="ar-SA"/>
        </w:rPr>
        <w:t>Fakhri</w:t>
      </w:r>
      <w:r>
        <w:rPr>
          <w:rFonts w:ascii="arial" w:eastAsia="arial" w:hAnsi="arial" w:cs="arial"/>
          <w:color w:val="000000"/>
          <w:sz w:val="20"/>
          <w:lang w:val="en-US" w:eastAsia="en-US" w:bidi="ar-SA"/>
        </w:rPr>
        <w:t>, it was held that any differences between the representative plaintiffs and the proposed class which do not impact on the common issues, do not affect the representative plaintiffs' ability to adequately and fairly represent the class or create a conflict of interest (at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at paras. 143-144.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plaintiffs submit that they will be able to fairly and adequately represent the Class. They also argue that there are no differences between them and the proposed Class which affect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disagree. For the reasons I have outlined, a conflict exists between the two representative plaintiffs themselves, one the owner/landlord, the other the tenant. Even if the plaintiffs were correct as to the legal basis for the claims alleged in the Amended NOCC, at the very least the causes of action of one of them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There are also conflicts between putative Class members pertaining to the proposed common issues to which I have referred.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Litigation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Section 4(1)(e)(ii) requires that a representative plaintiff "has produced a plan for the proceeding that sets out a workable method of advancing the proceeding on behalf of the Class and of notifying Class members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Fisher J. held that it was unnecessary to analyze the plaintiffs' litigation plan in the circumstances. However, she noted that the plan was deficient in its form as it did not consider the extent of the individual issues that would have to be addressed. She found the plan to be indicative of problems in the plaintiffs' case: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at paras. 243-245.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In light of my conclusions regarding the other certification requirements, as was the case with Fisher J., I do not consider it necessary to analyse the plaintiffs' litigation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The case before me presents many similarities to those circumstances found by Fisher J. in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[246] For all of these reasons, I am not satisfied that the plaintiffs have established the necessary requirements for certification. I see the essential claims as those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in negligent misrepresentation. Because of the multiple sources of information received by the members of the proposed class, it is not possible to find enough common issues that would move this litigation forward in a material way. There is an insufficient evidentiary base for many of the plaintiffs' assertions against the corporate defendants and no evidentiary base for their assertions against the personal defendants. In all of the circumstances, a class action is not the preferable procedure.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[247] I will end with a comment about the manner in which this application was brought before the court and my approach to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[248] I appreciate the excellent and thorough submissions made by all counsel in this case. In support of those submissions, all parties filed a voluminous amount of authorities. I have not addressed every point argued or referred to every case, but I have reviewed all of the authorities on which each party has principally relied. Much of the analysis of the certification requirements, especially in relation to common issues and preferable procedure, are very much fact-driven. While many of the cases provide useful examples of the application of the relevant legal principles, I did not find them particularly helpful in the application of the principles in the circumstances of this case. Ultimately, whether or not a class proceeding is determined to be the preferable procedure in one case is of limited assistance to the ultimate determination in another. I would encourage all counsel to consider the necessity of putting so many authorities before the court in an application such 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These comments all apply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basis for this proceeding as pleaded by the plaintiffs presents the significant difficulties to which I have referred and that I consider to be irreparable. Due to the individualized assessments required both as to liability and damages, they are not curable by amendments, the creation of subclasses of plaintiffs, opting out, or decertification. Any winnowing can only arise after an examination of the individual circumstances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Exercising my function as gatekeeper, I conclude the Certification Application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Costs may be spoken to if that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ABRIOUX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Schedule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PROPOSED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Definitions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 the purposes of these Proposed Common Issues, the following definitions apply: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"Class"</w:t>
      </w:r>
      <w:r>
        <w:rPr>
          <w:rFonts w:ascii="arial" w:eastAsia="arial" w:hAnsi="arial" w:cs="arial"/>
          <w:color w:val="000000"/>
          <w:sz w:val="20"/>
          <w:lang w:val="en-US" w:eastAsia="en-US" w:bidi="ar-SA"/>
        </w:rPr>
        <w:t xml:space="preserve"> means all British Columbia resident persons who were living in a residence that was subjected to an inspection of its interior, pursuant to the City of Coquitlam Controlled Substance Property Bylaw No. 3833, 2007, that was not authorized by a warrant, and the owners of those residences.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"Class Properties"</w:t>
      </w:r>
      <w:r>
        <w:rPr>
          <w:rFonts w:ascii="arial" w:eastAsia="arial" w:hAnsi="arial" w:cs="arial"/>
          <w:color w:val="000000"/>
          <w:sz w:val="20"/>
          <w:lang w:val="en-US" w:eastAsia="en-US" w:bidi="ar-SA"/>
        </w:rPr>
        <w:t xml:space="preserve"> means properties that were owned or lived in by the Class and subject to a Warrantless Inspection.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"Grow Op Registry"</w:t>
      </w:r>
      <w:r>
        <w:rPr>
          <w:rFonts w:ascii="arial" w:eastAsia="arial" w:hAnsi="arial" w:cs="arial"/>
          <w:color w:val="000000"/>
          <w:sz w:val="20"/>
          <w:lang w:val="en-US" w:eastAsia="en-US" w:bidi="ar-SA"/>
        </w:rPr>
        <w:t xml:space="preserve"> means a database maintained by the City of Coquitlam listing properties which it claimed had been used in marihuana grow operations.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"Warrantless Inspection"</w:t>
      </w:r>
      <w:r>
        <w:rPr>
          <w:rFonts w:ascii="arial" w:eastAsia="arial" w:hAnsi="arial" w:cs="arial"/>
          <w:color w:val="000000"/>
          <w:sz w:val="20"/>
          <w:lang w:val="en-US" w:eastAsia="en-US" w:bidi="ar-SA"/>
        </w:rPr>
        <w:t xml:space="preserve"> means an inspection, pursuant to the City of Coquitlam Controlled Substance Property Bylaw No. 3833, 2007, that was not authorized by a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Proposed Common Issues:</w:t>
      </w:r>
      <w:r>
        <w:rPr>
          <w:rFonts w:ascii="arial" w:eastAsia="arial" w:hAnsi="arial" w:cs="arial"/>
          <w:sz w:val="20"/>
          <w:lang w:val="en-US" w:eastAsia="en-US" w:bidi="ar-SA"/>
        </w:rPr>
        <w:cr/>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Warrantless Inspections constitute an unreasonable search and seizure in violation of the Class Members' rights under section 8 of the </w:t>
      </w:r>
      <w:r>
        <w:rPr>
          <w:rFonts w:ascii="arial" w:eastAsia="arial" w:hAnsi="arial" w:cs="arial"/>
          <w:i/>
          <w:color w:val="000000"/>
          <w:sz w:val="20"/>
          <w:lang w:val="en-US" w:eastAsia="en-US" w:bidi="ar-SA"/>
        </w:rPr>
        <w:t>Charter of Rights and Freedoms</w:t>
      </w:r>
      <w:r>
        <w:rPr>
          <w:rFonts w:ascii="arial" w:eastAsia="arial" w:hAnsi="arial" w:cs="arial"/>
          <w:color w:val="000000"/>
          <w:sz w:val="20"/>
          <w:lang w:val="en-US" w:eastAsia="en-US" w:bidi="ar-SA"/>
        </w:rPr>
        <w:t>? In particular:</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Class members have an expectation of privacy in relation to the Class Properties that they owned and/or lived in?</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Were the warrantless searches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unreasonable?</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Warrantless Inspections authorized by law?</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1(c) is "yes", was the law authorizing the Warrantless Inspections reasonable? and</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manner in which the Warrantless Inspections were conducted reasonable?</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Warrantless Inspections constitute trespass on the Class Properties?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particular:</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consent to conduct the Warrantless Inspections was purportedly obtained from Class members after or in conjunction with a written representation that the Defendants had the right to enter the Class Properties and conduct the Warrantless Inspections, was such consent valid?</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answers to any of questions 1-2 are "yes", are the Class Members entitled to remedies?</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3 is "yes":</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remedies are the Class Members entitled to? Do the remedies include:</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for breach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trespass?</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Restitution for fines, fees, or other amounts assessed by or paid to Coquitlam in relation to a Warrantless Inspection?</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expenses incurred in relation to a Warrantless Inspection, such as remedial work performed on a Class Property or to secure adequate accommodations?</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rental income following the revocation of an occupancy permit?</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Diminution of the value of the Class Properties following the Class Properties being added to the Grow Op Registry?</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Removal of the Class Properties from the Grow Op Registry?</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 any damages or restitution the Class Members are entitled to be assessed in the aggregate pursuant to section 29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If so, which ones?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8"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MWH International, Inc. v. Lumbermens Mutual Casualty Co., [2006] B.C.J. No. 319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Masuhara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25 and 27,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S046413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2006 BCSC 219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34 C.C.L.I. (4th) 72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[2006] I.L.R. I-4487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145 A.C.W.S. (3d) 1133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2006 CarswellBC 342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MWH International, Inc., plaintiff, and Lumbermens Mutual Casualty Company,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9"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 w:name="Keywords_2"/>
      <w:bookmarkEnd w:id="19"/>
      <w:r>
        <w:rPr>
          <w:rFonts w:ascii="arial" w:eastAsia="arial" w:hAnsi="arial" w:cs="arial"/>
          <w:b/>
          <w:color w:val="000000"/>
          <w:sz w:val="20"/>
          <w:lang w:val="en-US" w:eastAsia="en-US" w:bidi="ar-SA"/>
        </w:rPr>
        <w:t>Contracts — Interpretation — Ambiguity — Contra proferentum rule — Insurer had duty to defend insured where insured reported occurrence of circumstance likely to lead to claim against insured — Ambiguous term in policy regarding whether reporting of circumstance was sufficient to trigger duty to defend construed against insurer as writer of policy.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Insurers — Duty to defend — Insurer had duty to defend insured where insured reported occurrence of circumstance likely to lead to claim against insured — Ambiguous term in policy regarding whether reporting of circumstance was sufficient to trigger duty to defend construed against insurer as writer of policy.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The insurance contract — Interpretation — Insurer had duty to defend insured where insured reported occurrence of circumstance likely to lead to claim against insured — Ambiguous term in policy regarding whether reporting of circumstance was sufficient to trigger duty to defend construed against insurer as writer of policy.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Liability insurance — Business and commercial insurance — Insurer had duty to defend insured where insured reported plant failure, likely to lead to claim against insured.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 w:name="Case Summary_2"/>
            <w:bookmarkEnd w:id="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MWH provided design and engineering services for power plant project -- Plant had design failure, subsequently unable to return to normal operations -- MWH had professional liability insurance policy with Lumbermens, as well as other policies to cover excess claims -- Insurance broker notified Lumbermens of potential claim -- No formal proceedings advanced against MWH -- MWH requested coverage under policy -- Lumbermens denied any obligation to cover MWH, as policy originally issued to predecessor company, Harza -- MWH commenced action against Lumbermens -- Lumbermens claimed reporting of circumstance, plant failure, did not trigger duty to defend, but that reporting of claim triggered duty -- Claim defined under policy as including circumstance reported during policy period from which insured could reasonably expect claim could be made -- Lumbermens' interpretation of policy too narrow -- Ambiguous term in policy construed against Lumbermens as writer -- Reporting of circumstance could trigger duty to defend -- MWH clearly provided notice to Lumbermens of circumstance, triggering duty -- Duty of Lumbermens to defend subject to stacking and sharing with other available insurance.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 w:name="Legislation Cited_0"/>
      <w:bookmarkEnd w:id="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0"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 w:name="Counsel_2"/>
      <w:bookmarkEnd w:id="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1"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J.R. Singleton, Q.C. and B. Cornish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J.M. Shore and J.P. Samson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 w:name="Judgment_2"/>
      <w:bookmarkEnd w:id="23"/>
      <w:r>
        <w:pict>
          <v:line id="_x0000_s1042" style="position:absolute;z-index:2518149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 w:name="MASUHARA J."/>
            <w:bookmarkEnd w:id="24"/>
            <w:r>
              <w:rPr>
                <w:rFonts w:ascii="arial" w:eastAsia="arial" w:hAnsi="arial" w:cs="arial"/>
                <w:b/>
                <w:color w:val="000000"/>
                <w:sz w:val="30"/>
                <w:lang w:val="en-US" w:eastAsia="en-US" w:bidi="ar-SA"/>
              </w:rPr>
              <w:t>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application proceeded by way of summary trial pursuant to Rule 18A. The plaintiff, MWH International, Inc. ("MWHI"), seeks a declaration that the defendant, Lumbermens Mutual Casualty Company ("Lumbermens"), is obliged to extend coverage to it under a professional liability insurance policy in respect of a potential claim arising out of the failure of the approach channel to the Keenleyside 170 megawatt power plant in Castlegar, British Columbia on or about April 30, 2004. The plaintiff provided design and engineering services for the design and construction of the power plant, including the approach channel (the "Project"). On or about the said date, a section of the approach channel's concrete liner was damaged which necessitated the shut down of the power plant. To date the power plant has not returned to its normal generating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provided professional liability insurance coverage for various parties involved in the design and construction of the Project under a policy effective February 12, 1999 (the "Policy"). Harza Engineering Company, International LP ("Harza LP") was responsible for the design of the approach channel and was a named insured under the Policy. Harza LP was later converted to the plaintiff corporation, MWHI.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has requested coverage under the Policy. The plaintiff argues that the defendant has a duty to defend the plaintiff upon the reporting of a "CIRCUMSTANCE". A "CIRCUMSTANCE" is included under the definition of "CLAIM" in the Policy and is defined as "an event reported during the Policy Period from which the insured reasonably expects that a claim could be made". The plaintiff claims that a CIRCUMSTANCE was reported to the defendant on May 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argues that it is not the reporting of a CIRCUMSTANCE but the reporting of a "CLAIM against the INSURED seeking DAMAGES" that triggers the duty to defend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Further, the defendant argues that it has no obligation to extend coverage under the Policy to the plaintiff for acts, errors, or omissions made by it subsequent to December 30, 2003, on the basis that MWHI was not a named insured under the Policy nor was it in existence during the period covered by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that arise are as follows:</w:t>
      </w:r>
      <w:r>
        <w:rPr>
          <w:rFonts w:ascii="arial" w:eastAsia="arial" w:hAnsi="arial" w:cs="arial"/>
          <w:sz w:val="20"/>
          <w:lang w:val="en-US" w:eastAsia="en-US" w:bidi="ar-SA"/>
        </w:rPr>
        <w:cr/>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duty to defend the plaintiff been triggered under the Policy? If so, from what date did the duty to defend arise?</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entitled to coverage as an insured under the Policy for any acts, errors or omissions relating to its provision of professional services after December 2003, when it was first created?</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declaration of coverage is made, what form should it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Both parties agree that a summary trial is appropriate to resolve this dispute and I agree that the issues are well suited for this type of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AND 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Construction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December 31, 1998, Arrow Lakes Power Company ("ALPC") entered into a Design-Build Contract with Peter Kiewit &amp; Sons Co. Ltd. ("PKS") for the design and construction of the Project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Contract required ALPC to procure and maintain specific coverage, including professional errors and omissions insurance for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December 31, 1998, PKS entered into a subcontract with Harza LP, a Delaware limited partnership, pursuant to which Harza LP agreed to provide design and engineering services 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accordance with the Contract, ALPC obtained a professional errors and omissions contract of insurance with the defendant: Policy No. 4LS000098, effective February 12, 1999 to January 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Item VI of the Declarations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COVERED PROFESSIONAL SERVICES: All professional services of the Named Insured for the design and construction of the Keenleyside Powerplant Project consisting of a 170 megawatt Hydroelectric powerplant to be constructed in the vicinity of Castlegar, British Columbia, and including approach channel, tailrace, 49 kilometre transmission line, and all related infrastructure.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Endorsement No. 10 to the Policy extended the Policy period from January 1, 1999 to January 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Endorsement No. 11 to the Policy added Harza LP as an Additional Named Insured, effective February 12,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definition of "CLAIM" in the Policy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CLAIM means a demand received by the INSURED for money or services, including the service of suit or institution of arbitration proceedings against an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Endorsement 6 modifies the definition of "CLAIM" and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definition of Claim shall include a CIRCUMSTANCE.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CIRCUMSTANCE means an event reported during the Policy Period from which the insured reasonably expects that a claim could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section VIII "NOTICE" provisions state: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condition precedent to the coverage hereunder, in the event of a CLAIM, written notice containing particulars sufficient to identify the INSURED and also reasonably obtainable information with respect to the time, place and circumstances thereof, and the names and addresses of available witnesses, shall be given by or for the INSURED to the Company as soon as practicable.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INSURED becomes aware of a circumstance for which this Policy may apply, and if during the POLICY PERIOD the INSURED gives written notice containing the following to the Company:</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details of the suspected act, error or omission or POLLUTION CONDITIONS and the respective PROFESSIONAL SERVICES or COVERED OPERATIONS rendered by or on behalf of the INSURED, and</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specific nature and extent of the DAMAGES suspected, and</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how the INSURED first became aware of such circumstances,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then any CLAIM that may subsequently be made against the INSURED arising out of such circumstances shall be deemed to have been made on the date first written notice of the circumstances was received by the Company in accordance with these conditions. The right conferred upon the INSURED herein shall not apply during the Automatic Extended Reporting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insurer's duty to defend the insured is found in section VII, "DEFENSE, SETTLEMENT AND COOPERATION", which states: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insurance afforded by this Policy, the Company shall defend any CLAIM against the INSURED seeking DAMAGES to which this insurance applies, even if any of the allegations are groundless, false, or fraudulent. It is further agreed that the Company may make such investigation of any CLAIM as it deems expedient, but the Company shall not be obligated to pay DAMAGES or to defend or to continue to defend any CLAIM after the applicable limits of the Company's liability have been exhausted by payment of DAMAGES and/or CLAIMS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Approach Channel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power plant was designed and constructed between 1998 and 2002. It commenced operations in early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or about April 30, 2004, anomalous water levels were detected at the intake. Shortly after, damage was discovered to a section of the approach channel's concrete liner (the "Channel Failure"). The cause of the Channel Failure was not immediately apparent. As a result of the Channel Failure, the power plant was shut down and notice was given to the appropriate regulatory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first few days of May 2004, various meetings were held between ALPC, PKS, and MWHI in the course of which ALPC requested that MWHI and PKS investigate the possible causes of the Channel Failure and implement contingency plans to reduce piezometric levels. It is during this period that ALPC representatives alleged that defects in design and/or construction were potentially a cause of the Channel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By letter dated May 7, 2004, Land and Water British Columbia Inc. imposed rigorous conditions on ALPC (as licensee of the power plant) related to the Channel Failure and any future resumption of the power plant's operations. To date, the power plant has not returned to its normal generating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Correspondence Between the Parties Following the Channel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May 5, 2004 the insurance broker responsible for placing the Policy, Willis Canada Inc. ("Willis"), notified the defendant of a potential claim arising out of the Channel Failure. This notice, entitled "Report of Loss or Accident", sets out various details such as the policy number, the date of the loss, the location of the loss, and the name of the insured as "Klohn Cripper/SNC et al. c/o Columbia Power 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May 6, 2004, ALPC wrote to PKS to request that PKS and MWHI advise of all possible causes of the Channel Failure on a priority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May 17, 2004, the defendant wrote to PKS and to Willis and acknowledged receipt on May 6, 2004 of the May 5, 2004 notice from Willis under the Policy. In its letter, the defendant stated its assumption that the notice had been provided on behalf of PKS and requested that it be advised otherwise. The defendant also stated that the information provided did not describe the problem and how it related to the services or work performed by PKS. The defendant then specified further information and documentation it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May 26, 2004, PKS wrote to the defendant to further advise it as to the circumstances of the Channel Failure and to provide available information and documentation. The May 26, 2004 letter and its enclosures were delivered to the defendant on May 27, 2004. The letter states that "Kiewit and its designer, Harza, have denied any responsibility for the incident, but in the interest of safety, we have instituted emergency repairs to help the owner prevent any consequential damage." It further states that "Kiewit and Harza are currently discussing the advisability and creation of a Joint Defense Agreement to protect and facilitate the transmittal of information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By letter dated June 10, 2004, Mr. Singleton wrote to the defendant and advised it that he was representing MWHI in a potential claim against MWHI and others by ALPC. He advised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no formal proceedings or formal claim has yet been advanced against MWH, both ALPC and Peter Kiewit Sons Co. Ltd. ("PKS") have intimated that a claim may well be made depending on the outcome of the current investigation into the cause of the failure of the concrete approach channel to the Keenleyside Powerhouse.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also advised the defendant as to the nature of the problem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sizeable portion of the concrete floor of the channel failed on April 30, 2004. The powerplant has been out of operation since that date, emergency repairs have been carried out and more permanent repairs are in the course of being planned. The maximum estimated claim is in excess of $50 million (Canadian) broken down approximately equally between repair costs and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June 11, 2004, ALPC advised PKS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critical that the Approach Channel Invert Damage be repaired as soon as possible so that power generation can resume to mitigate damages that ALPC is suffering and for which others may ultimately be liable.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everyone's recognition of the need to minimize loss of power generation, ALPC respectfully requests that PKS/Harza now wait to submit their preferred option but, instead, immediately submit a summary of all options being considered together with a brief technical description of each option so that ALPC and the Owners' Consultant can being to familiarize themselves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Between June and November 2004, further information was provided to the defendant, who was asked to extend coverage. In particular, Mr. Singleton provided considerable detail in a letter dated August 11,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Despite these communications, the defendant declined to extend coverage and this action was commenced on November 17,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By letter dated March 31, 2005, ALPC advised PKS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Arrows Lake Power Corporation ("ALPC") hereby gives notice to Peter Kiewit Sons Co ("PKS") that ALPC holds PKS and its subcontractors solely responsible for all damage that occurred to the approach channel on or about 30 April 2004 (the "Approach Channel Damage") and ALPC requires PKS, at its cost, to implement permanent repairs and to take such measures as are reasonable to prevent a reoccurrence of such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ALPC also hereby confirms that ALPC holds PKS responsible and demands reimbursement for all expenses, loss and damage incurred by ALPC and/or to be incurred by ALPC in relation to the Approach Channel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Approach Channel Damage occurred as a result of PKS' breach of its obligations under the design-build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failure of its duty to warn ALPC of the potential for development of hydraulic conditions that could result in failure of either or both the facility and the existing Hugh Keenleyside Dam, including among others in some or all of the following aspects: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design, engineer, procure, construct, commission, performance test and provide on a turnkey basis a complete, operational and safe facility that was suitable and fit for the purposes intended under the Contract;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design, engineer and provide an approach channel that prevented unbalanced uplift pressures acting on the approach channel concrete lining under all operating conditions contemplated under the Contract;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design, engineer and provide an approach channel with the approach channel capacity limits in the Contract;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ALPC also hereby gives notice to PKS pursuant to Section 5 of the Appendix 19-2 of the Contract that PKS is required to perform Availability Remedial Works as required to correct the cause of the Approach Channel Damage and to minimize the probability of a reoccurrence of such damage and increased future outages.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Within twenty-one (21) days of the date of this letter ALPC requires PKS to submit to ALPC, for ALPC's review and approval, a plan and schedule for PKS' proposed design and construction of a permanent repair of the Approach Channel Damage, all at PKS' expense. If a detailed plan and schedule can not be prepared within than (sic) time, ALPC requires PKS' written commitment that PKS will provide the detailed work plan and schedule and undertake the permanent repairs, all at PKS'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PKS provided the March 31, 2005 letter to the defendant on April 27, 2005. The plaintiff provided a copy of this letter to the defendant on June 7,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April 6, 2005, the plaintiff provided a List of Documents with respect to this action which included inter alia:</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and contact information for any available witnesses.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received from the Owner of the Power Plant relating to the Channel Failure including details of the Owner's demands for services, or allegations of acts, error, or omissions of professional services against MWH.</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documents noted in (a) and (b) above, information concerning the circumstances surrounding the Channel Failure and subsequent events including to but not limited to interim repair work surrounding the Channel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HAS THE DUTY TO DEFEND BEEN TRIGGERED?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argues that since ENDORSEMENT No. 6 expands the definition of "CLAIM" to include a "CIRCUMSTANCE", it follows that a CLAIM under the Policy includes "an event reported during the Policy Period from which the insured reasonably expects that a claim could be made", which is the definition of "CIRCUMSTANCE". The plaintiff submits that the Channel Failure constituted an event from which the plaintiff reasonably expected that a claim could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submits that a CIRCUMSTANCE was reported to the defendant pursuant to the section VII notice provisions by means of the May 5, 2004 letter from Willis to the defendant. In that letter, Sandra Sherrard of Willis advised the defendant of the Channel Failure. Ms. Sherrard deposed that in providing notice to the defendant, she did so on behalf of Harza LP. She stated the following:</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involved in noting the details of loss, among other tasks and responsibilities, for the "Willis Canada Inc. Report of Loss or Accident" dated May 5, 2004 ("Report of Loss") and caused the same to be sent to Kemper Environmental Claims Department by way of fax cover of the same date.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Report of Loss, the Insured was listed as "Klohn Crippen/SNC et al c/o Columbia Power Corp". This description was intended to include all the named insured listed in the Kemper Policy, including Harza Engineering Company International ("Harza). It is my understanding that Harza is listed as an additional named insured in the Kemper Policy by way of Endorsement No. 11. The use of the language "et al" in this description was therefore intended to cover all other named insured, in addition to the First Named Insured, "Klohn - Crippen Consultants Ltd. and SNC-Lavalin Inc. c/o Columbia Power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also refers to the affidavit of Karen Lubovinsky, a lawyer and the defendant's Claims Director during the relevant time, in which she deposed she was aware that a CIRCUMSTANCE had been reported on behalf of the plaintiff prior to September 20, 2004. She deposed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May 6, 2004, Sandra M. Sherrard, on behalf of Willis Canada Inc., the insurance broker on behalf of the Owners and all insureds under the Policy, provided initial notice to Lumbermens of the Incident. At the time, I understood that his notice was being given on behalf of PKS.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it became apparent that this circumstance was also being reported to Lumbermens on behalf of MWH International, Inc., I retained Lawson Lundell LLP as British Columbia coverage counsel, and ultimately sent a letter dated September 20, 2004 to John Singleton, counsel for MWH, requesting further information. A copy of my letter to Mr. Singleton is attached as Exhibit "U" to Ms. Araiza-Kasama's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Therefore, the plaintiff submits, the defendant's obligations under the Policy were triggered as of May 6, 2004. These obligations include: (a) the obligation to pay out, on behalf of the plaintiff, any amount up to the Policy limit relating to the plaintiff's liability; and (b) the obligation to defend and investigate the reported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says that the purpose of ENDORSEMENT No. 6 was to define "circumstance" in the context of section VIII C. Moreover, the defendant argues that ENDORSEMENT No. 6 was included in the Policy to clarify a potential ambiguity arising out of the last sentence of section VIII C. The defendant submits that ENDORSEMENT No. 6 confirms that a CLAIM reported during the Automatic Extended Reporting Period pursuant to section V would be deemed to have been made when the defendant first received written notice of the circumstance giving rise to the CLAIM, providing that the circumstance had been reported during the period covered by the Policy. However, the defendant submits, if a circumstance had not been reported until the Automatic Extended Reporting Period, and a CLAIM had not been reported until after that period, the Policy's notice requirements would not be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argues that, notwithstanding ENDORSEMENT No. 6, it is not simply the reporting of a CLAIM that triggers coverage and the duty to defend under the Policy. The defendant argues that the duty to defend is only triggered once a CLAIM is made "against the INSURED seeking DAMAGES to which this insurance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defendant submits that it is inherent under a Claims-Made and Reported Policy that a claim must in fact be made before it can be determined whether that claim will be covered. The defendant relies on Nichols v. American Home Assurance Co., </w:t>
      </w:r>
      <w:hyperlink r:id="rId97" w:history="1">
        <w:r>
          <w:rPr>
            <w:rFonts w:ascii="arial" w:eastAsia="arial" w:hAnsi="arial" w:cs="arial"/>
            <w:i/>
            <w:color w:val="0077CC"/>
            <w:sz w:val="20"/>
            <w:u w:val="single"/>
            <w:shd w:val="clear" w:color="auto" w:fill="FFFFFF"/>
            <w:lang w:val="en-US" w:eastAsia="en-US" w:bidi="ar-SA"/>
          </w:rPr>
          <w:t>[1990] 1 S.C.R. 801</w:t>
        </w:r>
      </w:hyperlink>
      <w:r>
        <w:rPr>
          <w:rFonts w:ascii="arial" w:eastAsia="arial" w:hAnsi="arial" w:cs="arial"/>
          <w:color w:val="000000"/>
          <w:sz w:val="20"/>
          <w:lang w:val="en-US" w:eastAsia="en-US" w:bidi="ar-SA"/>
        </w:rPr>
        <w:t xml:space="preserve"> (S.C.C.) for the proposition that the determination of whether the duty to defend has been triggered usually involves an analysis of the pleadings giving rise to the claim to determine if the claims advanced fall within the scope of coverage. However, citing Reid Crowther &amp; Partners Ltd. v. Simcoe &amp; Erie General Insurance Co., </w:t>
      </w:r>
      <w:hyperlink r:id="rId98" w:history="1">
        <w:r>
          <w:rPr>
            <w:rFonts w:ascii="arial" w:eastAsia="arial" w:hAnsi="arial" w:cs="arial"/>
            <w:i/>
            <w:color w:val="0077CC"/>
            <w:sz w:val="20"/>
            <w:u w:val="single"/>
            <w:shd w:val="clear" w:color="auto" w:fill="FFFFFF"/>
            <w:lang w:val="en-US" w:eastAsia="en-US" w:bidi="ar-SA"/>
          </w:rPr>
          <w:t>[1993] 1 S.C.R. 252</w:t>
        </w:r>
      </w:hyperlink>
      <w:r>
        <w:rPr>
          <w:rFonts w:ascii="arial" w:eastAsia="arial" w:hAnsi="arial" w:cs="arial"/>
          <w:color w:val="000000"/>
          <w:sz w:val="20"/>
          <w:lang w:val="en-US" w:eastAsia="en-US" w:bidi="ar-SA"/>
        </w:rPr>
        <w:t xml:space="preserve"> (S.C.C.), the defendant concedes that subject to the wording of a policy, it may not be necessary for a claim to have been advanced by way of pleadings, but some clear communication from a third party holding the insured responsible for the damages suffered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says that prior to a CLAIM having been articulated by a claimant, it is not possible to determine whether a CIRCUMSTANCE might fall within the scope of coverage provided by the Policy. The defendant submits that none of the letters relied upon by the plaintiff provide sufficient information to conduct an assessment of coverage or to trigger the duty to defend since: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reference to a specific threat or demand or assertion of liability having been made by ALPC or PKS to the Plaintiff and/or Harza LP, to suggest that it would be seeking to recover damages or costs or services from the plaintiff and/or Harza LP;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competing suspected theories of liability were not linked to any professional service rendered by the plaintiff and/or Harza 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defendant cites Wright Engineers Ltd. v. U.S. Fire Ins. Co. </w:t>
      </w:r>
      <w:hyperlink r:id="rId99" w:history="1">
        <w:r>
          <w:rPr>
            <w:rFonts w:ascii="arial" w:eastAsia="arial" w:hAnsi="arial" w:cs="arial"/>
            <w:i/>
            <w:color w:val="0077CC"/>
            <w:sz w:val="20"/>
            <w:u w:val="single"/>
            <w:shd w:val="clear" w:color="auto" w:fill="FFFFFF"/>
            <w:lang w:val="en-US" w:eastAsia="en-US" w:bidi="ar-SA"/>
          </w:rPr>
          <w:t>(1986), 19 C.C.L.I. 74</w:t>
        </w:r>
      </w:hyperlink>
      <w:r>
        <w:rPr>
          <w:rFonts w:ascii="arial" w:eastAsia="arial" w:hAnsi="arial" w:cs="arial"/>
          <w:color w:val="000000"/>
          <w:sz w:val="20"/>
          <w:lang w:val="en-US" w:eastAsia="en-US" w:bidi="ar-SA"/>
        </w:rPr>
        <w:t xml:space="preserve"> (B.C.C.A.) for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an alternative, the defendant submits that the notice requirements of the Policy were not met until it received the March 31, 2005 letter, which was included as part of the plaintiff's document disclosure, on June 7, 2005. As a further alternative argument, the defendant submits that the notice requirements were not met until Mr. Singleton first referred to the March 31, 2005 letter in oral argument on this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Principles of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General principles relating to the interpretation of insurance policies are set out in Non-Marine Underwriters, Lloyd's of London v. Scalera, </w:t>
      </w:r>
      <w:hyperlink r:id="rId100"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 xml:space="preserve"> at [paragraph] 71 (S.C.C.):</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contract is unambiguous, a court shall give effect to the clear language, reading the contract as a whole;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insurance contracts are essentially adhesionary, the standard practice is to construe ambiguities against the insurer; and that "coverage provisions should be construed broadly and exclusionary clauses narrowly";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there is ambiguity, it is desirable to give effect to the reasonable expectations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Scalera, the Supreme Court of Canada also cites a passage from Consolidated-Bathurst Export Ltd. v. Mutual Boiler and Machinery Insurance Co. </w:t>
      </w:r>
      <w:hyperlink r:id="rId101" w:history="1">
        <w:r>
          <w:rPr>
            <w:rFonts w:ascii="arial" w:eastAsia="arial" w:hAnsi="arial" w:cs="arial"/>
            <w:i/>
            <w:color w:val="0077CC"/>
            <w:sz w:val="20"/>
            <w:u w:val="single"/>
            <w:shd w:val="clear" w:color="auto" w:fill="FFFFFF"/>
            <w:lang w:val="en-US" w:eastAsia="en-US" w:bidi="ar-SA"/>
          </w:rPr>
          <w:t>(1979), 112 D.L.R. (3d) 49</w:t>
        </w:r>
      </w:hyperlink>
      <w:r>
        <w:rPr>
          <w:rFonts w:ascii="arial" w:eastAsia="arial" w:hAnsi="arial" w:cs="arial"/>
          <w:color w:val="000000"/>
          <w:sz w:val="20"/>
          <w:lang w:val="en-US" w:eastAsia="en-US" w:bidi="ar-SA"/>
        </w:rPr>
        <w:t xml:space="preserve"> at 58-59 (S.C.C.):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[L]iteral meaning should not be applied where to do so would bring about an unrealistic result or a result which would not be contemplated in the commercial atmosphere in which the insurance was contracted. Where words may bear two constructions, the more reasonable one, that which produces a fair result, must certainly be taken as the interpretation which would promote the intention of the parties. Similarly, an interpretation which defeats the intentions of the parties and their objective in entering into the commercial transaction in the first place should be discarded in favour of an interpretation of the policy which promotes a sensible commercial result [...]. Said another way, the courts should be loath to support a construction which would either enable the insurer to pocket the premium without risk or the insured to achieve a recovery which could neither be sensibly sought nor anticipated at the time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also note the comments of McLachlin J. (as she then was) in Reid Crowther at [paragraph]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essential is not the label one places on the policy, but what the policy says. The courts must in each case look to the particular wording of the particular policy, rather than simply attempt to pigeonhole the policy at issue into one category or the other. Construction of policies at issue in these kinds of cases depends much more on the specific wording of the policy at issue then on a general categorizing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Interpretation of ENDORSEMENT No.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my view, the defendant's interpretation of ENDORSEMENT No. 6 is too narrow. Although this endorsement may have the effect of clarifying section VIII C, its plain and clear language in the context of the Policy as a whole leads me to conclude that a broad interpretation of the term "CLAIM" as modified by ENDORSEMENT No. 6 applies in the manner argued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is nothing in the wording of ENDORSEMENT No. 6 to limit its application or scope. I note that the endorsement does not simply define "CIRCUMSTANCE"; but also modifies the definition of "CLAIM". The title of ENDORSEMENT No. 6, "DEFINITION OF A CLAIM", strengthens the view that a CIRCUMSTANCE is to be included as part of the definition of "CLAIM" throughout the Policy. The language is inclusive as opposed to restrictive.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Nowhere in the endorsement is there language to suggest that its purpose is to clarify an ambiguity. Nowhere in the endorsement is there language that limits its effect to section VIII C. In fact, it is unclear to me how section VIII C is even ambiguous.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To the extent that any ambiguity arises, this is a situation where the maxim contra preferentem applies as the insurer drafted the endorsement. Coverage should be construed broadly.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term "CLAIM" is one of the most significant terms in the Policy; it is used throughout. The cover page of the Policy states: "This is a Claims-Made and Reported Policy". If the defendant intended ENDORSEMENT No. 6 to have the narrow construction it suggests, the defendant should have drafted this endorsement much more precisely.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note that several other endorsements amend or modify the Policy; specific provisions are deleted and substituted with others. In my view, the clarification suggested by the defendant could have been more reasonably achieved by amending the wording of section VIII C. This would have been more consistent with the defendant's approach to other changes to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My finding does not bring about an unrealistic result or one beyond the reasonable contemplation of the parties. Claims-Made and Reported policies were devised by insurance companies in order to better manage their risk by limiting coverage to claims made during the coverage period. In the context of this type of insurance, it is realistic that an insured would seek to broaden the scope of coverage by expanding the definition of a claim. Given the complexity of this project, the number of parties involved, the likelihood that problems would arise, and the variables underlying any such problems, it is reasonable that coverage could be triggered upon the reporting of a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Does Notice of a CIRCUMSTANCE Trigger the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Pursuant to section VII, the defendant has a duty to defend the plaintiff once a CLAIM has been advanced "against the INSURED seeking DAMAGES to which this insurance applies". Given my finding that a CLAIM includes a CIRCUMSTANCE, all the plaintiff must establish is that an event has been reported to the defendant from which the plaintiff reasonably expects that a claim for damages could be made to which the Policy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When was the Defendant Given Notice of a CIRCUMSTANCE Sufficient to Trigger the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By virtue of ENDORSEMENT No. 6, the notice requirement relevant to the Channel Failure is paragraph A of section VIII. It appears to me that ENDORSEMENT No. 6 rendered the notice provision under paragraph C superfluous. Nevertheless, I find below that the plaintiff has met the conditions set out in paragraph C as well as paragraph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 review of the section VIII notice provisions reveals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paragraph A, the requisite notice has to:</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 in writing;</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contain particulars sufficient to identify the insured;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reasonably obtainable information with respect to the time, place, and circumstances of the claim and the names and address of available witnesses;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 given by or for the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paragraph C, the requisite notice has to:</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 in writing;</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 given by the insured;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 the suspected act, error, or omissions;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the specific nature and extent of the damages suspected;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the insurer how the insured first became aware of the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addition to these requirements, the notice provided to the defendant must establish that the plaintiff reasonably expected ALPC to make a demand for "DAMAGES" as defined in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appears that the May 6, 2004 letter the plaintiff refers to did not clearly identify the plaintiff as an insured. Therefore, it fails to meet the section VII notice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 June 10, 2004 letter, Mr. Singleton advised the defendant that he represented MWHI in relation to "a potential claim against [MWHI] and others by Arrow Lakes Power Company ("ALPC")". He also advised the defendant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no formal proceedings or formal claim has yet been advanced against MWH, both ALPC and Peter Kiewit Sons Co. Ltd ("PKS") have intimated that a claim may well be made depending on the outcome of the current investigation into the cause of the failure of the concrete approach channel to the Keenleyside Powerhouse. A sizeable portion of the concrete floor of the channel failed on April 30, 2004. The powerplant has been out of operation since that date, emergency repairs have been carried out and more permanent repairs are in the course of being planned. The maximum estimated claim is in excess of $50 million (Canadian) broken down approximately equally between repair costs and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this letter, Mr. Singleton clearly identifies his client, MWHI. He also sets out reasonably obtainable information with respect to the time, place and circumstances of the Channel Failure. He names the Project, the claimant, the name of the insurer, and the Policy number. It is clear the Policy is for professional liability insurance. He gives a description of the circumstance and sets out a basis from which the insured could reasonably expect that a CLAIM for DAMAGES could be made. Specifically, between repair costs and loss of income, he suggests that the CLAIM is likely to be in excess of $50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From Ms. Lubovinsky's affidavit, it is clear the insurer understood a circumstance was being reported for MWHI and that it was as a result of the June 10, 2004 letter, as shortly thereafter, Mr. Singleton appears to have been advised that Mr. Weatherill had been retained to represent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an objective assessment of the material, there is no question and no dispute from counsel that the plaintiff reasonably expected that a claim was likely to arise out of the Channel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conclude that the plaintiff provided notice of a CIRCUMSTANCE and therefore a CLAIM under both paragraphs A and C when Mr. Singleton's June 10, 2004 letter was provided to the defendant. At this time, the duty to defend was triggered and the defendant had an obligation to extend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MWHI A NAMED INSURED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December 30, 2003, Harza LP was converted, pursuant to Delaware law, from a limited partnership to a corporation and its name changed to MWHI. On the same day, MWHI was merged with Harza Engineering Company International LLC ("Harza LLC"), a Delaware limited liability company (and the former general partner of Harza LP), also pursuant to Delaware law (the "Corporate Re-organization"). The merged corporation carried on as MWHI.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 submits that there is no obligation to extend coverage under the Policy to the plaintiff for acts, errors, or omissions made by it after the 2003 conversion and merger on the basis that:</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claims against the Plaintiff seeking damages have been asserted by a claimant nor reported to Lumbermens, as the plaintiff is not a subcontractor or subconsultant of PKS;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work carried out by the Plaintiff after the Conversion and 2003 Merger fell outside of the scope of coverage afforded by the Policy, as the design and construction of the Project was completed before the Plaintiff was created;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not an insured under the Policy, other than as a successor to Harza LP by operations of law;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Conversion and 2003 Merger resulted in a material change in risk to Lumbermens, without the knowledge or consent of Lumbermens, contrary to law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parties do not dispute that the Policy relates to the design and construction of the Project. There is no dispute that Harza LP (now MWHI) is a named insured and that its design work at issue was performed prior to the conversion and merger.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Having determined that there is coverage and that the duty to defend has been triggered in respect of the work provided by Harza LP, this issue need not be determined at this stage. The parties have requested leave to bring this matter before me should it later require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FORM SHOULD THE DECLARATION OF COVERAGE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submits that a declaration of coverage should be made expressly subject to the terms, conditions, exclusions, and provisions of the Policy, and in particular, subject to stacking and sharing issues with other available insurance, and subject to satisfaction of all conditions precedent to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 argues that some aspects of the claim may fall outside the scope of coverage and, in some cases, may be expressly excluded by the Policy. The defendant submits that its duty to defend arises only with respect to those claims that may be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 submits that the Policy is an excess policy and that the defendant may be entitled to contributions from other insurers. The defendant argues that stacking would require the plaintiff to exhaust its primary coverage before it could seek excess coverage from the defendant. The defendant complains that the plaintiff has not disclosed potentially relevant policies of insurance and correspondence.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 also says it has not received:</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reasonably obtainable information with respect to the circumstances of the claim;</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and addresses of any available witnesses;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demands received by MWH and/or Harza LP from the Owner or PKS; and/or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details of the acts, errors or omissions of professional services alleged against the Plaintiff and/or Harza 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submits that unless and until the defendant acknowledges that the duty to defend has been triggered under the Policy, the defendant has no right to argue that the plaintiff has failed to make proper disclosure. Nevertheless, on April 6, 2005, the plaintiff provided the defendant with a List of Documents that contained much of the requested information. Furthermore, the plaintiff agrees that any declaration of coverage should be subject to the terms, conditions, exclusions, and provisions of the Policy, and in particular, subject to stacking and sharing issues with other available insurance, and subject to satisfaction of all conditions precedent to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says it has advised the defendant that the only other professional liability policy carried by Harza LP was specifically written to be in excess of the Policy. A copy of this Lloyds policy was provided to the defendant. The plaintiff points to Exclusion M of the said policy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policy does not provide coverage and the Company will not pay Claim Expenses or Damages for: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Claim based upon or arising out of Professional Services rendered by the Insured in connection with any project where the Insured has procured a professional liability insurance policy purporting to apply to such specific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Given the positions of the parties, I make the declaration in the form requested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provided the defendant with notice of a CLAIM on June 10 2004. I find that coverage obligations arose from that date and that the duty to defend was triggered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This declaration is subject to the terms, conditions, exclusions and provisions of the Policy, and in particular, subject to stacking and sharing with other available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parties are at liberty to apply for any further directions that may be required to give effect to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MASUHARA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3"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National Holdings Ltd. v. Canadian Imperial Bank of Commerce, [2005] B.C.J. No. 560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S034213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560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369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39 B.C.L.R. (4th) 144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137 A.C.W.S. (3d) 1247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National Holds Ltd., plaintiff, and Canadian Imperial Bank of Commerce, John Kerasiotis and 354401 B.C.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4"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 w:name="Keywords_3"/>
      <w:bookmarkEnd w:id="25"/>
      <w:r>
        <w:rPr>
          <w:rFonts w:ascii="arial" w:eastAsia="arial" w:hAnsi="arial" w:cs="arial"/>
          <w:b/>
          <w:color w:val="000000"/>
          <w:sz w:val="20"/>
          <w:lang w:val="en-US" w:eastAsia="en-US" w:bidi="ar-SA"/>
        </w:rPr>
        <w:t>Commercial law — Negotiable instruments — Bills of Exchange — Cheques — Certified cheques — Drawer — Endorsement — Endorser — Payee — Legislation — Bills of Exchange Act — Tort law — Trespass — To goods — Conversion.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 w:name="Case Summary_3"/>
            <w:bookmarkEnd w:id="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National Holdings against the defendants, Canadian Imperial Bank of Commerce, John Kerasiotis, and 354401 BC for damages for conversion. National was a commercial lender that provided mortgage financing for higher risk loans. It received a request for $180,000 mortgage financing for a proposed borrower named Henry Wesley Cowan to be secured against Cowan's residential property. National agreed. Cowan's notary public, Baggio, received loan documents from National's lawyers. An elderly gentleman purporting to be Cowan executed the documents and Baggio, believing him to be Cowan, returned the documents to the lawyers. National transferred a sum to its lawyers and the lawyers sent Baggio a cheque in respect of the mortgage. Baggio then issued a cheque from her trust account in Cowan's name. It was this cheque that was at issue. An unknown person gave it to Kerasiotis who cashed it for this person using his account at CIBC. Several months later Cowan discovered the mortgage registered against his property. National discharged the mortgage against Cowan's property and brought this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 w:name="Holdings of Court_2"/>
            <w:bookmarkEnd w:id="2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National could not claim conversion against the defendants. To claim conversion, National had to prove it was either in actual possession or entitled to immediate possession of the cheque and the chose in action it represented. National was not in actual possession or the cheque, nor entitled to its immediate possession. National could not have been entitled to its possession because the cheque had not been endorsed or delivered to it. National was not a party to the cheque as its drawer, endorsee or payee. National could not claim conversion of the cheque.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 w:name="Legislation Cited_1"/>
      <w:bookmarkEnd w:id="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5"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Bills of Exchange Act, ss.2, 48, 55(1), 165(3).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 w:name="Counsel_3"/>
      <w:bookmarkEnd w:id="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6"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K.E. Ducey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CIBC: D.R. McGowan, G. Mayovsky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Mr. Kerasiotis and 354401 B.C. Ltd.: N. Kambas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 w:name="Judgment_3"/>
      <w:bookmarkEnd w:id="30"/>
      <w:r>
        <w:pict>
          <v:line id="_x0000_s1047" style="position:absolute;z-index:2518159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 w:name="GRAY J."/>
            <w:bookmarkEnd w:id="31"/>
            <w:r>
              <w:rPr>
                <w:rFonts w:ascii="arial" w:eastAsia="arial" w:hAnsi="arial" w:cs="arial"/>
                <w:b/>
                <w:color w:val="000000"/>
                <w:sz w:val="30"/>
                <w:lang w:val="en-US" w:eastAsia="en-US" w:bidi="ar-SA"/>
              </w:rPr>
              <w:t>GRAY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All parties to this lawsuit claim to be innocently involved the fraudulent negotiation of a cheque in the amount of $153,098.84. The plaintiff, National Holdings Ltd. applied under Rule 18A for damages for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each seek dismissal of the claim against them. The defendants argued that National was not a party to the impugned cheque, and is therefore unable to make a claim for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result in this case will determine which of the parties will bear the loss caused by another's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National Holdings Ltd. is a commercial lender that provides mortgage financing for higher risk loans than conventional lenders. National typically obtains its customers through independent mortgage brokers. Generally, National's rates are three or four basis points above the bank prime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April 3, 2002, National received a request for mortgage financing from Chris Hargitt of Phoenix Mortgage. National had previously made loans to clients referred by Mr. Hargitt without any problems. The proposed borrower was named Henry Wesley Cowan. The proposed loan was for $180,000.00, to be secured against Mr. Cowan's property at 5639 Kilmore Street West, Surrey,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April 4, 2002, National agreed to loan Cowan $180,000.00, to be secured by a first mortgage on the Kilmore property. The Loan was for a term of one year. Out of the Loan proceeds, Mr. Cowan was to deposit $17,760.00 in an account with National from which monthly payments were to be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Also on April 4, 2002, Mr. Hargitt contacted Adriana Baggio, a Notary Public in Vancouver, B.C.. Mr. Hargitt asked Ms. Baggio to represent Mr. Cowan, a mortgagor, by executing mortgage documentation that was to be prepared by a lawyer. Ms. Baggio agreed. Mr. Hargitt also asked her to arrange insurance coverage and payment of deferred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National retained the law firm of Grossman &amp; Stanley to act as its solicitors with respect to the mortgage and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April 9, 2002, Ms. Baggio received the mortgage documents from Grossman &amp; Stanley.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April 10, 2002, an elderly man went to Ms. Baggio's office with Mr. Hargitt to sign the mortgage documents. The man identified himself as "Henry Wesley Cowan". He showed Ms. Baggio a British Columbia Identification Card No. XXXXXXXXX, which had a photograph and the Kilmore Street address, and a Social Insurance Number that he had written on a piece of paper. She photocopied both for her file. Ms. Baggio concluded that the photograph on the identification card was a picture of the man in her office. She believed that the man was her client, and the owner of the Kilmore property.</w: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Numbers replaced with X's by LexisNexis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Baggio asked Mr. Hargitt to leave, and then met with the man alone. She asked the man questions that were appropriate for a notary public to ask of her client. She asked why he wanted the loan, and told him that she thought the interest rate, mortgage commitment and broker's fees seemed excessive. Ms. Baggio noted that the identification card gave his address as the Kilmore property, and asked him why he did not go to a Notary Public or solicitor closer to Surrey. The man replied that the loan was to help a child of his. The man replied that he could no longer care for his home, and had moved to Vancouver, and he gave his address as #227-3495 Cambie Street. He then executed the mortgage documents. Ms. Baggio returned the executed documents to Grossman &amp; Stanley later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April 11, 2002, National transferred $180,000.00 (less a discount of $2,025.00) from its account at HSBC Bank Canada to Grossman &amp; Stanley. Of this amount, Grossman &amp; Stanley sent $17,760 to National for the first year's monthly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Also on April 11, 2002, Grossman &amp; Stanley wrote Ms. Baggio, confirming that the mortgage and an assignment of rents were lodged for registration at the Land Title Office, and that a Security Agreement had been filed in the Personal Property Registry. It sent Ms. Baggio a cheque for $157,239.75, in trust, on behalf of Mr. Cowan and on her undertaking to pay certain taxes and insurance costs. This represented the balance of the mortgage loan after deducting fees due to Grossman &amp; Stanley and the mortgage broker. This cheque is not the subject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deducting payment for her fees, deferred taxes and land insurance, Ms. Baggio issued a cheque from her trust account, made payable to "Henry Wesley Cowan" in the sum of $153,082.84. The cheque was drawn on the Bank of Nova Scotia, and certified on April 12, 2002. This is the cheque ("Cheque") which National claims was converted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Cheque was later given by an unknown person to the defendant John Kerasiotis. Mr. Kerasiotis is the principal and sole signing authority for the defendant 354401 B.C. Ltd. ("Numbered Company"). The Numbered Company is the owner of the Dover Arms Pub on Denman Street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From time to time, customers at the Dover Arms Pub asked Mr. Kerasiotis to cash cheques for them. His practice was to deposit such cheques into one of his accounts at the defendant bank, Canadian Imperial Bank of Commerce ("CIBC") and provide the customer with the proceeds of the cheque less a fee. One account he used for this purpose (CIBC account XXXXX-XX-XXXX) was held in the Numbered Company's name.</w: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Numbers replaced with X's by LexisNexis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Kerasiotis had done his banking at CIBC since about 1997-1998. His accounts were managed by Neil Toews on behalf of CIBC. Mr. Kerasiotis and his family established a good banking relationship with CIBC prior to the events giving rise to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One of Mr. Kerasiotis' managers, Mr. DeRoche, told Mr. Kerasiotis that a customer Mr. DeRoche knew from years ago wanted to cash a large certified cheque. Mr. Kerasiotis received the Cheque from that customer. By the time it was presented to Mr. Kerasiotis, the Cheque had been certified and was endorsed "H.W. Cowan".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Kerasiotis took the Cheque to Mr. Toews at CIBC on April 16, 2002. Mr. Kerasiotis thought a certified cheque was like cash money, but because the Cheque was endorsed and for a large amount of money, he asked Mr. Toews to make some enquiries. Mr. Toews told him the Cheque was good, and Mr. Kerasiotis deposited it into the Numbered Company's CIBC account. Mr. Kerasiotis later withdrew the funds in cash, and kept $6,000.00 of the proceeds as his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Several months later, the fraud relating to the Cheque was discovered. On June 28, 2002, a different elderly man came to Ms. Baggio's office and advised her that he was the "real" Henry Wesley Cowan, and that he had neither authorized the transaction nor received any of the Loan proceeds. He learned about the registered mortgage when he was selling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Baggio notified National through their solicitors. Presumably, the man who showed Ms. Baggio an identification card was a rogue. He presumably endorsed the Cheque and provided it either directly to Mr. Kerasiotis or to someone else who may or may not have been a party to the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National satisfied itself that the "real" Mr. Cowan had not received the Cheque or the proceeds of the loan, and discharged the mortgage from title to the Kilmore property. National initiated various court proceedings, among which were actions against Mr. Hargitt, Phoenix Mortgage, and National's counsel at Grossman &amp; Stanley.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July 12, 2002, National commenced an action for fraud and conspiracy against various unknown people named in the court documents as "John Doe". An order was made by this court to freeze the Numbered Company's CIBC account in which the Cheque had been deposited.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or about July 2002, Mr. Kerasiotis and CIBC became aware that the endorsement on the Cheque had been forged, and that the court order had been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July 31, 2002, National commenced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National has not recovered the $157,239.75 paid by its solicitors to Ms. Baggio except for a small amount she paid towards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 OF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tort of conversion involves a wrongful interference with the goods of another, such by taking, using or destroying the goods in a manner inconsistent with the owner's right of possession: Boma Manufacturing Ltd. v. Canadian Imperial Bank of Commerce, </w:t>
      </w:r>
      <w:hyperlink r:id="rId109" w:history="1">
        <w:r>
          <w:rPr>
            <w:rFonts w:ascii="arial" w:eastAsia="arial" w:hAnsi="arial" w:cs="arial"/>
            <w:i/>
            <w:color w:val="0077CC"/>
            <w:sz w:val="20"/>
            <w:u w:val="single"/>
            <w:shd w:val="clear" w:color="auto" w:fill="FFFFFF"/>
            <w:lang w:val="en-US" w:eastAsia="en-US" w:bidi="ar-SA"/>
          </w:rPr>
          <w:t>[1996] 3 S.C.R. 727</w:t>
        </w:r>
      </w:hyperlink>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140 D.L.R. (4th) 463</w:t>
        </w:r>
      </w:hyperlink>
      <w:r>
        <w:rPr>
          <w:rFonts w:ascii="arial" w:eastAsia="arial" w:hAnsi="arial" w:cs="arial"/>
          <w:color w:val="000000"/>
          <w:sz w:val="20"/>
          <w:lang w:val="en-US" w:eastAsia="en-US" w:bidi="ar-SA"/>
        </w:rPr>
        <w:t>,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Supreme Court of Canada affirmed in Boma that the tort of conversion is one of strict liability. Accordingly,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innocence of intent provides no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Conversion applies to funds or instruments representing funds (Toronto-Dominion Bank v. Carotenuto </w:t>
      </w:r>
      <w:hyperlink r:id="rId110" w:history="1">
        <w:r>
          <w:rPr>
            <w:rFonts w:ascii="arial" w:eastAsia="arial" w:hAnsi="arial" w:cs="arial"/>
            <w:i/>
            <w:color w:val="0077CC"/>
            <w:sz w:val="20"/>
            <w:u w:val="single"/>
            <w:shd w:val="clear" w:color="auto" w:fill="FFFFFF"/>
            <w:lang w:val="en-US" w:eastAsia="en-US" w:bidi="ar-SA"/>
          </w:rPr>
          <w:t>(1998), 48 B.C.L.R. (3d) 284</w:t>
        </w:r>
      </w:hyperlink>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154 D.L.R. (4th) 627</w:t>
        </w:r>
      </w:hyperlink>
      <w:r>
        <w:rPr>
          <w:rFonts w:ascii="arial" w:eastAsia="arial" w:hAnsi="arial" w:cs="arial"/>
          <w:color w:val="000000"/>
          <w:sz w:val="20"/>
          <w:lang w:val="en-US" w:eastAsia="en-US" w:bidi="ar-SA"/>
        </w:rPr>
        <w:t xml:space="preserve">, (C.A.), at para. 17). The defendant's liability extends to the face value of the converted instrument, and is not limited to the value of the instrument as paper and ink (Norwich Union Fire Insurance Society Ltd. v. Banque Canadienne Nationale, </w:t>
      </w:r>
      <w:hyperlink r:id="rId111" w:history="1">
        <w:r>
          <w:rPr>
            <w:rFonts w:ascii="arial" w:eastAsia="arial" w:hAnsi="arial" w:cs="arial"/>
            <w:i/>
            <w:color w:val="0077CC"/>
            <w:sz w:val="20"/>
            <w:u w:val="single"/>
            <w:shd w:val="clear" w:color="auto" w:fill="FFFFFF"/>
            <w:lang w:val="en-US" w:eastAsia="en-US" w:bidi="ar-SA"/>
          </w:rPr>
          <w:t>[1934] S.C.R. 596</w:t>
        </w:r>
      </w:hyperlink>
      <w:r>
        <w:rPr>
          <w:rFonts w:ascii="arial" w:eastAsia="arial" w:hAnsi="arial" w:cs="arial"/>
          <w:color w:val="000000"/>
          <w:sz w:val="20"/>
          <w:lang w:val="en-US" w:eastAsia="en-US" w:bidi="ar-SA"/>
        </w:rPr>
        <w:t>, cited also in Boma,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Arrow Transfer Co. v. Royal Bank of Canada </w:t>
      </w:r>
      <w:hyperlink r:id="rId112" w:history="1">
        <w:r>
          <w:rPr>
            <w:rFonts w:ascii="arial" w:eastAsia="arial" w:hAnsi="arial" w:cs="arial"/>
            <w:i/>
            <w:color w:val="0077CC"/>
            <w:sz w:val="20"/>
            <w:u w:val="single"/>
            <w:shd w:val="clear" w:color="auto" w:fill="FFFFFF"/>
            <w:lang w:val="en-US" w:eastAsia="en-US" w:bidi="ar-SA"/>
          </w:rPr>
          <w:t>(1971), 19 D.L.R. (3d) 420</w:t>
        </w:r>
      </w:hyperlink>
      <w:r>
        <w:rPr>
          <w:rFonts w:ascii="arial" w:eastAsia="arial" w:hAnsi="arial" w:cs="arial"/>
          <w:color w:val="000000"/>
          <w:sz w:val="20"/>
          <w:lang w:val="en-US" w:eastAsia="en-US" w:bidi="ar-SA"/>
        </w:rPr>
        <w:t xml:space="preserve"> (B.C.C.A), aff'd, </w:t>
      </w:r>
      <w:hyperlink r:id="rId113" w:history="1">
        <w:r>
          <w:rPr>
            <w:rFonts w:ascii="arial" w:eastAsia="arial" w:hAnsi="arial" w:cs="arial"/>
            <w:i/>
            <w:color w:val="0077CC"/>
            <w:sz w:val="20"/>
            <w:u w:val="single"/>
            <w:shd w:val="clear" w:color="auto" w:fill="FFFFFF"/>
            <w:lang w:val="en-US" w:eastAsia="en-US" w:bidi="ar-SA"/>
          </w:rPr>
          <w:t>[1972] S.C.R. 845</w:t>
        </w:r>
      </w:hyperlink>
      <w:r>
        <w:rPr>
          <w:rFonts w:ascii="arial" w:eastAsia="arial" w:hAnsi="arial" w:cs="arial"/>
          <w:color w:val="000000"/>
          <w:sz w:val="20"/>
          <w:lang w:val="en-US" w:eastAsia="en-US" w:bidi="ar-SA"/>
        </w:rPr>
        <w:t>, the B.C. Court of Appeal said the following of conversion in relation to cheques, at 433: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explain the theory of conversion, I shall quote several passages that were cited by Mr. McLoughlin. The first is from Bright's Banking Law and Practice in New Zealand, 2nd ed., p. 180: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Action of Conversion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conversion is a wrongful interference with goods, such as by taking, using or destroying them in a manner inconsistent with the owner's right of possession. To constitute the injury there must be some act of the defendant repudiating the owner's right, or some exercise of dominion inconsistent with it. The wrongful act may be done in all innocence, but this is no defence.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cheque is a chose in action, and in one sense it is somewhat strange that anyone can be liable for a conversion of it. But a cheque may be regarded as made up of two parts, a chattel part and a chose in action. The real value of the cheque is the chose in action -- the right to receive payment of the sum of money for which it is drawn. If a person is sued for conversion of a cheque, it must be for the chattel part -- the mere written instrument -- but the law will not allow him to purge his conversion by handing back the spent document, or proving that it is now valueless; the law will hold him liable in damages for his act of conversion, and apply, as the measure of damages, the value received upon the cheque. This is so, even if the document is not negotiable.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Only the true owner of an instrument is entitled to claim conversion of it (Arrow, cited to D.L.R., at 438). The parties who can make a claim for conversion of a cheque was discussed in Boma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drawer, the payee or the endorsee can bring an action for conversion of a cheque. To make the claim for damages for conversion, the plaintiff must prove that he or she was either in actual possession or entitled to immediate possession of the chattel. As Rafferty states in "Forged Cheques: A Consideration of the Rights and Obligations of Banks and Their Customers" (1979-1980), 4 C.B.L.U. 208, at p. 228, "[t]he conversion action, however, will lie only if the drawer is still the true owner of the cheque. It must not have been issued to the payee" (Jervis B. Webb Co. v. Bank of Nova Scotia </w:t>
      </w:r>
      <w:hyperlink r:id="rId114" w:history="1">
        <w:r>
          <w:rPr>
            <w:rFonts w:ascii="arial" w:eastAsia="arial" w:hAnsi="arial" w:cs="arial"/>
            <w:i/>
            <w:color w:val="0077CC"/>
            <w:sz w:val="20"/>
            <w:u w:val="single"/>
            <w:shd w:val="clear" w:color="auto" w:fill="FFFFFF"/>
            <w:lang w:val="en-US" w:eastAsia="en-US" w:bidi="ar-SA"/>
          </w:rPr>
          <w:t>(1965), 49 D.L.R. (2d) 692</w:t>
        </w:r>
      </w:hyperlink>
      <w:r>
        <w:rPr>
          <w:rFonts w:ascii="arial" w:eastAsia="arial" w:hAnsi="arial" w:cs="arial"/>
          <w:color w:val="000000"/>
          <w:sz w:val="20"/>
          <w:lang w:val="en-US" w:eastAsia="en-US" w:bidi="ar-SA"/>
        </w:rPr>
        <w:t xml:space="preserve"> (Ont. H.C.), and see for example Ontario Woodsworth Memorial Foundation v. Grozbord, </w:t>
      </w:r>
      <w:hyperlink r:id="rId115" w:history="1">
        <w:r>
          <w:rPr>
            <w:rFonts w:ascii="arial" w:eastAsia="arial" w:hAnsi="arial" w:cs="arial"/>
            <w:i/>
            <w:color w:val="0077CC"/>
            <w:sz w:val="20"/>
            <w:u w:val="single"/>
            <w:shd w:val="clear" w:color="auto" w:fill="FFFFFF"/>
            <w:lang w:val="en-US" w:eastAsia="en-US" w:bidi="ar-SA"/>
          </w:rPr>
          <w:t>[1969] S.C.R. 622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therefore follows that, in order to succeed, National would have to prove it was the Cheque's true owner, as its drawer, endorsee, or payee. National would also have to prove it was either in actual possession of the Cheque or entitled to its immediate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National claimed it was the true owner of the Cheque and the funds it represents, and that as a result, it can claim conversion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contrast, the defendants argued that National cannot succeed in conversion, because it is not a party to the Cheque. The defendants argue that National cannot be defined as the Cheque's drawer, endorsee, or payee, and that therefore, National does not have the necessary property or possessory interest to advance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Alternatively, the defendants argued that they became holders in due course upon negotiation of the Cheque, and are therefore protected under s. 55(1) of the BEA from any claims made against them. Further, the defendants argued that National failed to provide the requisite notice of forgery mandated by s. 48 of the BEA, and that consequently, the Cheque must be deemed to have been paid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Additionally, CIBC argued that it was a holder in due course as defined by s. 165(3) of the BEA. CIBC also argued it was National which most enabled the rogue to bring about the fraud, and consequently, it is National which must bear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response, National argued that the defendants cannot properly be considered holders in due course within the meaning of ss. 55(1) or 165(3) of the BEA, and are therefore not entitled to the provisions' protection. National further argued that adequate notice of the forgery was given to the defendants within the time limit prescribed by s. 48 of the BEA. Finally, National argued that the law of conversion in relation to cheques has developed specifically to protect the true owner of the funds from this type of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National claim conversion as the Cheque's drawer, endorsee, or payee?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BEA does not define the terms "drawer", "endorsee" and "payee". In Black's Law Dictionary (8th ed, 2004), the terms are defined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"drawer": One who directs a person or entity, usually a bank, to pay a sum of money stated in an instrument - for example, a person who writes a check; the maker of a note or draft.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"payee": One to whom money is paid or payable; esp., a party named in commercial paper as the recipient of the payment.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"endorsee": A person to whom a negotiable instrument is transferred by endorsement (also spelled indorsee)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Definition of "Drawer"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Boma, the Supreme Court of Canada dealt with a claim in conversion that arose out of the forgery of a series of cheques. The appellants were two small family owned companies. Their book-keeper, Ms. Alm, whose responsibilities included signing cheques, drew 155 cheques on the company account in favour of various persons. Of these, 114 were made payable to "non existent" persons with names similar to those of the appellant company's subcontractors, and 41 were made payable to existing employees to whom no money was owed. Ms. Alm endorsed some of the cheques by forging the payee signatures, and presented others without endorsement. She deposited all of the cheques into one of her accounts at the respondent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One issue in the Boma case was whether the drawer of the cheques intended them to be payable to fictitious or non-existent persons. If so, the drawer lost the protection afforded to a cheque payable to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Supreme Court of Canada in Boma concluded that the drawer of the cheques was the directing mind behind the transactions (at para. 40). Iacobucci J., for the majority, discussed the definition of the term at para. 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a "drawer" is often defined to mean "[t]he person who signs or makes a bill of exchange" (cf. The Dictionary of Canadian Law (2nd ed. 1995)), in my view, it is important in the circumstances of this case to distinguish between the signatory and the drawer. The drawer, in this case, is the entity out of whose bank account the cheques were drawn, that is, the appellant companies. Alm was not the drawer, but was simply the signatory. Thus, it is the intention of the appellant companies, as the drawer, that must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National argued that it was the drawer of the Cheque in the sense that it was the true owner of the funds it represented. However, National did not have a direct connection with the Cheque itself. National's funds flowed through two transactions before the cheque was drawn: first, the transfer from HSBC Bank Canada to the account of Grossman &amp; Stanley; and second, the cheque from Grossman &amp; Stanley to the credit of Ms. Baggio.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Cheque must be distinguished from the underlying transaction which caused Ms. Baggio to issue it. The Cheque was drawn by Ms. Baggio on her account at the Bank of Nova Scotia. She was both the signatory and the directing mind, and was the "drawer". National was neither signatory to the Cheque nor the mind directing its issuance, and was not the "drawer".</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Definition of "Endorsee"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Section 2 of the BEA defines the term endorsement' as: "endorsement completed by delivery". The BEA defines the term "delivery" as the "transfer of possession, actual or constructive, from one person to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Yune v. Blum (1893), 3 B.C.R. 21, at 23 (S.C.), the meaning of the term "endorsement" was explained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technical and true sense of the word endorsement' is assignment; it can only be executed by a party or a holder. An endorsement' by a total stranger is a mere nullity, just as much as if a perfect stranger were to sign a deed or will concerning property in which he has no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person who signed the Cheque "H.W. Cowan" was not in fact the H.W. Cowan to whom the Cheque was made payable. Therefore, that person's endorsement was a nullity. There was no endorsee of the Cheque.</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Definition of "Payee"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Since the "real" Mr. Cowan was named as the Cheque's recipient, and since it was to him that the Loan was intended to be made, the "real" Mr. Cowan was the Cheque's payee. The rogue who signed "H.W. Cowan" on the Cheque and anyone else involved in the fraud cannot be classified as the Cheque's payee.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summary, National cannot be defined as the Cheque's drawer, endorsee, or payee.</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Liable in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To claim conversion, a plaintiff must prove that he or she was either in actual possession or entitled to immediate possession of the cheque in question and the chose in action it represents. In this case, National was not a party to the Cheque. It could not have been entitled to its possession unless the Cheque had been endorsed or delivered to it. Since that did not occur, National cannot claim conversion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strict application of the law of conversion and bills of exchange may seem harsh to National. However, our system of bills of exchange is designed to enable reliance on cheques themselves, without investigation of the transactions which give rise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this respect, the statements of Iacobucci J. in Boma, at para. 80, are apt: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some, the allocation of risk in the bills of exchange system may seem arbitrary, but in my view a necessary and coherent rationale sustains this allocation. With respect to forged endorsements, for example, no party in particular is in any better position to detect the fraud than any other. It is a risk that all parties must bear, including collecting banks. It is a price that must be paid if one wishes to enjoy the significant benefits of the bills of exchange scheme, not the least of which is, from the bank's perspective, the facilitation of huge numbers of financial dealings conducted rapidly, and without overwhelming transaction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a result of the conclusion that National cannot claim conversion of the Cheque, it is unnecessary to consider the other arguments addressed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National was not a party to the Cheque as its drawer, endorsee or payee. National was not in actual possession or the Cheque, nor entitled to its immediate possession. As a matter of law, it therefore cannot claim conversion of the Cheque. National's claims are dismissed. Any funds which have been paid into court under a pre-judgment garnishing order must be returned.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are entitled to their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8"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Okihiro v. 572412 B.C. Ltd. (c.o.b. Hyde Mountain Golf Course), [2008] B.C.J. No. 1637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Preston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37960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1637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1161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169 A.C.W.S. (3d) 771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Chico Okihiro, Plaintiff, and 572412 B.C. Ltd. doing business as Hyde Mountain Golf Course, Hyde Mountain on Mara Lake Limited Partnership, Club Car, Inc. and ABC Company, Defendants, and G D S Golf Design Services Ltd.,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9"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 w:name="Keywords_4"/>
      <w:bookmarkEnd w:id="32"/>
      <w:r>
        <w:rPr>
          <w:rFonts w:ascii="arial" w:eastAsia="arial" w:hAnsi="arial" w:cs="arial"/>
          <w:b/>
          <w:color w:val="000000"/>
          <w:sz w:val="20"/>
          <w:lang w:val="en-US" w:eastAsia="en-US" w:bidi="ar-SA"/>
        </w:rPr>
        <w:t>Tort law — Defences — Disclaimer or exclusion of risk — Application by defendant golf course for dismissal of the action against it — Plaintiff sued for injuries suffered while he operated a golf cart that slid down slope on defendant's course — Plaintiff alleged faulty design of cart path — Defendant argued waiver signed by plaintiff covered present claim — Application dismissed — Wording of waiver did not convey scope of waiver sought by defendant — Waiver was ambiguous — Reasonable reading of waiver would not dispel the impression that it related only to signer's negligent use of the cart.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 w:name="Case Summary_4"/>
            <w:bookmarkEnd w:id="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golf course for dismissal of the action against it. The plaintiff sued for injuries suffered by him while he operated a golf cart that slid down a slope and over a bank on the defendant's golf course. The plaintiff alleged that the faulty design of the golf cart path caused the accident. The defendant argued that when the plaintiff rented the golf cart, he signed a waiver that absolved the defendant of liability. The waiver indicated under cart liability that the renter would hold harmless the golf course from any claims arising out of his use of the golf cart.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4" w:name="Holdings of Court_3"/>
            <w:bookmarkEnd w:id="34"/>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fact that the players were required to negotiate the golf course on golf carts markedly increased the significance of any waiver absolving the golf course of their duties as occupiers when the players were using carts. The heading cart liability did not convey the scope of the waiver sought by the defendants. The heading and the brief nature of the transaction did nothing to alert the plaintiff to the fact that he was signing a document as potentially wide-ranging as an assumption of liability to others for a breach of duty by the defendant and a release of claims against the defendant for any damages suffered from or through the use of the golf cart. The golf course defendants were obligated to take additional steps to bring to the plaintiff's attention their contention that the waiver intended a wide ranging release of claims and assumption of liability. The waiver was ambiguous. A reasonable reading of the waiver would not dispel the impression that it related only to the signer's negligent use of the cart.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 w:name="Legislation Cited_2"/>
      <w:bookmarkEnd w:id="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0"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123" w:history="1">
        <w:r>
          <w:rPr>
            <w:rFonts w:ascii="arial" w:eastAsia="arial" w:hAnsi="arial" w:cs="arial"/>
            <w:i/>
            <w:color w:val="0077CC"/>
            <w:sz w:val="20"/>
            <w:u w:val="single"/>
            <w:shd w:val="clear" w:color="auto" w:fill="FFFFFF"/>
            <w:lang w:val="en-US" w:eastAsia="en-US" w:bidi="ar-SA"/>
          </w:rPr>
          <w:t>RSBC 1996, CHAPTER 337, s. 4</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6" w:name="Counsel_4"/>
      <w:bookmarkEnd w:id="3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1"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Gary Weatherill.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572412 B.C. Ltd. doing business as Hyde Mountain Golf Course and Hyde Mountain on Mara Lake Limited Partnership: Jennifer R. Woznesensky.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 w:name="Judgment_4"/>
      <w:bookmarkEnd w:id="37"/>
      <w:r>
        <w:pict>
          <v:line id="_x0000_s1052"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 w:name="B.M. PRESTON J."/>
            <w:bookmarkEnd w:id="38"/>
            <w:r>
              <w:rPr>
                <w:rFonts w:ascii="arial" w:eastAsia="arial" w:hAnsi="arial" w:cs="arial"/>
                <w:b/>
                <w:color w:val="000000"/>
                <w:sz w:val="30"/>
                <w:lang w:val="en-US" w:eastAsia="en-US" w:bidi="ar-SA"/>
              </w:rPr>
              <w:t>B.M. PRESTON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pursuant to Rule 18A by the defendants 572412 B.C. Ltd. doing business as Hyde Mountain Golf Course and Hyde Mountain on Mara Lake Limited Partnership, (the "Golf Course Defendants"), for dismissal of the plaintiff, Mr. Okihiro's, claims against them. The action has been discontinued against Club Car, Inc. Mr. Okihiro is not proceeding against ABC Company. The third party took no position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arises out of injuries suffered by Mr. Okihiro while operating a golf cart which slid down a slope and over a bank on the Golf Course Defendants' golf course (the "Golf Course"). I will refer to the incident that caused the injuries as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Okihiro alleges,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it was the faulty design of the Golf Course, particularly the golf cart path that caused the Accident. The Golf Course Defendants defend on various grounds. The sole ground advanced on this application is that when Mr. Okihiro rented the golf cart, he signed a waiver (the "Waiver") that absolves them of liability. The Golf Course Defendants seek to have the action dismissed against them on the basis that the Waiver is broad enough to cover circumstances in which the Golf Course Defendants were solely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Okihiro was paired up with another golfer, Mr. Miller, when they arrived to play golf at the Golf Course. At approximately 7:30 a.m. on September 1, 2004, he and Mr. Miller made arrangements to rent a golf cart.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Golfers may only play on the Golf Course if they use a golf cart.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Okihiro identified himself to the employee who rented the carts as the person who would be driving the cart. He was asked to sign a credit card receipt which had printed at the bottom a short paragraph entitled "Cart Liability" with a space for a second signature below it. He was asked to sign in that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signed in both places. He did not read the paragraph below the words "Cart Liability". The paragraph reads:</w:t>
      </w:r>
      <w:r>
        <w:rPr>
          <w:rFonts w:ascii="arial" w:eastAsia="arial" w:hAnsi="arial" w:cs="arial"/>
          <w:sz w:val="20"/>
          <w:lang w:val="en-US" w:eastAsia="en-US" w:bidi="ar-SA"/>
        </w:rPr>
        <w:cr/>
      </w:r>
    </w:p>
    <w:p>
      <w:pPr>
        <w:spacing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Cart # ______</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promise and further agree to hold Hyde Mountain on Mara Lake Golf Course its agents free and harmless from any damage or claims of any nature whatsoever that may arise from or through my use of said Golf Cart. I represent that I am familiar with the operation and use of said Golf Cart, and that I can operate and control same.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_________________</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this application, Mr. Okihiro deposed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recall the staff member at the pro shop presenting me with various receipts to sign, and directed me where to sign, which I did, without reading them. There was no explanation as to what the receipts were, or that I should read them, or anything to draw my attention to anything unusual or important. It all happened quickly, and the pro shop was busy with a lot of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knew that one signature was required for my credit card payment. The other signature was in a section called "Cart Liability" which I just assumed meant that I was responsible for damages to the golf cart if I damaged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it was explained to me that the golf course wanted me to be responsible for any injuries arising from my use of the golf cart, regardless of who caused these injuries or whose fault it was, or that I was giving up my right to claim for injuries caused by the fault of the golf course, I would not have signed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Okihiro described the circumstances of the Accident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September 1, 2004 I was involved in an accident near hole number 17. At that hole the cart path goes down a very steep hill heading from the tee box to the fairway. After we tee'd off, I drove the golf cart down the golf cart path in a very slow cautious manner. The weather was drizzling rain, and the golf path was wet. When I tried to negotiate a turn on the steep cart path, the cart slid off the path and tumbled down a steep embankment. Both myself and Mr. Miller were injured. There was nothing I could do to prevent the cart from sliding off the path in the manner that it did, and I emphasize that I was driving extremely slowly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Okihiro confirmed that there were no warning signs about that section of the cart path nor was he warned by Golf Course staff. He deposed that he did not recall ever experiencing a cart path as steep and poorly laid out at any other golf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facts of this case raise two issues:</w:t>
      </w:r>
      <w:r>
        <w:rPr>
          <w:rFonts w:ascii="arial" w:eastAsia="arial" w:hAnsi="arial" w:cs="arial"/>
          <w:sz w:val="20"/>
          <w:lang w:val="en-US" w:eastAsia="en-US" w:bidi="ar-SA"/>
        </w:rPr>
        <w:cr/>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terms of the Waiver sufficiently brought to Mr. Okihiro's attention?</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Waiver, properly construed, absolve the Golf Course Defendants of liability for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Karrol v. Silver Star Mountain Resorts Ltd.</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(1988), 33 B.C.L.R. (2d) 160</w:t>
        </w:r>
      </w:hyperlink>
      <w:r>
        <w:rPr>
          <w:rFonts w:ascii="arial" w:eastAsia="arial" w:hAnsi="arial" w:cs="arial"/>
          <w:color w:val="000000"/>
          <w:sz w:val="20"/>
          <w:lang w:val="en-US" w:eastAsia="en-US" w:bidi="ar-SA"/>
        </w:rPr>
        <w:t>, McLachlin C.J.S.C. considered the "reasonable notice" exception to the rule that a party signing a document without reading it is bound by its terms. She determined that the exception was "a limited principle, applicable only in special circumstances" (p. 164). Those circumstances are: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document was signed by a plaintiff in circumstances in which it was not his or her act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plaintiff was induced by fraud or misrepresentation to sign the document;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party seeking to enforce the document knew or had reason to know that the signing party was under a misapprehension as to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Okihiro contends that the third exception relieves him of responsibility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Chief Justice McLachlin discussed the circumstances in which the third exception might arise as follows (p. 166):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Many factors may be relevant to whether the duty to take reasonable steps to advise of an exclusion clause or waiver arises. The effect of the exclusion clause in relation to the nature of the contract is important because if it runs contrary to the party's normal expectations it is fair to assume that he does not intend to be bound by the term. The length and format of the contract and the time available for reading and understanding it also bear on whether a reasonable person should know that the other party did not in fact intend to sign what he was signing. The list is not exhaustive. Other considerations may be important, depending on the facts of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also imposes a duty to give reasonable notice to a person using the premises if an occupier wishes to limit its liability. Section 4(1)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reads,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 if an occupier is permitted by law to extend, restrict, modify or exclude the occupier's duty of care to any person by express stipulation or notice, the occupier must take reasonable steps to bring that extension, restriction, modification or exclusion to the attention of that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fact that the players were required to negotiate the Golf Course on golf carts markedly increased the significance of any waiver absolving the Golf Course Defendants of their duties as occupiers when the players were using carts. The heading "Cart Liability" does not convey the scope of the waiver sought by the Golf Course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purpose of the transaction within which the Waiver was proffered was the rental of a golf cart. The Heading "Cart Liability" and the brief nature of the transaction did nothing to alert Mr. Okihiro to the fact that he was signing a document as potentially wide-ranging as an assumption of liability to others for a breach of duty by the Golf Course Defendants and a release of claims against those defendants for any damages suffered "from or through [the] use of the golf cart".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am satisfied that, both under the exception discussed by McLachlin C.J.S.C. and under the provisions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Golf Course Defendants were obligated to take additional steps to bring to Mr. Okihiro's attention their contention that the Waiver intends a wide ranging release of claims and assumption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any event, I am not satisfied that the Waiver relieves the Golf Course Defendants from liability as they submit.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Waiver is ambiguous. In my view a reasonable reading of the Waiver would not dispel the impression that it related only to the signer's negligent use of the cart.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Any ambiguity in the Waiver is to be construed against the Golf Course Defendants who prepared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Waiver could reasonably be read to say: "I save the Golf Course free and harmless from any damages or claims that may arise from my use of the golf cart".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am satisfied that a reasonable person in Mr. Okihiro's circumstances would understand the Waiver to relate to claims arising from his negligent use of the cart and conclude that if he used the cart properly no claims could be made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am satisfied that it is highly unlikely that a reasonable person reading the Waiver would conclude that by signing it he would waive any rights of action against the Golf Course, whether arising from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as occupier, while he used the golf cart. Nor, in my view, would he understand it to say: "if anyone riding in this golf cart is injured through the Golf Course's breach of duty I will be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application of the Golf Course Defendants to dismiss Mr. Okihiro's claims against them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Okihiro is entitled to his costs of this application under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PRESTON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3"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Oxford Holdings Ltd. v. Peoples Trust Co., [2002] B.C.J. No. 1470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Koenigsberg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11 - 13 and 15,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C994890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1470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957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856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Oxford Holdings Limited, plaintiff, and Peoples Trust Company, defendant, and Webster Hudson &amp; Akerly,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4"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9" w:name="Keywords_5"/>
      <w:bookmarkEnd w:id="39"/>
      <w:r>
        <w:rPr>
          <w:rFonts w:ascii="arial" w:eastAsia="arial" w:hAnsi="arial" w:cs="arial"/>
          <w:b/>
          <w:color w:val="000000"/>
          <w:sz w:val="20"/>
          <w:lang w:val="en-US" w:eastAsia="en-US" w:bidi="ar-SA"/>
        </w:rPr>
        <w:t>Company law — Officers and agents — Authority — Borrowing — Power to borrow — Approval by directors — Actions by corporations — Authority for.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0" w:name="Case Summary_5"/>
            <w:bookmarkEnd w:id="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Oxford Holdings Ltd. against Peoples Trust Co. for a declaration that a mortgage was invalid or unenforceable. Peoples lent money to Oxford which was secured by a mortgage. In February 1986, the shares in Oxford were transferred into the names of Ione Oughton and M. Oughton. In April 1997, M. Oughton was elected a director of Oxford. M. Oughton resigned as secretary and director of Oxford on June 13, 1997 and assigned himself into bankruptcy on December 31, 1997. In the spring of 1998, Ione Oughton died and arrangements were made to update the corporate records of Oxford to show that M. Oughton no longer held any position with the company. The resolutions and corporate notices were not executed or registered. On September 1, 1998, Oxford entered into a registered mortgage with Peoples. M. Oughton was the sole signatory of Oxford. The loan did not proceed until M. Oughton was absolutely discharged from bankruptcy on October 13, 1998. A corporate search of Oxford in October 1998, showed M. Oughton and Ione Oughton as the sole directors. On October 20, 1998, Oxford passed resolutions to approve the loan and mortgage and authorized M. Oughton to execute the mortgage on behalf of Oxford. An Officer's Certificate was supplied which confirmed that M. Oughton was the sole director and president of Oxford and on October 20, 1998, M. Oughton executed the mortgage on behalf of Oxford. Oxford's Articles of Association gave the directors express authority to obtain mortgages against real property of the company.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1" w:name="Holdings of Court_4"/>
            <w:bookmarkEnd w:id="4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Both the Articles and a corporate resolution gave M. Oughton as president and director of Oxford actual authority to obtain the mortgage and he was a director when the mortgage was executed. The mortgage was therefore valid and enforceable against Oxford.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2" w:name="Legislation Cited_3"/>
      <w:bookmarkEnd w:id="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5"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Company Act, R.S.B.C. 1996, c. 62, ss. 1(1), 141, 144.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Land Title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3" w:name="Counsel_5"/>
      <w:bookmarkEnd w:id="4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6"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Larry Smeets, for the plaintiff. Shayne P. Strukoff, for the defendant. Patrice M.E. Abrioux, for the 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4" w:name="Judgment_5"/>
      <w:bookmarkEnd w:id="44"/>
      <w:r>
        <w:pict>
          <v:line id="_x0000_s1057" style="position:absolute;z-index:2518179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5" w:name="KOENIGSBERG J."/>
            <w:bookmarkEnd w:id="45"/>
            <w:r>
              <w:rPr>
                <w:rFonts w:ascii="arial" w:eastAsia="arial" w:hAnsi="arial" w:cs="arial"/>
                <w:b/>
                <w:color w:val="000000"/>
                <w:sz w:val="30"/>
                <w:lang w:val="en-US" w:eastAsia="en-US" w:bidi="ar-SA"/>
              </w:rPr>
              <w:t>KOENIGSBERG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Oxford Holdings Limited ("Oxford") is a British Columbia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Peoples Trust Company ("Peoples") is a financial institution that lent money to Oxford, secured by a mortgage against property owned by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third party Webster Hudson &amp; Akerly is the law firm that acted for Peoples with respect to the loan. The particular solicitor was Graham A. Porteous. Those third party proceedings have been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Oxford is the major asset of the estate of John Wilfred Oughton, who passed away on June 26, 1985. The company owns a duplex at 5336 and 5338 Cambie Street, Vancouver, B.C.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will of Mr. Oughton appointed Ione Oughton (his wife) and his two sons Michael Marc Oughton ("M. Oughton") and John Horace Oughton ("J. Oughton") as executors, and left a life estate over the estate assets to Ione Oughton, with the residue to be divided equally between the two sons upon her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Nita Ruzicka ("Ms. Ruzicka"), the aunt of J. Oughton and M. Oughton, and the executor named in the will of Ione Oughton, is acting as the current director and president of Oxford. Ms. Ruzicka is a former accountant and tax auditor.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or about September 1985, J. Oughton was convicted of being a serial rapist, and has been indefinitely incarcerated at Kent Penitentiary.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By Grant of Probate dated January 20, 1986, Ione Oughton and M. Oughton became executors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February 1986, the deceased's shares in Oxford were transferred into the names of Ione Oughton and M. Oughton as executors of the estate, as recorded in the Register of Members. M. Oughton remained a registered shareholder throughout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By "double probate" - meaning that there was a second probate granted for the estate - J. Oughton also became an executor of the estate on March 4, 1991. However, he did not take any steps to have the shares in Oxford registered in his name as executor.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By resolution dated April 1997, M. Oughton was elected as a director to hold office "until the next Annual General Meeting". This differed from the resolutions passed in prior years, which limited the appointment to the ensuing year only. M. Oughton did not sign this resolution. However, in my view that is irrelevant to the issues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 Oughton resigned as secretary and director of Oxford on June 13, 1997, and assigned himself into bankruptcy on December 31,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Before April 1998, Ione Oughton, Ms. Ruzicka and J. Oughton had concerns about M. Oughton's conduct in relation to Oxford's assets. In or about April 1998, Ione Oughton met with Mr. Lopston, Oxford's corporate solicitor, to have the corporate records updated in Victoria, B.C. to show that M. Oughton no longer held any position with the company. In this regard, by letter dated April 7, 1998, Mr. Lopston forwarded the necessary resolutions and Annual Report to Ione Oughton for execution. Ms. Ruzicka was also aware that such documents were going to be prepared, since she attended Mr. Lopston's office along with her sister. However, due to the unfortunate death of Ione Oughton on May 10, 1998, the resolutions and corporate notices were not executed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May 21, 1998, Ms. Ruzicka contacted Mr. Lopston's office regarding the 1998 Annual Report and proxies. Ms. Ruzicka was aware that Mr. Lopston was the solicitor who could attend to the appropriate filings in Victoria, B.C. However, at trial, she could not provide any explanation as to why the necessary report was not filed with the Corporate Registry in Victoria during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summer of 1998, Ms. Ruzicka and J. Oughton became aware that M. Oughton was holding himself out as Oxford's representative in order to gain access to the company's assets. In particular, Ms. Ruzicka personally overheard M. Oughton making such representation to a teller at a branch of the Toronto Dominion Bank ("TD Bank") where Oxford banked. She was also aware that M. Oughton was attempting to obtain a loan on behalf of Oxford. She advised J. Oughton of this at the time. Both were concerned that M. Oughton may attempt to encumber the corporate assets for personal gain which, to their knowledge, he had done before. Ms. Ruzicka also told Mr. Lopston, the solicitor, that he should get in touch with J. Oughton at the prison.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August 10, 1998, J. Oughton dictated a letter to the TD Bank, which was typed by Ms. Ruzicka. The letter specifically expressed that M. Oughton "be prevented from mortgaging or otherwise encumbering any assets of Oxford Holding Limited and in particular, the property known as 5336-5338 Cambie Street in the City of Vancouver, B.C." The letter was also copied to Mr. Lopston and Oxford's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Ruzicka was also aware that they could protect the company's real estate by filing a caveat against title in the Land Title Office. Indeed, shortly after the incident involving M. Oughton at the TD Bank (August 1998), Ms. Ruzicka instructed Robert Burns, a solicitor, to file a caveat. However, Ms. Ruzicka stated that, for reasons that are not entirely clear, Mr. Burns did not attend to this during the summer of 1998. Apparently neither she nor J. Oughton followed up with Mr. Burns during the relevant period of time. In fact, no attempt was made to file a caveat until a couple of weeks after the mortgage in favour of Peoples had already been registered.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September 10, 1998, a further letter was sent to the TD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However, other than sending letters to the TD Bank in August and September 1998, it appears that neither J. Oughton nor Ms. Ruzicka took any steps to update the corporate filings at Victoria, B.C. to reflect that M. Oughton had no corporate capacity. Those records were not updated until 1999, after the events in question. Nor, during the relevant period of time, did J. Oughton or Ms. Ruzicka alert financial institutions other than the TD Bank, or register any caveat against Oxford's property to show that J. Oughton had a direct or indirect interest in the property. Nor were shares in Oxford registered to J. Oughton or Ms. Ruzicka until October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September 1, 1998, Oxford entered into a mortgage with Ms. Haffenden. The mortgage was registered in the Land Title Office on September 3, 1998. M. Oughton alone signed as the authorized signatory of Oxford. The evidence is unclear but I find that J. Oughton likely became aware of such mortgage sometime between his letter of October 13, 1998, to M. Oughton, and just prior to the "bigger mortgage" being obtained from Peoples.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or around September 1998, M. Oughton, on behalf of Oxford, applied through a mortgage broker - Proline Mortgage Centre Inc. - to Peoples for a loan of $250,000 (the "Loan"). In October 1998 Peoples retained Graham A. Porteous ("Mr. Porteous") of the law firm of Webster Hudson &amp; Akerly to represent it with respect to the Loan. Both Peoples and Mr. Porteous became aware of M. Oughton's bankruptcy, and it was a condition of the Loan that M. Oughton be fully discharged from bankruptcy before advancement of funds. Mr. Porteous also understood that his role was to obtain a valid first mortgage for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Since, as a result of his bankruptcy, M. Oughton was disqualified from acting as a director under the Company Act, Mr. Porteous acted to ensure that an absolute discharge was granted before proceeding with the legal work necessary for the transaction. On October 13, 1998, the Supreme Court of British Columbia granted M. Oughton such a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October 15, 1998, Mr. Porteous obtained a BC Online Corporate search of Oxford. This search showed that the directors of Oxford were M. Oughton and Ione Oughton. Mr. Porteous was aware, through several sources, that Ione Oughton had passed away in the spring of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Porteous also conducted a Land Title search, and obtained a copy of the Haffenden mortgage. As stated, it showed that M. Oughton alone had entered into the mortgage of Oxford. This reinforced Mr. Porteous' belief that he was dealing with a one-person company. He was not aware of any purported interest or claim of J. Oughton.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Porteous prepared the standard mortgage documents and corporate resolutions. He provided them to Oxford. Prior to the execution of the mortgage, Mr. Porteous received from M. Oughton a certified copy of the resolutions of Oxford passed on October 20, 1998. The resolutions approved the terms of the loan and the mortgage, and authorized M. Oughton to execute the mortgage on behalf of Oxford.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Porteous also received a certified copy of the Officer's Certificate dated October 20, 1998. The Officer's Certificate confirmed, among other things, that M. Oughton had been "duly appointed as the sole director and the president of Oxford".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October 20, 1998, M. Oughton executed the mortgage on behalf of Oxford. Mr. Bruce G. Livingston, a solicitor, witnessed the mortgage on behalf of the company. This, of course, amounted to a certificate of the matter set out in Part 5 of the Land Title Act, namely that M. Oughton acknowledged to Mr. Livingston that he was the authorized signatory of the corporation, that he was authorized by the corporation to execute the instrument, and that the corporation existed at the time the instrument was executed and was legally entitled to hold and dispose of land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October 30, 1998, the mortgage was registered in the Land Title Office. The defendant then advanced the funds under the mortgage. The funds were disbursed in accordance with the order to pay signed by M. Oughton on behalf of the plaintiff. A payment of $69,532.06 was made to Deloitte &amp; Touche, the former trustee in bankruptcy of M. Oughton, pursuant to the order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 portion of the funds was also used to discharge the prior Haffenden mortgage that had been registered against Oxford's property, and to pay property taxes owing by the company. Accordingly, the company received at least some direct benefit from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time of execution of the mortgage and the advance of funds, which is the relevant period of time, Mr. Porteous stated he was not aware of any limitation on M. Oughton's authority to enter into the mortgage on behalf of Oxford. Certainly, Peoples was not made aware of any such lack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Ruzicka became the director and president of Oxford in or about May 1999. It was only after such date that the corporate records and filings in Victoria were changed to show that M. Oughton was no longer a director. One of the purposes of updating the public record was to prevent M. Oughton from holding himself out as Oxford's representative. Such a step could have been taken back in the summer of 1998, but it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were only two public registries relevant to the transaction: the Corporate Registry in Victoria, B.C. and the Land Title Office for Vancouver. Mr. Ritson, the current solicitor for Oxford, indicated that preparing and filing the notice of directors and caveat would have been relatively simple tasks. However, neither one of those tasks was performed prior to registration of the impugned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parties identified the following issues to be resolved:</w:t>
      </w:r>
      <w:r>
        <w:rPr>
          <w:rFonts w:ascii="arial" w:eastAsia="arial" w:hAnsi="arial" w:cs="arial"/>
          <w:sz w:val="20"/>
          <w:lang w:val="en-US" w:eastAsia="en-US" w:bidi="ar-SA"/>
        </w:rPr>
        <w:cr/>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 Oughton have actual authority to enter into the mortgage on behalf of Oxford?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did M. Oughton have the ostensible or apparent authority to enter into the mortgage on behalf of Oxford?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a defect in M. Oughton's actual appointment or authority to enter into the mortgage, can this defect be remedied by the provisions of the Company Act?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if there was any defect in M. Oughton's actual appointment or authority to enter into the mortgage, is Peoples, the mortgagee, nevertheless, protected by the indoor management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first issue to decide, then, is whether M. Oughton had actual authority to execute the mortgage on behalf of Oxford in favour of Peoples, such that the mortgage is valid and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Actual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Companies, such as Oxford, can only engage in transactions with other entities through individuals who are conferred authority to enter into obligations on the company's behalf. A person may be given actual authority or may have ostensible apparent authority to act on behalf of the company. The concept of actual authority involves a company expressly or impliedly authorizing an individual to enter into particular transactions on behalf of the company. For example, actual authority may be given to an individual by way of the terms set out in relevant legislation, articles, or corporate resolutions.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Oxford's Articles of Association ("the Articles"), the directors are given the express authority to obtain mortgages against any real property of the Company. Article 70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Directors may . . . borrow and secure the payment of any sum or sums of money for the purpose of the Company, and for that purpose may execute any mortgages . . . or execute any other form of security whatsoever of real and/or personal property of the Company or any part thereof, and sign, seal and deliver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October 20, 1998, M. Oughton issued an Officer's Certificate naming himself as the president and sole director of Oxford, and passed a resolution authorizing him to enter into the mortgage transaction on behalf of Oxford. In other words, both the Articles and a corporate resolution conferred actual authority on M. Oughton, as president and director of Oxford, to secure a loan from Peoples by way of a mortgage against the duplex. Accordingly, the central question here is whether or not M. Oughton was truly a director of Oxford when the mortgage transaction was executed in October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M. Oughton a Director of Oxford in October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Under Article 61, the one qualification of a director is that he or she hold at least one share in Oxford, and it is the duty of a director to comply with the provisions of the Company Act, </w:t>
      </w:r>
      <w:hyperlink r:id="rId132" w:history="1">
        <w:r>
          <w:rPr>
            <w:rFonts w:ascii="arial" w:eastAsia="arial" w:hAnsi="arial" w:cs="arial"/>
            <w:i/>
            <w:color w:val="0077CC"/>
            <w:sz w:val="20"/>
            <w:u w:val="single"/>
            <w:shd w:val="clear" w:color="auto" w:fill="FFFFFF"/>
            <w:lang w:val="en-US" w:eastAsia="en-US" w:bidi="ar-SA"/>
          </w:rPr>
          <w:t>R.S.B.C. 1996, c. 62</w:t>
        </w:r>
      </w:hyperlink>
      <w:r>
        <w:rPr>
          <w:rFonts w:ascii="arial" w:eastAsia="arial" w:hAnsi="arial" w:cs="arial"/>
          <w:color w:val="000000"/>
          <w:sz w:val="20"/>
          <w:lang w:val="en-US" w:eastAsia="en-US" w:bidi="ar-SA"/>
        </w:rPr>
        <w:t xml:space="preserve"> ("the Company Act"). Under the Company Act, subsection 1(1) sets out that a "director includes every person, by whatever name designated, who performs the functions of a director." The only substantive requirement that must be satisfied to qualify to be a director of Oxford is to hold at least one share in Oxford - in short, to be a member or registered shareholder of Oxford.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Oxford's Register of Members, at all relevant times in the fall of 1998, listed M. Oughton as the only surviving member or registered shareholder. The Company Act defines "member" in subs. 1(1), for our purposes, to include "every other person who agrees to become a member of a company and whose name is entered in its register of members or a branch register of members." Articles 23, 24 and 25 support the view that it is necessary for persons entitled to shares to become a registered shareholder in order for them to be a voting member of Oxford, and eligible to be a director.</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executors or administrators of a deceased sole holder of a share shall be the only persons recognized by the Company as having any title to the shares. In the case of a share registered in the names of two or more holders, the survivor or survivors shall be the only persons recognized by the Company as having any title to the share.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becoming entitled to a share in consequence of the death or bankruptcy of a member shall, upon such evidence being produced as may from time to time be required by the Directors, have the right to be registered as a member in respect of the share . . .</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becoming entitled to a share by reason of the death or bankruptcy of a holder shall be entitled to the same dividends and other advantages to which he would be entitled if he were the registered holder of the share, except that he shall not, before being registered as a member in respect of the share, be entitled in respect of it to exercise any right conferred by membership in relation to meetings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was not until the fall of 2001, over three years following the mortgage transaction, that J. Oughton or Nita Ruzicka exercised their entitlements under the estate and became members or registered shareholders of Oxford. As the BC Online Corporate search of Oxford performed by Mr. Porteous on October 15, 1998, revealed M. Oughton was the only surviving director identified with the company. In short, when M. Oughton entered the mortgage with Peoples after October 13, 1998, he was the only individual qualified to be the director of Oxford and he was the only surviving individual disclosed as a member or registered shareholder and director of Oxford, upon a public search of corporate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mentioned earlier, although M. Oughton assigned himself into bankruptcy in December 1997, this court granted him an absolute discharge on October 13,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Shortly thereafter, the defendant's solicitor did the necessary searches to ensure that M. Oughton, now a discharged bankrupt, had the corporate capacity to act on behalf of Oxford. Searches of the Corporate Registry and the Land Titles Office indicated that M. Oughton was the sole director and the only person who could enter the mortgage transaction on Oxford's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October 20, 1998, M. Oughton executed the Officer's Certificate and passed corporate resolutions approving the mortgage and authorizing him to execute the mortgage. That is, the Officer's Certificate and the resolutions were signed one week after M. Oughton's bankruptcy status was discharged, and the corresponding limitation on his capacity to be a director was removed. On that same day, M. Oughton executed the mortgage on behalf of Oxford. The mortgage was registered in the Land Title Office on October 30, 1998, on which date Peoples advanced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 Oughton, and he alone, took steps on behalf of Oxford to constitute himself as sole director of Oxford, to approve the mortgage, and to authorize the execution of the mortgage. In relation to his appointment as sole director of Oxford, Article 58 states: "Until otherwise determined by a general meeting, the number of Directors shall not be less than two ...". However, Article 38 states: "Directors may, whenever they think fit, convene an extraordinary general meeting . . .". M. Oughton, performing the "functions of a director" (Company Act, subs. 1(1) "director") and as the only member or registered shareholder of Oxford (Article 61), in fact, may have convened an extraordinary general meeting in October 1998, at which he appointed himself sole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Nonetheless, M. Oughton was the only individual entitled to exercise the voting powers associated with membership and, therefore, conduct business on behalf of Oxford. Article 53 requires that a voting member be a registered shareholder:</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member shall be entitled to vote at any general meeting unless . . . he has been registered as the holder of the shares in respect of which he proposes to vote.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relation to the quorum necessary to conduct business at a general meeting, ss. 141 and 144 of the Company Act sanction a quorum of one if a company has only one member, despite the quorum requirements set out in a company's articles: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One member of a company, if the company has a quorum of one, may constitute a meeting of the company.</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quorum for the transaction of business at a general meeting of a company is 2 persons, unless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has only one member, in which case the quorum is one person, and any provision of the articles inconsistent with that quorum, to the extent of that inconsistency, has no force or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necessary quorum to conduct business was satisfied in this case, as M. Oughton was the only member or registered shareholder of Oxford.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unique circumstances present in October 1998, it was technically legal for M. Oughton, and he alone, to take steps on behalf of Oxford to constitute himself as sole director, approve the mortgage, and grant actual authority to obtain the mortgage. M. Oughton was a director of Oxford when the mortgage transaction with Peoples was executed in October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asserts that Peoples, through Mr. Porteous, bears responsibility for M. Oughton's ability to gain the capacity to become a director of Oxford. In written submissions, Oxford asserted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discloses that Peoples Trust was not an innocent bystander, but rather was an agent of Marc Oughton responsible for creating the conditions that gave rise to the fraudulent mortgage against Oxford Holdings.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Peoples Trust Company not only ignored evidence that fraud was being perpetrated against Oxford Holdings Ltd. by Marc Oughton, but was complicit in the perpetration of such fraud by having its solicitors prepare for signature by Marc Oughton a Certified Copy of Resolutions of the Directors of Oxford Holdings Ltd. and an Officer's Certificate authorizing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find that it was the inaction of J. Oughton or Nita Ruzicka on his behalf to ensure that appropriate steps were taken prior to October 1998 to preclude M. Oughton from having actual authority to transact business on behalf of Oxford that enabled M. Oughton to have and assert his status as a director. I find that they had notice that M. Oughton was prepared to act on the actual authority which he had or could have upon being discharged from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Since M. Oughton was the director of Oxford at all relevant times during the mortgage transaction, he had actual authority via the Articles and corporate resolutions to bind Oxford. The mortgage entered into by M. Oughton on behalf of Oxford in favour of Peoples in October 1998 is valid and enforceable against Oxford.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Ostensible or Apparent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requirements for ostensible authority are set out in Freeman &amp; Lockyer (A Firm) v. Buckhurst Park Properties (Mangal) Ltd., [1964] 2 Q.B. 480. These are:</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representation that the agent had authority to enter on behalf of the company into a contract of the kind sought to be enforced was made to the other contracting party;</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representation was made by a person or persons who had "actual" authority to manage the business of the company either generally or in respect of those matters to which the contract relates;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contracting party was induced by such representation to enter into the contract, that is, that he in fact relied upon it;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its memorandum or articles of association the company was not deprived of the capacity either to enter into a contract of the kind sought to be enforced or to delegate authority to enter into a contract of that kind to the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the facts, I find each of the four requirements is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do not intend to deal with the other alternative arguments presented to support the defendant's position on the basis of the facts and findings ruled upon to find that M. Oughton had actual authority. I find that if he did not have actual authority he had ostensible or apparent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Ostensible or apparent authority is a legal concept which sets up an estoppel, which prevents a company from relying on its agent's lack of actual authority to transact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Conduct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issue of whether the court should order a sale and Conduct of Sale of the properties is not properly before this court. That and all other related matters are properly to be dealt with in any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 seeks Special Costs of this action and of an aborted summary trial hearing which led to this action. The primary basis for the claim to Special Costs is that this action is "in effect" a foreclosure action or an action challenging an Order Nisi. In my view, there is no basis for an award of Special Costs on the ground that such an award would be appropriate pursuant to the mortgage contract or in foreclosure proceedings. This action was one for a declaration that the mortgage in question was invalid or unenforceable. There is no evidentiary basis for converting it into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second ground for an order for Special Costs is on the basis that the plaintiff alleged fraud against the defendant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third party. At the opening of trial, I asked counsel for the plaintiff if, in fact, it was alleging fraud or any impropriety on the part of the defendant in granting the mortgage. The plaintiff made the following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Peoples Trust Company not only ignored evidence that fraud was being perpetrated against Oxford Holdings Ltd. by Marc Oughton, but was complicit in the perpetration of such fraud by having its solicitors prepare for signature by Marc Oughton a Certified Copy of Resolutions of the Directors of Oxford Holdings Ltd. and an Officer's Certificate authorizing the mortgage.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thrust of such remarks was not an allegation that Peoples Trust knowingly or intentionally participated in any effort by Marc Oughton to defraud Oxford Holdings Ltd. The evidence does not suggest that Peoples Trust Company was involved in any conspiracy to defraud the company, but rather, it is submitted, was complicit in unknowingly making it possible for Marc Oughton to achieve that goal. To the extent that Peoples Trust acted improperly, it is submitted, it did so without fully appreciating the effects its improper actions were having on Oxford Holdings Ltd. directly, and on those who have an interest in Oxford Holdings Ltd. indirectly.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my view, the plaintiff did allege elements of fraud against the defendant. It also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defendant's solicitor. In such a case, that is, where fraud is alleged and not proven, Special Costs may be awarded. Here, it is unclear whether outright fraud was alleged at all. In Knight's Mineral Exploration &amp; Co. v. Corcoran &amp; Co. Ltd. (1994), 24 C.P.C. (3d) 230 (B.C.S.C.) at pp. 234, 240-41, the issue of the award of Special Costs in relation to unproven fraud was discussed. The court stated that unproved allegations of fraud will not by themselves attract a Special Costs order, unless they were made maliciously or without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Here, while in my view, the allegations of complicity in fraud had little merit, they were not without foundation. I would exercise my discretion, in this case, in all its circumstances, and award the defendants costs of this proceeding throughout, including the R. 18A trial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KOENIGSBERG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8"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Parkland Industries Ltd. v. Smart Gas and Auto Detailing Ltd., [2013] B.C.J. No. 1266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12 and 13,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S118327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1266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1046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Parkland Industries Ltd., Plaintiff, and Smart Gas and Auto Detailing Ltd., Nobia Masoom and Masoom Agha Qazilbash, Defendants, and Parkland Industries Ltd., Defendant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9"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6" w:name="Keywords_6"/>
      <w:bookmarkEnd w:id="46"/>
      <w:r>
        <w:rPr>
          <w:rFonts w:ascii="arial" w:eastAsia="arial" w:hAnsi="arial" w:cs="arial"/>
          <w:b/>
          <w:color w:val="000000"/>
          <w:sz w:val="20"/>
          <w:lang w:val="en-US" w:eastAsia="en-US" w:bidi="ar-SA"/>
        </w:rPr>
        <w:t>Civil litigation — Civil procedure — Judgments and orders — Summary judgments — Application by the plaintiff Parkland Industries for summary judgment dismissed — Parkland was a fuel distributor and the defendants operated a gas station — Parkland was seeking damages for breach of a fuel supply contract — There were numerous issues in dispute and the credibility of the parties was in issue — There was insufficient evidence to determine the claim for branding expenses and to assess future loss of profit — The matter was not suitable for summary resolution.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Proceedings in contract — Practice and procedure — Application by the plaintiff Parkland Industries for summary judgment dismissed — Parkland was a fuel distributor and the defendants operated a gas station — Parkland was seeking damages for breach of a fuel supply contract — There were numerous issues in dispute and the credibility of the parties was in issue — There was insufficient evidence to determine the claim for branding expenses and to assess future loss of profit — The matter was not suitable for summary resolution.</w:t>
      </w:r>
    </w:p>
    <w:p>
      <w:pPr>
        <w:jc w:val="both"/>
        <w:rPr>
          <w:rFonts w:ascii="arial" w:eastAsia="arial" w:hAnsi="arial" w:cs="arial"/>
          <w:sz w:val="20"/>
          <w:lang w:val="en-US" w:eastAsia="en-US" w:bidi="ar-SA"/>
        </w:rPr>
      </w:pPr>
      <w:bookmarkStart w:id="47" w:name="Legislation Cited_4"/>
      <w:bookmarkEnd w:id="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0"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8" w:name="Counsel_6"/>
      <w:bookmarkEnd w:id="4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1"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S.D. Hansen, K.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 Ahmed.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9" w:name="Judgment_6"/>
      <w:bookmarkEnd w:id="49"/>
      <w:r>
        <w:pict>
          <v:line id="_x0000_s1062" style="position:absolute;z-index:2518190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0" w:name="R.D. PUNNETT J."/>
            <w:bookmarkEnd w:id="50"/>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by summary trial for damages for breach of a fuel supply contract between the plaintiff fuel distributor and the defendant gas station as well as judgment pursuant to the guarantees of the principals of the corporate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matter is currently set for trial for five days in November 2013. Documents have been exchanged and the plaintiff has completed its examination for discovery of the defendants. The defendants have yet to discover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have concluded that this proceeding is not suitable for summary disposition for the reasons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have operated Smart Gas and Auto Detailing Ltd. (Smart Gas) on Canada Way in Burnaby, British Columbia for a number of years. It is not disputed that throughout 2009 and early 2010 the plaintiff's representative Sean Meindl repeatedly approached the defendant Masoom Agha Qazilbash, the principal of Smart Gas, seeking to persuade the defendants to become a Fas Gas branded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March 25, 2010 the plaintiff and the corporate defendant Smart Gas entered into a letter of agreement. Over the next two months they finalized the terms and on May 25, 2010 entered in a contract entitled "Petroleum Products Supply and Purchase Agreement" (the "Agreement"). Also on May 25, 2010, the two principals of the corporate defendant, Masoom Agha Qazilbash and Nobia Masoom, who are husband and wife, signed individual guarantees described as guarantees of "Corporate Indebtedness" (the "Guarantees").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Agreement provided that the corporate defendant would have the use of the Fas Gas brand and that it would purchase all of its light petroleum fuels for resale from the plaintiff for a term of five years, with an automatic four year renewal unless the plaintiff gave notice. Pursuant to the Agreement the defendant company was to purchase a minimum of 700,000 litres and maximum of 2,000,000 litres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price was to be determined daily by the seller and would reflect the price in effect at their loading rack plus delivery charges and taxes. The Agreement at para. 10:01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10.01 The Buyer will pay to the Seller for light petroleum fuels sold hereunder the price in effect at the Seller's designated loading rack at the time that the light petroleum fuels are loaded for delivery by the Buyer, plus the cost of delivery, plus all applicable taxes. The light petroleum fuels prices will be established daily by the Seller and are subject to change at any time and without notice.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Pursuant to the Agreement the plaintiff supplied fuel to the defendants' gas station from July 2010 until September 2011. Fuel was to be paid for on delivery. Despite that arrangement, deliveries occurred without payment being made and the defendant company fell into arrears on its fuel payments. On September 12, 2011 the plaintiff informed Smart Gas that it had been moved to "prepaid status" such that prepayment of the fuel was required three to five days before the fuel was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of September 2011 the plaintiff claimed a balance due of $91,949.82. Smart Gas disputed that amount acknowledging a debt of only $49,664.40.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October 3, 2011 the plaintiff provided a notice of default to Smart Gas given they had learned that Smart Gas was purchasing petroleum fuel from other suppliers contrary to the Agreement. The notice of default also demanded payment of the $91,949.82. Payment was not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November 4, 2011 the plaintiff gave notice that the Agreement would terminate on November 14, 2011 and that thereafter the plaintiff would attend at the Smart Gas premises to remove its equipment. A representative of the plaintiff attended on two occasions to retrieve the plaintiff's brand name, trademarks, trade names and colour scheme from the Smart Gas premises but was refused entry. The circumstances of such refusals are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continued to use the equipment and operate its business under the plaintiff's brand name until, as a result of an agreement between counsel, the equipment and branding materials were removed on or about December 15,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seeks the following:</w:t>
      </w:r>
      <w:r>
        <w:rPr>
          <w:rFonts w:ascii="arial" w:eastAsia="arial" w:hAnsi="arial" w:cs="arial"/>
          <w:sz w:val="20"/>
          <w:lang w:val="en-US" w:eastAsia="en-US" w:bidi="ar-SA"/>
        </w:rPr>
        <w:cr/>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defendants breached the Agreement and that the plaintiff is entitled to treat it as at an end;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for fuel delivered in the sum of $91,949.82;</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profits in the approximate amount of $143,290;</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the cost of branding in the sum of $75,265.52;</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on a solicitor/client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raise a number of defences. They submit that it is the plaintiff who breached the Agreement and thereby repudiated it. They allege the breaches by the plaintiff include the failure to provide credit as agreed. They further allege that the plaintiff misrepresented the terms of the Agreement and also made misrepresentations and promises to induce the defendant company to enter into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defendants filed a counterclaim in which they allege the plaintiff made false, fraudulent or negligent misrepresentations relied upon by the defendants. They allege breach of fiduciary duty, deceit, unconscionability and breach of contract. They also advance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breach of an alleged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do not apply for summary judgment on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asserts that its claim can properly be resolved summarily and that if decided in its favour it will render the defendants' counterclaim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They acknowledge the claim is legally complex but assert that it is not factually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submit that the matter is not suitable for summary resolution because there is a lack of sufficient evidence before the court, there are significant credibility issues going directly to the facts in issue, and that it would be inappropriate to resolve the plaintiff's claims with the counterclaim remaining outstanding, as it involves the same issues and facts and to resolve any of the plaintiff's claims would effectively divide the litigation into slices.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Rule 9-7(15) provides that on a hearing of a summary trial application, the court may:</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 recent summary of the application of the rule is found in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where Madam Justice D. Smith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the court confirmed that the court under this rule "tries the issues raised by the pleadings on affidavits", that "a triable issue or arguable defence will not always defeat a summary trial application", and that "cases will be decided summarily if the court is able to find the facts necessary for that purpose, even though there may be disputed issues of fact and law" provided that the judge does not find "it is unjust to do so" (p. 211). In determining the latter issue (whether it would be unjust to proceed summarily), the Chief Justice identified a number of relevant factors to consider (at p. 215):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it will be unjust to give judgment the chambers judge is entitled to consider, inter alia,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To this list has been added other factors including the cost of the litigation and the time of the summary trial, whether credibility is a critical factor in the determination of the dispute, whether the summary trial may create an unnecessary complexity in the resolution of the dispute, and whether the application would result in litigating in slices: </w:t>
      </w:r>
      <w:r>
        <w:rPr>
          <w:rFonts w:ascii="arial" w:eastAsia="arial" w:hAnsi="arial" w:cs="arial"/>
          <w:i/>
          <w:color w:val="000000"/>
          <w:sz w:val="20"/>
          <w:lang w:val="en-US" w:eastAsia="en-US" w:bidi="ar-SA"/>
        </w:rPr>
        <w:t>Dahl v. Royal Bank of Canada et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 12, upheld on appeal at </w:t>
      </w:r>
      <w:hyperlink r:id="rId143"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alleges that the defendants breached the Agreement by not paying for fuel delivered and that when the plaintiff ceased delivery because of non-payment the defendants further breached the Agreement by purchasing fuel from other suppliers.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acknowledge entering into an agreement with the plaintiff and concede that there is money owing by them pursuant to it. However, they dispute the amount and allege that they were overcharged. They allege it is the plaintiff who breached the Agreement by improperly pricing the fuel in contravention of the plaintiff's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Mr. Qazilbash alleges that Mr. Meindl "called about a dozen times at least through 2009 and early 2010. He would spend over an hour or more trying to convince me to switch over to Fas Gas and citing various perceived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Qazilbash alleges that Mr. Meindl made various representations to him and it was only because of those representations that he entered into negotiations with the plaintiff. He states: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promised that Parkland would deliver gas at rack price plus taxes and only charge delivery which he said would be at cost and calculated at the industry standards of 1 cent a litre for delivery. In addition he said we would get credit facilities, as that was how I was operating with my existing supplier at the time.</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my business, pricing was crucial and everything. The location is very competitive and has a Husky and Esso nearby. I have been successfully able to undercut Husky by at least 1 cent and that was how I was surviving. Sean Meindl promised that Parkland pricing would also be competitive and allow me to continue to undercut Husky. In particular he expressly promised that the rack price plus delivery would be lower than our existing supplier.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Meindl in his affidavit filed in support of the plaintiff's application said this: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the only Parkland representative who dealt with the Defendants prior to the execution of the Agreement. At no time did I make any of the representations alleged by the Defendants to induce them to enter into the Agreement.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Specifically, I did not make express representations that the whole sale price for fuel would be: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competitive to allow the Defendant to undercut Husky;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cents below the rack price; or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or below the rate of Smart Gas' existing supplier.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Agreement does not provide details of how the plaintiff sets the price charged to the defendant company. Mr. Meindl in his affidavit states:</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provided for pricing in that the Buyer would purchase fuel at the daily rack pricing plus processing, tax and delivery charges on the day the fuel is loaded onto the truck. The daily rack pricing is an amount set daily by the refiners at the Shell Terminal and is a commodity price based on the markets which fluctuate daily. The processing fee is a static amount that is Parkland's profit and the delivery amounts are determined based on the load/purchase 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Agreement however refers to "price in effect at the Seller's designated loading rack" but does not refer to any processing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addition the Agreement does not define "Seller's designated loading rack" nor "market rack price". The plaintiff addressed this issue in the second affidavit of Mr. Meindl as follows:</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(defined in my first affidavit) provides that the Buyer will pay "the price in effect at the Seller's designated loading rack at the time that the light petroleum fuels are loaded or delivery to the Buyer, plus the cost of delivery, plus all applicable taxes." The "price in effect at the Seller's designated loading rack" is different from the "market rack price". The Seller's designated loading rack price is calculated by taking the market rack price, which is the price that Parkland pays to the designated terminal refinery owner, and then Parkland adds a processing fee which represents Parkland's profit margin.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alleged misrepresentations bear directly on the issue of the price of the fuel.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submits that the defendants have not been consistent in what misrepresentations were alleged to have been made, noting the following:</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of civil claim alleges that the price would be competitive and at or below the rate of Smart Gas' existing supplier;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requests at the examination for discovery of the defendants the defendants particularized their claim for fraud by stating that the Agreement was for two cents per litre below the rack price;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affidavit of Mr. Qazilbash states that he was relying on a promise of rack price plus one cent per litre.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a result the plaintiff submits that the defendants cannot argue that they relied on a misrepresentation when they are unclear on what the misrepresentation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also submits that the alleged misrepresentations are irrelevant given there is an "entire agreement" clause in the Agreement and the fact that the representations are inconsistent with the terms of that written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Rebranding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claims the sum of $75,000 for rebranding costs. Pursuant to the Agreement the plaintiff loaned to the defendants certain equipment including a highway pole sign with acrylics, a canopy sign with acrylics, an electronic price sign, a point of sale machine, a printer, and a manual credit card imprinter. It is not disputed that the defendant received the listed equipment. The plaintiff states that it incurred $75,000 in costs to provide the above equipment and to renovate and brand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evidence in support of the expenditures allegedly incurred is a list of expenditures unsupported by any invoices or receipts. The defendants state that such renovations were not done. The plaintiff produces photos of the rebranded station allegedly supporting that they were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has now removed the loaned equipment and the station branding. The defendants in their counterclaim claim damages arising from the branding and de-branding of the premises.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De-branding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seeks $1,451.52 in de-branding costs. The evidence in support of this claim consists of invoices from a third party hired to effect removal of the branding equipment and materials. It is alleged the cost was increased by the breach of the defendants in not permitting access to the premises.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 for Loss of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also advances a claim for loss of profit calculated on the 700,000 per annum litre base not only for the five year term of the Agreement but also the four year extension that was available at the option of the plaintiff. There is no evidence that the plaintiff would in fact have permitted the term to be extended.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claim is based on an alleged average profit of $0.0267 cents per litre. Jason Park, Assistant Controller of Retail for the plaintiff deposed as follows: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price of the fuel pursuant to the Agreement is calculated based on the rack pricing (which fluctuates) plus the processing fee and delivery charges (which remain static) applicable to that Premises.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Parkland's profit (the "Site Contribution Margin") is calculated based on its profits made on fuel purchases net of discounts (the "Fuel Margin"), plus other non-petroleum revenue, less its operating expenses. For the 2011 year, the average actual Site Contribution Margin to Parkland taking into account the Fuel Margin, discounts and expenses was $0.0267 per litre for the Premises.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Park then attaches a profit and loss statement for the premises which he states "illustrates Parkland's profits for that year". On the basis of that he has forecast the future loss of profits of the plaintiff and has attached his calculations in support.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Personal Guarantees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relevant portion of the guarantees signed by the personal defendants read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GUARANTEE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w:t>
      </w:r>
      <w:r>
        <w:rPr>
          <w:rFonts w:ascii="arial" w:eastAsia="arial" w:hAnsi="arial" w:cs="arial"/>
          <w:b/>
          <w:color w:val="000000"/>
          <w:sz w:val="20"/>
          <w:lang w:val="en-US" w:eastAsia="en-US" w:bidi="ar-SA"/>
        </w:rPr>
        <w:t>PARKLAND INDUSTRIES LIMITED PARTNERSHIP</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limited partnership subsisting under the laws of the Province of Alberta, by its general partner,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PARKLAND INDUSTRIES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236, 4919-59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RED DEER, Alberta T4N 6C9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(hereinafter called "Parkland")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 Guarantee of Corporate Indebtedness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undersigned (hereinafter called the "Guarantor") being a principal of </w:t>
      </w:r>
      <w:r>
        <w:rPr>
          <w:rFonts w:ascii="arial" w:eastAsia="arial" w:hAnsi="arial" w:cs="arial"/>
          <w:b/>
          <w:color w:val="000000"/>
          <w:sz w:val="20"/>
          <w:lang w:val="en-US" w:eastAsia="en-US" w:bidi="ar-SA"/>
        </w:rPr>
        <w:t>Smart Gas and Auto Detailing Ltd.</w:t>
      </w:r>
      <w:r>
        <w:rPr>
          <w:rFonts w:ascii="arial" w:eastAsia="arial" w:hAnsi="arial" w:cs="arial"/>
          <w:color w:val="000000"/>
          <w:sz w:val="20"/>
          <w:lang w:val="en-US" w:eastAsia="en-US" w:bidi="ar-SA"/>
        </w:rPr>
        <w:t xml:space="preserve"> (hereinafter called the "Corporation) in consideration of Parkland granting or extending credit (the "Indebtedness") to the Corporation arising from any dealings between Parkland and the Corporation, present or future, direct or indirect, including but not limited to the purchase of petroleum products, including all accessories related thereto, do hereby for myself, my heirs, executors, administrators (and where there are more than one undersigned Guarantor, jointly and severally) unconditionally guarantee the payment when due of all Indebtedness, interest and penalties thereon, if applicable, owing to Parkland by the Corporation from time to time and unconditionally guarantee the performance of all obligations of the Corporation to Parkland.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individual defendants plead </w:t>
      </w:r>
      <w:r>
        <w:rPr>
          <w:rFonts w:ascii="arial" w:eastAsia="arial" w:hAnsi="arial" w:cs="arial"/>
          <w:i/>
          <w:color w:val="000000"/>
          <w:sz w:val="20"/>
          <w:lang w:val="en-US" w:eastAsia="en-US" w:bidi="ar-SA"/>
        </w:rPr>
        <w:t>non-est factum</w:t>
      </w:r>
      <w:r>
        <w:rPr>
          <w:rFonts w:ascii="arial" w:eastAsia="arial" w:hAnsi="arial" w:cs="arial"/>
          <w:color w:val="000000"/>
          <w:sz w:val="20"/>
          <w:lang w:val="en-US" w:eastAsia="en-US" w:bidi="ar-SA"/>
        </w:rPr>
        <w:t>, that the guarantees are unconscionable, that there was a breach of fiduciary duty and that they were not given the opportunity to obtain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While the plaintiff has examined the defendants for discovery the defendants have yet to examine the plaintiff. The failure to do so in this instance is not a factor in the conclusion I have reached. In addition I note that neither party sought to cross-examine the other on the affidavits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argues that credibility is not a central consideration. It submits that the court can find the facts necessary to decide the issues of fact and law. It further submits that disposition of the application depends on the interpretation of the Agreement and whether either party breached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Fundamental to the enforceability of the Agreement and the issue of its breach is the issue of the alleged misrepresentations. The affidavit evidence of Mr. Meindl and Mr. Qazilbash is in direct conflict. Their credibility is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Clearly there is an issue between the parties over price. The interpretation of the contract is in issue -- a fact evidenced by the plaintiff filing affidavit material that "explains" certain portions of the Agreement, in particular the manner in which price was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addition the misrepresentations alleged may or may not be inconsistent. For example, I cannot determine on the evidence if the "inconsistent misrepresentations" are necessarily inconsistent (depending on how rack price is defined) or whether they each amount to a mode of pricing that would be consistent with the alleged representation of competitive pricing. There may or may not be a lack of clarity on what the misrepresentations were. There may or may not be an express conflict with the terms of the Agreement. In my view these are issues that cannot be resolved summarily given the fuel pricing issue and the parties' contradictory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noted the plaintiff points as well to the "entire agreement" clause in the Agreement which states "This Agreement constitutes the entire Agreement between the parties and there are no Agreements, representations, conditions or warranties concerning the subject matter of this Agreement that are not merged herein or superseded hereby."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acknowledges that there are exceptions to the general rule that an entire agreement clause precludes consideration of alleged representations founded on discussions prior to the execution of the agreement, for example where the representations were collateral to and not inconsistent with the written contract or where it can be shown the agreement does not truly represent the contract itself. The plaintiff argues however that such exceptions do not apply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It relies on </w:t>
      </w:r>
      <w:r>
        <w:rPr>
          <w:rFonts w:ascii="arial" w:eastAsia="arial" w:hAnsi="arial" w:cs="arial"/>
          <w:i/>
          <w:color w:val="000000"/>
          <w:sz w:val="20"/>
          <w:lang w:val="en-US" w:eastAsia="en-US" w:bidi="ar-SA"/>
        </w:rPr>
        <w:t>Sultani v. Blenz the Canadian Coffee Company Ltd</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2005 BCCA 578</w:t>
        </w:r>
      </w:hyperlink>
      <w:r>
        <w:rPr>
          <w:rFonts w:ascii="arial" w:eastAsia="arial" w:hAnsi="arial" w:cs="arial"/>
          <w:color w:val="000000"/>
          <w:sz w:val="20"/>
          <w:lang w:val="en-US" w:eastAsia="en-US" w:bidi="ar-SA"/>
        </w:rPr>
        <w:t>, for the proposition that a representation made outside the four corners of a written agreement where there is an "entire agreement clause" must not be considered where the alleged representation alters an express term of the Agreement. It submits that the representations alleged to have been made conflict with express terms of the Agreement. In doing so however it assumes the Agreement is clear and complete on the issue of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issue is not that simple, as illustrated in </w:t>
      </w:r>
      <w:r>
        <w:rPr>
          <w:rFonts w:ascii="arial" w:eastAsia="arial" w:hAnsi="arial" w:cs="arial"/>
          <w:i/>
          <w:color w:val="000000"/>
          <w:sz w:val="20"/>
          <w:lang w:val="en-US" w:eastAsia="en-US" w:bidi="ar-SA"/>
        </w:rPr>
        <w:t>Canadian Contractual Interpretation Law</w:t>
      </w:r>
      <w:r>
        <w:rPr>
          <w:rFonts w:ascii="arial" w:eastAsia="arial" w:hAnsi="arial" w:cs="arial"/>
          <w:color w:val="000000"/>
          <w:sz w:val="20"/>
          <w:lang w:val="en-US" w:eastAsia="en-US" w:bidi="ar-SA"/>
        </w:rPr>
        <w:t>, Second Edition (Markham: LexisNexis Canada, 2012) by Geoff R. Hall, where the author comments on "entire agreement" clauses as follows at pp. 270-271: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8.10.1 The principle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Entire agreement clauses -- provisions that specify that the written text agreed by the parties constitutes the whole contract and that exclude all representations made outside the document -- are one of the most confusing areas of the law of contractual interpretation in Canada. There appears to be no overarching theory of how the courts should or do approach such provisions, so it is difficult to predict in any particular case whether an entire agreement clause will be enforced or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number of seemingly unrelated principles appear to be at play. An entire agreement clause will in general not be interpreted to be forward-looking, but rather will only be considered to apply to events occurring prior to contracting. An entire agreement clause will not prevail over an oral agreement where the parties did not intend the written contract to encompass their entire relationship, although since this principle is easier to state in the abstract than it is to apply in practice, the application of this principle has been quite inconsistent. An entire agreement clause will not apply to exclude false representations which induced a party to enter into a contract, unless the clause was specifically brought to the attention of the party to whom the representation was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there is a consistent theme to the various concepts which seem to be at play, it appears to be that entire agreement clauses will only be enforced against a party who understood (or ought to have understood) the effect of the clause and whose attention was specifically drawn to the provision. Thus an entire agreement clause is much more apt to be enforced against a sophisticated party than against an unsophisticated one, and entire agreement clauses which are buried in fine print in standard form contracts are apt not to be enforced. In other words, entire agreement clauses tend only to be enforceable where contracting parties expressly turn their minds to them, or where they ought to have done so because of their sophistication and ability to obtain legal advice.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this case there is no evidence that the entire agreement clause was brought to the attention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noted above, the defendants assert multiple meetings leading up to the execution of the agreement. The representative of the plaintiff does not deny such meetings but offers simply a blanket statement denying that he made any of the alleged representations. This puts the credibility of the parties in issue. Multiple meetings by the plaintiff's representative to persuade the defendants to sign an agreement with the plaintiff raises issues of what was said that a bare denial does not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are other concerns. In terms of the debt claimed, the material consists of the evidence of Mr. Mendl and of Mr. Park as well as copies of the invoices relating to the fuel delivered. While those documents support the amount claimed they do not reveal the breakdown of the charges rendered nor that they were rendered in accordance with the Agreement. This is problematic when firstly the meaning of the Agreement is in issue and secondly the documents used different terminology respecting pricing such as "Base Price" with no reference to the terminology used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turn to the remaining issues. As noted earlier the evidence provided in support of the claim for branding expenses consists of a summary of expenses said to have been incurred. There are no supporting invoices. Many of the costs were apparently incurred in-house. That is, third parties did not invoice the plaintiff for the services and materials used. Given the defendants deny the work was done this claim is clearly controversial. The plaintiff has the obligation to satisfy the evidential burden to show the costs incurred and, given they are denied, how they were incurred and calculated. This is not an issue that can be resolved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claim for future loss of profits is equally problematic. The evidence in support consists of a calculation of the profit per litre times the total possible term of the Agreement including the four year renewal based on the minimum litres required under the Agreement. There is no evidence that the plaintiff had decided or would decide to permit the contract to continue after five years. While the claim is for the minimum under the Agreement the evidence is that minimum was never reached during the period prior to the alleged breach of the contract. Whether the plaintiff would have been content with that continuing is unknown. The amount claimed is also a figure that does not take into account the present value of the alleged loss of profit over the future years claimed. There may as well be other contingencies to be accounted for. Again, aside from the issue of the terms of the contract itself and the party responsible for the breach, the evidence does not provide a sufficient basis to assess future loss of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With respect to the issue of the guarantees, given the credibility issues that exist in this case and that the issue of the Agreement giving rise to those guarantees requires a full trial, it would not be appropriate to resolve the guarantee issue summarily.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w:t>
      </w:r>
      <w:r>
        <w:rPr>
          <w:rFonts w:ascii="arial" w:eastAsia="arial" w:hAnsi="arial" w:cs="arial"/>
          <w:i/>
          <w:color w:val="000000"/>
          <w:sz w:val="20"/>
          <w:lang w:val="en-US" w:eastAsia="en-US" w:bidi="ar-SA"/>
        </w:rPr>
        <w:t xml:space="preserve"> Mayer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Mayer,</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2012 BCCA 77</w:t>
        </w:r>
      </w:hyperlink>
      <w:r>
        <w:rPr>
          <w:rFonts w:ascii="arial" w:eastAsia="arial" w:hAnsi="arial" w:cs="arial"/>
          <w:color w:val="000000"/>
          <w:sz w:val="20"/>
          <w:lang w:val="en-US" w:eastAsia="en-US" w:bidi="ar-SA"/>
        </w:rPr>
        <w:t>, the British Columbia Court of Appeal made a number of observations on the issue of summary trial suitability at paras. 77-81: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With respect, the judge erred in approaching the issues in the way he did. As Justice Sopinka stated in </w:t>
      </w:r>
      <w:r>
        <w:rPr>
          <w:rFonts w:ascii="arial" w:eastAsia="arial" w:hAnsi="arial" w:cs="arial"/>
          <w:i/>
          <w:color w:val="000000"/>
          <w:sz w:val="20"/>
          <w:lang w:val="en-US" w:eastAsia="en-US" w:bidi="ar-SA"/>
        </w:rPr>
        <w:t>Borowski v. Canada</w:t>
      </w:r>
      <w:r>
        <w:rPr>
          <w:rFonts w:ascii="arial" w:eastAsia="arial" w:hAnsi="arial" w:cs="arial"/>
          <w:color w:val="000000"/>
          <w:sz w:val="20"/>
          <w:lang w:val="en-US" w:eastAsia="en-US" w:bidi="ar-SA"/>
        </w:rPr>
        <w:t xml:space="preserve"> (Attorney General), </w:t>
      </w:r>
      <w:hyperlink r:id="rId146" w:history="1">
        <w:r>
          <w:rPr>
            <w:rFonts w:ascii="arial" w:eastAsia="arial" w:hAnsi="arial" w:cs="arial"/>
            <w:i/>
            <w:color w:val="0077CC"/>
            <w:sz w:val="20"/>
            <w:u w:val="single"/>
            <w:shd w:val="clear" w:color="auto" w:fill="FFFFFF"/>
            <w:lang w:val="en-US" w:eastAsia="en-US" w:bidi="ar-SA"/>
          </w:rPr>
          <w:t>[1989] 1 S.C.R. 342</w:t>
        </w:r>
      </w:hyperlink>
      <w:r>
        <w:rPr>
          <w:rFonts w:ascii="arial" w:eastAsia="arial" w:hAnsi="arial" w:cs="arial"/>
          <w:color w:val="000000"/>
          <w:sz w:val="20"/>
          <w:lang w:val="en-US" w:eastAsia="en-US" w:bidi="ar-SA"/>
        </w:rPr>
        <w:t xml:space="preserve"> at 358-59,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court's competence to resolve legal disputes is rooted in the adversary system. The requirement of an adversarial context is a fundamental tenet of our legal system and </w:t>
      </w:r>
      <w:r>
        <w:rPr>
          <w:rFonts w:ascii="arial" w:eastAsia="arial" w:hAnsi="arial" w:cs="arial"/>
          <w:color w:val="000000"/>
          <w:sz w:val="20"/>
          <w:u w:val="single"/>
          <w:lang w:val="en-US" w:eastAsia="en-US" w:bidi="ar-SA"/>
        </w:rPr>
        <w:t>helps guarantee that issues are well and fully argued by parties who have a stake in the outcome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same effect, this Court stated, in </w:t>
      </w:r>
      <w:r>
        <w:rPr>
          <w:rFonts w:ascii="arial" w:eastAsia="arial" w:hAnsi="arial" w:cs="arial"/>
          <w:i/>
          <w:color w:val="000000"/>
          <w:sz w:val="20"/>
          <w:lang w:val="en-US" w:eastAsia="en-US" w:bidi="ar-SA"/>
        </w:rPr>
        <w:t>R. v. Barton</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2001 BCCA 477</w:t>
        </w:r>
      </w:hyperlink>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51 W.C.B. (2d) 4</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One of the fundamental principles upon which our legal system operates is the right of each side in a legal dispute to be heard. ... </w:t>
      </w:r>
      <w:r>
        <w:rPr>
          <w:rFonts w:ascii="arial" w:eastAsia="arial" w:hAnsi="arial" w:cs="arial"/>
          <w:color w:val="000000"/>
          <w:sz w:val="20"/>
          <w:u w:val="single"/>
          <w:lang w:val="en-US" w:eastAsia="en-US" w:bidi="ar-SA"/>
        </w:rPr>
        <w:t>The Court is impressed with the duty to fully hear and consider both sides</w:t>
      </w:r>
      <w:r>
        <w:rPr>
          <w:rFonts w:ascii="arial" w:eastAsia="arial" w:hAnsi="arial" w:cs="arial"/>
          <w:color w:val="000000"/>
          <w:sz w:val="20"/>
          <w:lang w:val="en-US" w:eastAsia="en-US" w:bidi="ar-SA"/>
        </w:rPr>
        <w:t xml:space="preserve"> and to render a considered judgment as to the proper disposition of the case.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The system is founded on the conception that the parties to a lawsuit will bring forward all relevant evidence available to support their case and will present their case in its best light. In that way, "it guarantees to each of the parties who are affected the right to prepare for themselves the representations on the basis of which their dispute is to be resolved": Professor Paul Weiler, "Two Models of Judicial Decision-Making" (1968), 46 Can. Bar Rev. 406 at 412, quoted with approval in </w:t>
      </w:r>
      <w:r>
        <w:rPr>
          <w:rFonts w:ascii="arial" w:eastAsia="arial" w:hAnsi="arial" w:cs="arial"/>
          <w:i/>
          <w:color w:val="000000"/>
          <w:sz w:val="20"/>
          <w:lang w:val="en-US" w:eastAsia="en-US" w:bidi="ar-SA"/>
        </w:rPr>
        <w:t>R. v. Swain</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[1991] 1 S.C.R. 933</w:t>
        </w:r>
      </w:hyperlink>
      <w:r>
        <w:rPr>
          <w:rFonts w:ascii="arial" w:eastAsia="arial" w:hAnsi="arial" w:cs="arial"/>
          <w:color w:val="000000"/>
          <w:sz w:val="20"/>
          <w:lang w:val="en-US" w:eastAsia="en-US" w:bidi="ar-SA"/>
        </w:rPr>
        <w:t xml:space="preserve"> at 972.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Litigants do not always have access to all of the relevant evidence bearing on the issues raised. Often, relevant documents are in the sole possession or control of their opponents. Documentary discovery requires the opponents to disclose such documents and enables the litigants to use them in support of their case. Also, oral discovery offers the opportunity to learn of relevant evidence otherwise not known to the examining party, to obtain helpful admissions, and to explore the strengths and weaknesses of the opponent's case: see </w:t>
      </w:r>
      <w:r>
        <w:rPr>
          <w:rFonts w:ascii="arial" w:eastAsia="arial" w:hAnsi="arial" w:cs="arial"/>
          <w:i/>
          <w:color w:val="000000"/>
          <w:sz w:val="20"/>
          <w:lang w:val="en-US" w:eastAsia="en-US" w:bidi="ar-SA"/>
        </w:rPr>
        <w:t>Anglo-American Timber Products Ltd. v. British Columbia Electric Company Limited</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(1960), 23 D.L.R. (2d) 656</w:t>
        </w:r>
      </w:hyperlink>
      <w:r>
        <w:rPr>
          <w:rFonts w:ascii="arial" w:eastAsia="arial" w:hAnsi="arial" w:cs="arial"/>
          <w:color w:val="000000"/>
          <w:sz w:val="20"/>
          <w:lang w:val="en-US" w:eastAsia="en-US" w:bidi="ar-SA"/>
        </w:rPr>
        <w:t xml:space="preserve"> at 657-58, </w:t>
      </w:r>
      <w:hyperlink r:id="rId149" w:history="1">
        <w:r>
          <w:rPr>
            <w:rFonts w:ascii="arial" w:eastAsia="arial" w:hAnsi="arial" w:cs="arial"/>
            <w:i/>
            <w:color w:val="0077CC"/>
            <w:sz w:val="20"/>
            <w:u w:val="single"/>
            <w:shd w:val="clear" w:color="auto" w:fill="FFFFFF"/>
            <w:lang w:val="en-US" w:eastAsia="en-US" w:bidi="ar-SA"/>
          </w:rPr>
          <w:t>31 W.W.R. 604</w:t>
        </w:r>
      </w:hyperlink>
      <w:r>
        <w:rPr>
          <w:rFonts w:ascii="arial" w:eastAsia="arial" w:hAnsi="arial" w:cs="arial"/>
          <w:color w:val="000000"/>
          <w:sz w:val="20"/>
          <w:lang w:val="en-US" w:eastAsia="en-US" w:bidi="ar-SA"/>
        </w:rPr>
        <w:t xml:space="preserve"> (B.C.C.A.). Moreover, when a party is unable to tender necessary evidence in any other way, the party may adduce such evidence from his opponent: Rule 40(20) [now Civil Rule 12-5(26)]. Clearly, parties are not confined to reliance on their own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Further, cross-examination is essential to protect trial fairness since, without it, the court cannot assess the probative value of the evidence: see </w:t>
      </w:r>
      <w:r>
        <w:rPr>
          <w:rFonts w:ascii="arial" w:eastAsia="arial" w:hAnsi="arial" w:cs="arial"/>
          <w:i/>
          <w:color w:val="000000"/>
          <w:sz w:val="20"/>
          <w:lang w:val="en-US" w:eastAsia="en-US" w:bidi="ar-SA"/>
        </w:rPr>
        <w:t>R. v. Darrach</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2000 SCC 46</w:t>
        </w:r>
      </w:hyperlink>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[2000] 2 S.C.R. 443</w:t>
        </w:r>
      </w:hyperlink>
      <w:r>
        <w:rPr>
          <w:rFonts w:ascii="arial" w:eastAsia="arial" w:hAnsi="arial" w:cs="arial"/>
          <w:color w:val="000000"/>
          <w:sz w:val="20"/>
          <w:lang w:val="en-US" w:eastAsia="en-US" w:bidi="ar-SA"/>
        </w:rPr>
        <w:t xml:space="preserve"> at para. 63. In </w:t>
      </w:r>
      <w:r>
        <w:rPr>
          <w:rFonts w:ascii="arial" w:eastAsia="arial" w:hAnsi="arial" w:cs="arial"/>
          <w:i/>
          <w:color w:val="000000"/>
          <w:sz w:val="20"/>
          <w:lang w:val="en-US" w:eastAsia="en-US" w:bidi="ar-SA"/>
        </w:rPr>
        <w:t>R. v. Osolin</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[1993] 4 S.C.R. 595</w:t>
        </w:r>
      </w:hyperlink>
      <w:r>
        <w:rPr>
          <w:rFonts w:ascii="arial" w:eastAsia="arial" w:hAnsi="arial" w:cs="arial"/>
          <w:color w:val="000000"/>
          <w:sz w:val="20"/>
          <w:lang w:val="en-US" w:eastAsia="en-US" w:bidi="ar-SA"/>
        </w:rPr>
        <w:t xml:space="preserve"> at 663, Cory J. made the following remarks which, although made in a criminal context, are apposite to this discussion: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can be no question of the importance of cross-examination. It is of essential importance in determining whether a witness is credible. Even with the most honest witness cross-examination can provide the means to explore the frailties of the testimony. ... Its importance cannot be denied. It is the ultimate means of demonstrating truth and of testing veracity.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that, in cases of conflicting evidence, cross-examination of the parties offering the conflicting evidence is essential -- the credibility of one or the other cannot be considered in a vacuum.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In addition to exposing credibility to scrutiny, cross-examination may also cast a different light on the evidence given by witnesses and may bring out relevant information that might not otherwise be disclosed, thus enabling the court to be informed of all the evidence bearing on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my view the credibility issues in this case relate directly to material facts. This is not a situation where documentary evidence resolves the issues. It is not clear from the material how sophisticated the defendants are. The discovery evidence indicates concerns respecting their facility with English. There are numerous issues in dispute. I conclude that I am "unable, on the whole of the evidence before the court on the application, to find the facts necessary to decide the issues of fact or law". As a result I would exercise my discretion against the plaintiff on this application. I say this because of the factors outlined in these reasons and in particular because of the issues of credibility and the outstanding counterclaim. It would be unjust in all of the circumstances to dispose of the plaintiff's claim or portions of it summarily.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As mentioned the counterclaim raises another impediment to summary disposition. It contains the same allegations and as well advances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from damages to the fixtures and furniture of the defendant corporation caused by the rebranding and the subsequent de-branding. It also advances claims for loss of revenue arising from loss of business caused by the actions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Kaspersky Lab, Inc. v. Bradshaw,</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2010 BCSC 68</w:t>
        </w:r>
      </w:hyperlink>
      <w:r>
        <w:rPr>
          <w:rFonts w:ascii="arial" w:eastAsia="arial" w:hAnsi="arial" w:cs="arial"/>
          <w:color w:val="000000"/>
          <w:sz w:val="20"/>
          <w:lang w:val="en-US" w:eastAsia="en-US" w:bidi="ar-SA"/>
        </w:rPr>
        <w:t>, Mr. Justice Smith considered the law respecting summary trial applications in which a counterclaim is advanced as follows at paras. 13 and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Although the Rule allows judgment "on an issue or generally", the Court of Appeal has warned this court of the danger of "litigating in slices": </w:t>
      </w:r>
      <w:r>
        <w:rPr>
          <w:rFonts w:ascii="arial" w:eastAsia="arial" w:hAnsi="arial" w:cs="arial"/>
          <w:i/>
          <w:color w:val="000000"/>
          <w:sz w:val="20"/>
          <w:lang w:val="en-US" w:eastAsia="en-US" w:bidi="ar-SA"/>
        </w:rPr>
        <w:t>Bacchus Agents (1981) Ltd. v. Philippe Dandurand Wines Ltd.</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However, it is also clear that the mere existence of a counterclaim is not a bar to a judgment under Rule 18A unless the issues are "inextricably interwoven": </w:t>
      </w:r>
      <w:r>
        <w:rPr>
          <w:rFonts w:ascii="arial" w:eastAsia="arial" w:hAnsi="arial" w:cs="arial"/>
          <w:i/>
          <w:color w:val="000000"/>
          <w:sz w:val="20"/>
          <w:lang w:val="en-US" w:eastAsia="en-US" w:bidi="ar-SA"/>
        </w:rPr>
        <w:t>Natco International Inc. v. Photo Violation Technologies Corp.</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2009 BCSC 1504</w:t>
        </w:r>
      </w:hyperlink>
      <w:r>
        <w:rPr>
          <w:rFonts w:ascii="arial" w:eastAsia="arial" w:hAnsi="arial" w:cs="arial"/>
          <w:color w:val="000000"/>
          <w:sz w:val="20"/>
          <w:lang w:val="en-US" w:eastAsia="en-US" w:bidi="ar-SA"/>
        </w:rPr>
        <w:t xml:space="preserve"> at para.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claim and counterclaim in this case not only arise out of the same agreement, but each party relies on the same sentence within the agreement. The plaintiff says it exercised its right to terminate the agreement and the defendants say the plaintiff did so without giving the required notice and opportunity to cure the breach. In my view, those issues are inextricably intertwined and it would be unjust to decide only part of the case on this application. It would also not assist the efficient resolution of this proceeding because most of the same evidence would still have to be considered on the trial of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addition findings on this application may embarrass the court hearing the counterclaim. In such a situation it would not be appropriate to address the issues raised. (</w:t>
      </w:r>
      <w:r>
        <w:rPr>
          <w:rFonts w:ascii="arial" w:eastAsia="arial" w:hAnsi="arial" w:cs="arial"/>
          <w:i/>
          <w:color w:val="000000"/>
          <w:sz w:val="20"/>
          <w:lang w:val="en-US" w:eastAsia="en-US" w:bidi="ar-SA"/>
        </w:rPr>
        <w:t>Otter Farm and Home Co-op v. Sekhon</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2001 BCCA 636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my view the issues before the court on this application are "inextricably interwoven" with the issues raised in the counterclaim. Much of the same evidence would be considered on the counterclaim. I am not convinced that resolution of the plaintiff's claim would as asserted by the plaintiff render the counterclaim </w:t>
      </w:r>
      <w:r>
        <w:rPr>
          <w:rFonts w:ascii="arial" w:eastAsia="arial" w:hAnsi="arial" w:cs="arial"/>
          <w:i/>
          <w:color w:val="000000"/>
          <w:sz w:val="20"/>
          <w:u w:val="single"/>
          <w:lang w:val="en-US" w:eastAsia="en-US" w:bidi="ar-SA"/>
        </w:rPr>
        <w:t>res judicata</w:t>
      </w:r>
      <w:r>
        <w:rPr>
          <w:rFonts w:ascii="arial" w:eastAsia="arial" w:hAnsi="arial" w:cs="arial"/>
          <w:color w:val="000000"/>
          <w:sz w:val="20"/>
          <w:lang w:val="en-US" w:eastAsia="en-US" w:bidi="ar-SA"/>
        </w:rPr>
        <w:t>. To proceed as sought by the plaintiff would result in litigating in slices.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a result I am of the opinion that summary resolution of the plaintiff's claim is not appropriate and would be unjust. The matter should proceed to a full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application for summary judgment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Costs shall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Parmar Estate v. British Columbia, [2017] B.C.J. No. 262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M131275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Estate of Satwinder Singh Parmar and Satnam Kaur Parmar, Plaintiffs, and Her Majesty the Queen in Right of the Province of British Columbia, Mainroad Contracting Ltd., District of Hope, John Doe, Jane Doe, John Doe Ltd. and Insurance Corporation of British Columbia, Defendants 3887049 Canada Inc.,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4"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1" w:name="Keywords_7"/>
      <w:bookmarkEnd w:id="51"/>
      <w:r>
        <w:rPr>
          <w:rFonts w:ascii="arial" w:eastAsia="arial" w:hAnsi="arial" w:cs="arial"/>
          <w:b/>
          <w:color w:val="000000"/>
          <w:sz w:val="20"/>
          <w:lang w:val="en-US" w:eastAsia="en-US" w:bidi="ar-SA"/>
        </w:rPr>
        <w:t>Civil litigation — Civil procedure — Judgments and orders — Summary judgments — No triable issue — To dismiss action — Application by defendant insurer to dismiss plaintiffs' claim against it allowed — Plaintiffs, who were in motor vehicle accident with unknown driver, claimed defendant failed to pay all expenses and damages they incurred — Defendant did not receive notice of allegations against unknown driver within six months of accident and notice of civil claim not filed until two years after accident and not served until three years after accident — Plaintiff had not explained lack of notice or failure to serve claim in timely manner — Lack of notice was fatal to plaintiffs' claims — Action against defendant raised no genuine triable issue.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Actions — Practice and procedure — Judgments and orders — Summary judgments — Application by defendant insurer to dismiss plaintiffs' claim against it allowed — Plaintiffs, who were in motor vehicle accident with unknown driver, claimed defendant failed to pay all expenses and damages they incurred — Defendant did not receive notice of allegations against unknown driver within six months of accident and notice of civil claim not filed until two years after accident and not served until three years after accident — Plaintiff had not explained lack of notice or failure to serve claim in timely manner — Lack of notice was fatal to plaintiffs' claims — Action against defendant raised no genuine triable issue.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Automobile insurance — Uninsured or underinsured motorist coverage — Application by defendant insurer to dismiss plaintiffs' claim against it allowed — Plaintiffs, who were in motor vehicle accident with unknown driver, claimed defendant failed to pay all expenses and damages they incurred — Defendant did not receive notice of allegations against unknown driver within six months of accident and notice of civil claim not filed until two years after accident and not served until three years after accident — Plaintiff had not explained lack of notice or failure to serve claim in timely manner — Lack of notice was fatal to plaintiffs' claims — Action against defendant raised no genuine triable issue.</w:t>
      </w:r>
    </w:p>
    <w:p>
      <w:pPr>
        <w:jc w:val="both"/>
        <w:rPr>
          <w:rFonts w:ascii="arial" w:eastAsia="arial" w:hAnsi="arial" w:cs="arial"/>
          <w:sz w:val="20"/>
          <w:lang w:val="en-US" w:eastAsia="en-US" w:bidi="ar-SA"/>
        </w:rPr>
      </w:pPr>
      <w:bookmarkStart w:id="52" w:name="Legislation Cited_5"/>
      <w:bookmarkEnd w:id="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5"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Family Compensation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act, </w:t>
      </w:r>
      <w:hyperlink r:id="rId163" w:history="1">
        <w:r>
          <w:rPr>
            <w:rFonts w:ascii="arial" w:eastAsia="arial" w:hAnsi="arial" w:cs="arial"/>
            <w:i/>
            <w:color w:val="0077CC"/>
            <w:sz w:val="20"/>
            <w:u w:val="single"/>
            <w:shd w:val="clear" w:color="auto" w:fill="FFFFFF"/>
            <w:lang w:val="en-US" w:eastAsia="en-US" w:bidi="ar-SA"/>
          </w:rPr>
          <w:t>R.S.B.C. 1996, c. 231, s. 24</w:t>
        </w:r>
      </w:hyperlink>
      <w:r>
        <w:rPr>
          <w:rFonts w:ascii="arial" w:eastAsia="arial" w:hAnsi="arial" w:cs="arial"/>
          <w:color w:val="000000"/>
          <w:sz w:val="20"/>
          <w:lang w:val="en-US" w:eastAsia="en-US" w:bidi="ar-SA"/>
        </w:rPr>
        <w:t>, s. 24(2), s. 24(3), s. 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9-6(4), Rule 9-6(5), Rule 15(5), Rule 22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3" w:name="Counsel_7"/>
      <w:bookmarkEnd w:id="5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6"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and Defendants by Counterclaim: M.S. Randhawa.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Her Majesty the Queen: M. Butler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Insurance Corporation of British Columbia: M.D. Murphy.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4" w:name="Judgment_7"/>
      <w:bookmarkEnd w:id="54"/>
      <w:r>
        <w:pict>
          <v:line id="_x0000_s1067"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5" w:name="J.M. GROPPER J."/>
            <w:bookmarkEnd w:id="55"/>
            <w:r>
              <w:rPr>
                <w:rFonts w:ascii="arial" w:eastAsia="arial" w:hAnsi="arial" w:cs="arial"/>
                <w:b/>
                <w:color w:val="000000"/>
                <w:sz w:val="30"/>
                <w:lang w:val="en-US" w:eastAsia="en-US" w:bidi="ar-SA"/>
              </w:rPr>
              <w:t>J.M. 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Insurance Company of British Columbia (ICBC) seeks to dismiss the plaintiffs' claim against it on two bases: it is bound to fail, and alternatively, the claim should be dismissed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ICBC provided the following chronology:</w:t>
      </w:r>
      <w:r>
        <w:rPr>
          <w:rFonts w:ascii="arial" w:eastAsia="arial" w:hAnsi="arial" w:cs="arial"/>
          <w:sz w:val="20"/>
          <w:lang w:val="en-US" w:eastAsia="en-US" w:bidi="ar-SA"/>
        </w:rPr>
        <w:cr/>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Accident on February 27, 2011</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of Civil Claim filed on February 27, 2013</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Receipt by ICBC of the Notice of Civil Claim on February 13, 2014</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Accident reported to ICBC in March/April 2014</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Response filed by ICBC on June 13, 2014</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Response filed by ICBC served on June 19, 2014</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list of documents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notice to produce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request plaintiffs' list of documents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response from plaintiffs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request for plaintiffs' list of documents sent on August 13, 2014</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response from plaintiffs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ICBC serves notice of intention to proceed on September 1, 2015</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response from plaintiffs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ICBC's application to dismiss filed on August 30, 2016</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served on plaintiffs' counsel on October 27, 2016</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response materials received from the plaintiffs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communication from plaintiffs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of Discontinuance as against District of Hope - filed December 8, 2016</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have taken no steps to pursue claim</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list of documents</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attempt to schedule discovery</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attempt to schedule trial</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contact regarding application</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contact regarding claim</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notice of intention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 Genuine Issue to be Tried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Relevant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ICBC relies on Rules 9-6(4) and (5)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Rules 9-6(4) and (5)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by answering party</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Power of court</w:t>
      </w:r>
    </w:p>
    <w:p>
      <w:pPr>
        <w:numPr>
          <w:numId w:val="2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relevant provisions of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Remedy for damage in hit and run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24(1) If bodily injury to or the death of a person or damage to property arises out of the use or operation of a vehicle on a highway in British Columbia and</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both the owner and the driver of the vehicle are not ascertainable, or</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driver is not ascertainable and the owner is not liable to an action for damages for the injury, death or property damage,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any person who has a cause of action</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(a), against the owner or the driver, or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(b), against the driver,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respect of the bodily injury, death or property damage may bring an action against the corporation as nominal defendant, either alone or as a defendant with others alleged to be responsible for the injury, death or property damage, but in an action in which the names of both the owner and the driver of the vehicle are not known or ascertainable, recovery for property damage is limited to the amount by which the damages exceed the prescribed amount.</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must not be brought against the corporation as nominal defendant under this section unless the person bringing them gives written notice to the corporation as soon as reasonably practicable and in any event within 6 months after the accident that caused the bodily injury, death or property damage.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after an action referred to in subsection (1) has been commenced, it is alleged that the injury, death or property damage was caused or contributed to by another vehicle, but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both the owner and the driver of the vehicle are not ascertainable, or</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driver is not ascertainable and the owner is not liable to an action for damages for the injury, death or property damage,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corporation may be added as a nominal defendant on the application of any party and must be added as a nominal defendant on its own application.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as nominal defendant, a judgment against the corporation must not be given unless the court is satisfied that</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reasonable efforts have been made by the parties to ascertain the identity of the unknown owner and driver or unknown driver, as the case may be, and</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those persons or that person, as the case may be, is not ascertainable.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identity of the unknown owner or driver is ascertained before judgment is granted in an action against the insurer as nominal defendant, then, despite the limitation period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that owner or driver must be added as a defendant in the action in substitution for the corporation, subject to the conditions the court may specify.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Notice of Civil Claim, the following paragraphs refer to the claim against ICBC:</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wrongfully refused or neglected to pay all the expenses, losses and damages incurred by the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seek from the Defendants:</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for damages pursuant to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Court Order </w:t>
      </w:r>
      <w:r>
        <w:rPr>
          <w:rFonts w:ascii="arial" w:eastAsia="arial" w:hAnsi="arial" w:cs="arial"/>
          <w:i/>
          <w:color w:val="000000"/>
          <w:sz w:val="20"/>
          <w:lang w:val="en-US" w:eastAsia="en-US" w:bidi="ar-SA"/>
        </w:rPr>
        <w:t>Interest Act</w:t>
      </w:r>
      <w:r>
        <w:rPr>
          <w:rFonts w:ascii="arial" w:eastAsia="arial" w:hAnsi="arial" w:cs="arial"/>
          <w:color w:val="000000"/>
          <w:sz w:val="20"/>
          <w:lang w:val="en-US" w:eastAsia="en-US" w:bidi="ar-SA"/>
        </w:rPr>
        <w: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to this Honourable Court may seem just and meet.</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consequent loss, damage and expense to the Plaintiffs were sustained and incurred solely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and/or breach of fiduciary and statutory duty of the Defendants, particulars of which are as follows: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maintain the highway near Emory Creek Bridge;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unidentified motorist.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ICBC argues that the plaintiffs failed to abide by s. 24(2), which requires written notice to the ICBC that it will be a nominal defendant under the section within six months after the accident that caused the death and that the plaintiffs have been unable to satisfy the court that all reasonable efforts have been made by them to ascertain the identity of the unknown owner or driver... and that the identity of that person is not ascertainable, s. 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BC Motor Vehicle Accident Claims Practice Manual</w:t>
      </w:r>
      <w:r>
        <w:rPr>
          <w:rFonts w:ascii="arial" w:eastAsia="arial" w:hAnsi="arial" w:cs="arial"/>
          <w:color w:val="000000"/>
          <w:sz w:val="20"/>
          <w:lang w:val="en-US" w:eastAsia="en-US" w:bidi="ar-SA"/>
        </w:rPr>
        <w:t xml:space="preserve">, 3rd ed. (Vancouver: Continuing Legal Education Society of British Columbia, 2000) (loose-leaf 2016 update) at s.6.11 to argue that the notice provisions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not absolute, and the lack of notice is not fatal to the plaintiffs'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6.11. Notice Period for Claims against Unidentified Motorists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Section 24(2) of the Act provides that written notice must be given to ICBC as soon as reasonably practicable and in any event within six months after the accident.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This provision seems absolute but it is not. It must be read together with s. 24(3) of the Act. Section 24(3) provides that if, after an action referred to in s. 24(1) has been commenced, it is alleged that injury, death, or property damage was caused or contributed to by an unknown motorist, the court can add ICBC as a nominal defendant</w:t>
      </w:r>
      <w:r>
        <w:rPr>
          <w:rFonts w:ascii="arial" w:eastAsia="arial" w:hAnsi="arial" w:cs="arial"/>
          <w:color w:val="000000"/>
          <w:sz w:val="20"/>
          <w:lang w:val="en-US" w:eastAsia="en-US" w:bidi="ar-SA"/>
        </w:rPr>
        <w:t>. The notice provision in s. 24(2) cannot always be reconciled with s. 24(3) because claimants who rely on s. 24(3) often first learn of allegations about unidentified motorists more than six months after their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purpose of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explained in </w:t>
      </w:r>
      <w:r>
        <w:rPr>
          <w:rFonts w:ascii="arial" w:eastAsia="arial" w:hAnsi="arial" w:cs="arial"/>
          <w:i/>
          <w:color w:val="000000"/>
          <w:sz w:val="20"/>
          <w:lang w:val="en-US" w:eastAsia="en-US" w:bidi="ar-SA"/>
        </w:rPr>
        <w:t>Goltzman v. McKenzie</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[1989], 36 B.C.L.R. (2d) 228</w:t>
        </w:r>
      </w:hyperlink>
      <w:r>
        <w:rPr>
          <w:rFonts w:ascii="arial" w:eastAsia="arial" w:hAnsi="arial" w:cs="arial"/>
          <w:color w:val="000000"/>
          <w:sz w:val="20"/>
          <w:lang w:val="en-US" w:eastAsia="en-US" w:bidi="ar-SA"/>
        </w:rPr>
        <w:t xml:space="preserve"> [CA] at page 230: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broad purpose of s. 23(2) [now s. 24(2)] is to give I.C.B.C. written notice of the circumstances of an accident early enough to provide it with an opportunity to investigate the matter so that it may protect itself against any claim which may be made. The subsection does not say that a claim must be advanced or an action commenced within six months of the accident. In my view, the Corporation is put upon notice when a person having a claim arising out of a motor vehicle accident reveals all the material circumstances known to him or her and, in particular, the involvement of an unidentified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Section 24(2)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was considered by Mr. Justice Saunders in </w:t>
      </w:r>
      <w:r>
        <w:rPr>
          <w:rFonts w:ascii="arial" w:eastAsia="arial" w:hAnsi="arial" w:cs="arial"/>
          <w:i/>
          <w:color w:val="000000"/>
          <w:sz w:val="20"/>
          <w:lang w:val="en-US" w:eastAsia="en-US" w:bidi="ar-SA"/>
        </w:rPr>
        <w:t>Mudrie v. Grove</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2010 BCSC 1113</w:t>
        </w:r>
      </w:hyperlink>
      <w:r>
        <w:rPr>
          <w:rFonts w:ascii="arial" w:eastAsia="arial" w:hAnsi="arial" w:cs="arial"/>
          <w:color w:val="000000"/>
          <w:sz w:val="20"/>
          <w:lang w:val="en-US" w:eastAsia="en-US" w:bidi="ar-SA"/>
        </w:rPr>
        <w:t>. In that case, the accident occurred on June 12, 2007. The writ of summons and statement of claim were filed November 13, 2008. They were served on ICBC on April 8,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Mr. Justice Saunders concluded that the plaintiff did not provide notice to ICBC under s. 24(2)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soon as reasonably practicable. The only notice given to ICBC was the writ, which can serve as a required notice under s. 24(2). The court then considered whether ICBC received notification of the claim through service of the writ and statement of claim within the time parameters given in the statute. There was a gap of 22 months between the accident and the service of the writ. The plaintiff provided no explanation for the delay. The court found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If the prevention of prejudice could be said to be the dominant purpose of the notice requirement, it would appear that the legislature has either deemed there to be prejudice after six months has elapsed, or has otherwise determined, as a matter of policy, that ICBC's exposure to such claims ought to be capped at that point. To subject that provision to an overarching, implied test involving the finding of real prejudice would be tantamount to rewriting the statute. The most that could be said is that a consideration of prejudice might, in certain circumstances, be implied by the qualifier "reasonably". But even so, that cannot assist the plaintiff in the present case, when notice was not given to ICBC until long after the six-month period had 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plaintiffs' position is reflected in a series of cases beginning with </w:t>
      </w:r>
      <w:r>
        <w:rPr>
          <w:rFonts w:ascii="arial" w:eastAsia="arial" w:hAnsi="arial" w:cs="arial"/>
          <w:i/>
          <w:color w:val="000000"/>
          <w:sz w:val="20"/>
          <w:lang w:val="en-US" w:eastAsia="en-US" w:bidi="ar-SA"/>
        </w:rPr>
        <w:t>Jamt v. Schuurman</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(1985), 62 B.C.L.R 208</w:t>
        </w:r>
      </w:hyperlink>
      <w:r>
        <w:rPr>
          <w:rFonts w:ascii="arial" w:eastAsia="arial" w:hAnsi="arial" w:cs="arial"/>
          <w:color w:val="000000"/>
          <w:sz w:val="20"/>
          <w:lang w:val="en-US" w:eastAsia="en-US" w:bidi="ar-SA"/>
        </w:rPr>
        <w:t xml:space="preserve"> (SC) where McLachlin J., (as she then was), discussed the interplay between ss. 24(2) and 24(3). In that case, the plaintiff applied to add ICBC as a defendant in the place of unknown drivers. The action related to a multiple car accident in March 1982 in which the plaintiff was injured. The plaintiff only learned of the second unidentified motorist involved in the accident just before the examinations for discovery of the named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ICBC argued that the plaintiff failed to give it notice as required under s. 23 [now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court allowed that plaintiff to add ICBC as a nominal defendant on the basis that the provisions of s. 23 regarding the right to add the ICBC as nominal defendant after an action has been commenced are unclear and uncertain and that the court should give s. 23(3) the interpretation that accords with common sense and the purpose of the legislation. A literal interpretation would yield a meaningless and absurd result in that it would permit adding the ICBC as a defendant only where it had initially been joined as a defendant. Under these circumstances the court ought to take the purposive approach. The reference in subs. (3) to "an action referred to in subsection (1)" must be taken as including any action involving personal injuries and the use of a motor vehicle. If that interpretation was incorrect, and the six-month limitation period in s. 23(2) applied, ICBC could be added as a defendant after its expiry on application under R.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court also notes at para. 3 that the plaintiff conceded that it was not entitled to join ICBC as a nominal defendant on an account of the unknown person of whom he was aware at the time the action was commenced. It is only the one or possibly two other unknown persons implicated in the accident that became known in the examination for discovery that allowed the plaintiff to add ICBC to be joined as a nominal defendant in their place. There are a series of decisions that follow the </w:t>
      </w:r>
      <w:r>
        <w:rPr>
          <w:rFonts w:ascii="arial" w:eastAsia="arial" w:hAnsi="arial" w:cs="arial"/>
          <w:i/>
          <w:color w:val="000000"/>
          <w:sz w:val="20"/>
          <w:lang w:val="en-US" w:eastAsia="en-US" w:bidi="ar-SA"/>
        </w:rPr>
        <w:t>Jamt</w:t>
      </w:r>
      <w:r>
        <w:rPr>
          <w:rFonts w:ascii="arial" w:eastAsia="arial" w:hAnsi="arial" w:cs="arial"/>
          <w:color w:val="000000"/>
          <w:sz w:val="20"/>
          <w:lang w:val="en-US" w:eastAsia="en-US" w:bidi="ar-SA"/>
        </w:rPr>
        <w:t xml:space="preserve"> decision reaching the same conclusion, that is, that ICBC can be added as a nominal defendant where after the action has been commenced and the plaintiff learns that there is an unidentified driver or drivers of which the plaintiff was unaware when the action was commenced that ought to be added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do not accept the plaintiffs' interpretation of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Their reliance on the </w:t>
      </w:r>
      <w:r>
        <w:rPr>
          <w:rFonts w:ascii="arial" w:eastAsia="arial" w:hAnsi="arial" w:cs="arial"/>
          <w:i/>
          <w:color w:val="000000"/>
          <w:sz w:val="20"/>
          <w:lang w:val="en-US" w:eastAsia="en-US" w:bidi="ar-SA"/>
        </w:rPr>
        <w:t>Jamt</w:t>
      </w:r>
      <w:r>
        <w:rPr>
          <w:rFonts w:ascii="arial" w:eastAsia="arial" w:hAnsi="arial" w:cs="arial"/>
          <w:color w:val="000000"/>
          <w:sz w:val="20"/>
          <w:lang w:val="en-US" w:eastAsia="en-US" w:bidi="ar-SA"/>
        </w:rPr>
        <w:t xml:space="preserve"> decision is misplaced, particularly, as noted in that decision, ICBC was named as a nominal defendant at the commencement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Here, it is clear that ICBC did not receive notice of the allegations against an unknown driver within six months of the accident. The notice of civil claim can serve as notice to ICBC under s. 24(2). Even so, the notice of civil claim was not filed until two years after the accident and was not served until three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provide no explanation for the lack of notice or for the failure to serve the notice of claim for a year following its filing. As noted in the chronology, the accident was not reported to ICBC until March or April 2014. There is no basis upon which I can conclude that the notice was given to ICBC "as soon as reasonably practicable". The lack of notice is fatal to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am satisfied that the action against ICBC raises no genuine triable issue and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notice of application provides a second basis for dismissal of the claim: in accordance with R. 22 that provides that the court can dismiss the proceeding for failure to comply with the Rules and for want of prosecution. ICBC argued its position in respect of this aspect of the application. The plaintiffs did not file material and seek to adjourn this aspect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Because I have found that the plaintiffs' noncompliance with s. 24(2)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fatal to the claim, it is unnecessary to determine whether there was a want of prosecution. It is also unnecessary to provide the plaintiffs with an opportunity to provide evidence in respect of this aspect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plaintiffs' claim is dismissed on the basis of noncompliance with s. 24(2) and (5)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ICBC is entitled to its costs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8"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Patzer v. Hastings Entertainment Inc., [2010] B.C.J. No. 568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1-3,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S067685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568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426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187 A.C.W.S. (3d) 893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766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Elmer Patzer, Plaintiff, and Hastings Entertainment Inc. and Great Canadian Gaming Corporation, Defendants, and Autotote Canada Inc.,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9"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6" w:name="Keywords_8"/>
      <w:bookmarkEnd w:id="56"/>
      <w:r>
        <w:rPr>
          <w:rFonts w:ascii="arial" w:eastAsia="arial" w:hAnsi="arial" w:cs="arial"/>
          <w:b/>
          <w:color w:val="000000"/>
          <w:sz w:val="20"/>
          <w:lang w:val="en-US" w:eastAsia="en-US" w:bidi="ar-SA"/>
        </w:rPr>
        <w:t>Contracts — Terms — Implied terms — Action against gaming operator to recover alleged winnings dismissed — Plaintiff placed racetrack betting slips in automated gaming machine and received payment voucher for $6.5 million — Court summarily dismissed plaintiff's action — Plaintiff did not actually win $6.5 million and was not entitled to payment on voucher — Payment voucher produced in error — Audit reports and size of betting pool refuted plaintiff's contention he had submitted multiple winning tickets — Refusal to return plaintiff's betting slips did not constitute spoliation, as destruction occurred in ordinary course of business without knowledge plaintiff contemplated litigation — British Columbia Supreme Court Rules, Rule 18A(11).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goods — Conversion — Action against gaming operator to recover alleged winnings dismissed — Plaintiff placed racetrack betting slips in automated gaming machine and received payment voucher for $6.5 million — Court summarily dismissed plaintiff's action — Plaintiff did not actually win $6.5 million and was not entitled to payment on voucher — Payment voucher produced in error — Audit reports and size of betting pool refuted plaintiff's contention he had submitted multiple winning tickets — Refusal to return plaintiff's betting slips did not constitute spoliation, as destruction occurred in ordinary course of business without knowledge plaintiff contemplated litigation — British Columbia Supreme Court Rules, Rule 18A(11).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7" w:name="Case Summary_6"/>
            <w:bookmarkEnd w:id="5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Patzer, against the defendants, Hastings Entertainment and Great Canadian Gaming, for damages for breach of implied terms of betting slips offered by the defendants. The plaintiff, age 78, regularly placed wagers at a racecourse operated by the defendants using an automated computer system operated by the third party, Autotote Canada. The plaintiff inserted several advance betting slips into an automated gaming machine. The machine dispensed a cash voucher in the amount of $6.5 million. The defendants refused to honour the voucher on the basis that it was issued in error. The plaintiff was told that the voucher was inauthentic due to insufficient bar coding and a serial number that did not exist in the system. An employee of Autotote examined the betting slips placed into the machine and found one ticket that contained in amount which corresponded with the voucher. He determined that the wagers on the ticket were not winners based on the results of the corresponding races. He determined that the voucher was invalid. The Autotote audit reports did not contain a record of any transactions that supported a voucher for $6.5 million. The plaintiff contended that he submitted multiple betting slips that paid off in the amount stated on the voucher. He alleged that the defendants failed to show him his winning betting slips and refused to honour its cash voucher. All parties sought judgment under Rule 18A.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8" w:name="Holdings of Court_5"/>
            <w:bookmarkEnd w:id="5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Despite evidentiary conflicts, it was possible to find the facts necessary to decide the issues. The audit reports refuted the plaintiff's contention that he submitted multiple winning tickets. The plaintiff's evidence in that regard was vague and unreliable, as he was unable to identify the races on which he wagered. There was no evidence that the audit reports were manipulated or inaccurate. In addition, the wagering pool was not sufficiently large to pay winnings in the amount claimed by the plaintiff. There was cogent evidence that the cash voucher was issued due to a technical malfunction and was thus invalid. The defendants established that the plaintiff did not actually win $6.5 million and therefore was not entitled to receive the face amount of the cash voucher. The defendants had no duty to provide the plaintiff with his betting slips. The destruction of the slips did not constitute spoliation, as the defendants were unaware that the plaintiff contemplated litigation, the destruction occurred in the ordinary course of business, and there was no common law duty to preserve the betting slips.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9" w:name="Legislation Cited_6"/>
      <w:bookmarkEnd w:id="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0"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Rule 18A(1), Rule 18A(11), Rule 22(13), Rule 24(5)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0" w:name="Counsel_8"/>
      <w:bookmarkEnd w:id="6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1"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J.N. Laxton, Q.C. and K.R. Hamilton.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M.P. Katzalay and K.A. Reilly.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J.D. West.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1" w:name="Judgment_8"/>
      <w:bookmarkEnd w:id="61"/>
      <w:r>
        <w:pict>
          <v:line id="_x0000_s1072" style="position:absolute;z-index:251821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2" w:name="B. FISHER J."/>
            <w:bookmarkEnd w:id="62"/>
            <w:r>
              <w:rPr>
                <w:rFonts w:ascii="arial" w:eastAsia="arial" w:hAnsi="arial" w:cs="arial"/>
                <w:b/>
                <w:color w:val="000000"/>
                <w:sz w:val="30"/>
                <w:lang w:val="en-US" w:eastAsia="en-US" w:bidi="ar-SA"/>
              </w:rPr>
              <w:t>B. 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November 6, 2004, the plaintiff, Elmer Patzer, inserted a number of betting slips into an automated gaming machine at the Hastings Park Racecourse in Vancouver. Mr. Patzer received from the machine a cash voucher in the amount of $6,553,600. He presented the voucher for payment but the defendant Hastings Entertainment Inc. (Hastings), which operates the Racecourse, refused to honour it. The defendants say that the voucher was issued in error and Mr. Patzer was not entitled to winnings of $6,553,600.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November 2006, Mr. Patzer commenced an action against Hastings and Great Canadian Gaming Corporation, claiming that the defendants breached implied terms on the betting slips by refusing to honour the cash voucher and seeking payment of $6,553,600. In May 2009, the defendants issued third party proceedings against Autotote Canada Inc. (Autotote), the company that operates the automated computer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All parties are seeking judgment in their favour under Rule 18A. The defendants and the third party seek an order that the plaintiff's claim be dismissed. The plaintiff's motion seeks judgment against the defendants with damages to be assessed at a trial. The plaintiff and the defendants also seek special costs against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Procedural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have been trying to have their application under Rule 18A heard for several years and until recently, the plaintiff has opposed it. In August 2007, Boyd J. ordered the matter to be reset following the delivery of specified documents to the plaintiff. On April 6, 2009, Adair J. dismissed the defendants' application on the basis that it would not assist the efficient resolution of the proceeding. On August 11, 2009, the Court of Appeal allowed the defendants' appeal from that decision and remitted the matter to this court. The Court was not persuaded that there were conflicts in the evidence that would likely require a full trial, but left it to the chambers judge to determine whether the matter can properly be heard in a summary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Since then, the plaintiff has changed his position and now seeks judgment himself under Rule 18A on the basis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court's jurisdiction in a summary trial is set out in Rule 18A(11)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an application under subrule (1), the court may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as it thinks just,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There are some conflicts in the evidence presented in this case. However, it is my view that this court is able to find the facts necessary to decide the issues. I have had regard to the test articulated by McEachern C.J.B.C. in </w:t>
      </w:r>
      <w:r>
        <w:rPr>
          <w:rFonts w:ascii="arial" w:eastAsia="arial" w:hAnsi="arial" w:cs="arial"/>
          <w:i/>
          <w:color w:val="000000"/>
          <w:sz w:val="20"/>
          <w:lang w:val="en-US" w:eastAsia="en-US" w:bidi="ar-SA"/>
        </w:rPr>
        <w:t>Inspiration Management Ltd. v. McDermid St. Lawrence Limited</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at paras. 53-55: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The test for R. 18A, in my view, is the same as on a trial. Upon the facts being found the chambers judge must apply the law and all appropriate legal principles. If then satisfied that the claim or defence has been established according to the appropriate onus of proof he must give judgment according to law unless he has the opinion that it will be unjust to give such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In deciding whether a case is an appropriate one for judgment under R. 18A, the chambers judge will always give full consideration to all of the evidence which counsel place before him but he will also consider whether the evidence is sufficient for adjudication.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Lastly, I do not agree ... that a chambers judge is obliged to remit a case to the trial list just because there are conflicting affidavits. ... a judge should not decide an issue of fact or law solely on the basis of conflicting affidavits even if he prefers one version to the other. It may be, however, notwithstanding sworn affidavit evidence to the contrary, that other admissible evidence will make it possible to find the facts necessary for judgment to be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Elmer Patzer, now 78 years old, deposed that he has participated in wagering for about 50 years and has owned a number of race horses. He and his wife went regularly to Hastings Park since 1967. His normal practice was to go there early in the morning, at 6:00 a.m., to socialize, check his horses and place bets. He would wager mainly on races held throughout North America, which are simulcast at Hastings Park. He made his bets in the morning but seldom stayed to watch the simulcast races, which are held in the afternoon. He placed his bets mostly through automated machines and also through a teller and by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Patzer deposed that he was in the habit of making advance wagers, usually for amounts between $200 and $600, on some of the bigger stake races such as the Kentucky Derby and the Breeders Cup. His practice was to put these advance wagering tickets in his kitchen drawer along with his other unchecked betting slips and bring them to the track at the end of the season to check for winning tickets. He did so using the automated machines. These machines reject losing betting slips, hold winning slips and issue vouchers for the amount of the winnings.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November 6, 2004, Mr. Patzer went to Hastings Park with his wife and brought all the unchecked betting slips that he had accumulated throughout the racing season. He deposed that he inserted 20 to 25 slips into a machine, a number were rejected but five to ten tickets were retained. When he pressed the "finish" button, he received the cash voucher in the amount of $6,553,600. He went to the teller to cash the voucher. He says this was shortly after noon. The teller took the voucher to a supervisor, who took the voucher away. Several hours later, another individual returned and told Mr. Patzer that Hastings would not honour the voucher. Mr. Patzer was given a losing betting slip for an October 30, 2004 "Win-4" race, which he says was not his ticket. He deposed that he asked the individual to show him all of his winning betting slips, which were from simulcast races, but this request was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George Ackerman is the manager of Pari-Mutuel Operations for Hastings Park. He deposed that he was called to assist the teller after the voucher for $6,553,600 was presented and he took it to the room where the computer system is located. He was told that the voucher was not authentic because its barcode had insufficient coding and its serial number did not exist in the system. He then told Mr. Patzer that the voucher had been issued in error. He says that Mr. Patzer took the voucher and left, and he did not hear anything further from him until this action was commenced (which was some two years later, in November 2006). There is evidence from Mr. Patzer that he returned to Hastings Park the following day, with a lawyer, to discuss the matter further, and was told that there was something wrong with the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automated computer system, operated by Autotote, accepts wagers, calculates odds and payouts and processes pari-mutuel wagering pools. Ken MacKenzie, Autotote's Systems Manager, explained how the automated system works and deposed that the central computer is located at the Woodbine Racetrack in Toronto,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Robert Banks, also an employee of Autotote, maintains the wagering terminals and related equipment at Hastings Park. He deposed that on November 6, 2004, he received an error message from the automated machine that was later used by Mr. Patzer (teller window 170534). He reset this window and consulted the logs to make sure it was reset and operating. Later in the day, he was given the voucher for $6,553,600 and asked to determine what had happened. He deposed that he went to window 170534 to check the betting slips that were stored inside the machine and found a betting slip for a Win-4 race held on October 30, 2004. This Win-4 ticket had a stamped "brand" on the bottom of the slip in the amount of $6,553,600. He singled it out because it had the same cash value stamped on its face as the cash voucher presented by Mr. Patzer.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Banks explained that the brand is a stamp that is printed on a betting slip by the automated betting machine, which is supposed to show the patron how much money he or she won on the race or races listed on the betting slip. He determined that all of the wagers on the Win-4 ticket were losers and that the voucher issued was invalid and had no cash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Banks did not keep the original Win-4 ticket. Mr. Patzer admitted that the original ticket was given to him and that he later threw it away or misplaced it. Mr. Banks made a copy of the Win-4 ticket but unfortunately, the copy is poor and the cash value numbers are very difficult to discern. The defendants adduced expert evidence from Dan Purdy, a forensic document examiner, who opined that it is "highly probable" that the amount printed near the bottom of the Win-4 ticket shown in the photocopy is "$6553600".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Hastings did not retain the betting slips that were in the machine at window 170534. Its standard practice is that betting slips are removed from each machine on a weekly or bi-weekly basis and then sent out for recycling. However, Autotote produced Transaction Audit Tape Reports that recorded the transactions made at window 170534 on November 6, 2004. These reports do not record any transactions that correspond with Mr. Patzer's evidence that the machine retained five to ten winning tickets for bets he made in amounts between $200 and $600 on simulcast races prior to November 6,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Procedural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seeks judgment on the basis that the defendants committed "a breach of contract and fraud" and an order that damages be assessed at a future trial. This claim relies on an allegation that the defendants' refusal to show the plaintiff his winning betting slips is the cause of this action. Neither this allegation nor fraud is reflected in the statement of claim, which alleges that the defendants breached their obligations to the plaintiff by refusing to honour the cash voucher and seeks to recover only the sum of $6,553,600.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Accordingly, at the end of this summary trial, Mr. Laxton applied to amend the statement of claim to include,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an allegation that the defendants breached their obligations to the plaintiff by failing to return and then destroying the plaintiff's winning betting slips and to add an alternative claim for damages for lost winnings. He did not seek to add an allegation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and third party opposed some of the proposed amendments and objected to the admissibility of some of the evidence presented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Application to amend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proposed amended statement of claim was prepared on October 22, 2009, provided to the defendants and third party, but never filed. The defendants and third party opposed the amendments that raise the alternative claim for damages on the basis that it is simply too late and that this new claim is bound to fail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Rule 24(5) permits amendments during a trial. Subject to prejudice, amendments are granted liberally to enable the real issues to be determined, but amendments at such a late stage are generally made to ensure that the pleadings conform to the evidence. The standard for amendments proposed during the submission stage of a summary trial is higher, and may require unusual circumstances: see </w:t>
      </w:r>
      <w:r>
        <w:rPr>
          <w:rFonts w:ascii="arial" w:eastAsia="arial" w:hAnsi="arial" w:cs="arial"/>
          <w:i/>
          <w:color w:val="000000"/>
          <w:sz w:val="20"/>
          <w:lang w:val="en-US" w:eastAsia="en-US" w:bidi="ar-SA"/>
        </w:rPr>
        <w:t>Lindner v. Allin</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2004 BCCA 243</w:t>
        </w:r>
      </w:hyperlink>
      <w:r>
        <w:rPr>
          <w:rFonts w:ascii="arial" w:eastAsia="arial" w:hAnsi="arial" w:cs="arial"/>
          <w:color w:val="000000"/>
          <w:sz w:val="20"/>
          <w:lang w:val="en-US" w:eastAsia="en-US" w:bidi="ar-SA"/>
        </w:rPr>
        <w:t>. This makes sense, because the potential for prejudice is considerably higher during or at the end of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this case, the plaintiff's entire claim from the outset has been based on the refusal by the defendants to honour the cash voucher for the stated amount of $6,553,600. However, since March 2007, the plaintiff has alleged that he asked the defendants to show him his winning betting slips, and this allegation subsequently became slightly more refined. The defendants and third party have been aware of the plaintiff's position as set out in the proposed amendments since October 2009. Mr. Katzalay candidly admitted that the defendants will suffer little, if any, prejudice as a result of the proposed amendments. He advised the Court that they have brought forward the evidence that is available, which he says substantially addresses the plaintiff's alternative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these circumstances, despite the late timing, the plaintiff's application to amend the statement of claim in the form set out in the pleading dated October 22, 2009, is allowed. This pleading does conform to the evidence adduced at this summary trial and allowing the amendment will permit the real issues to be determined.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Admissibility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and third party objected to evidence contained in an affidavit sworn by Dasha Marush, who worked for a former owner of Hasting Park from 1996 to 1998. Ms. Marush makes allegations of fraud against J. Curtis Linnell, who was then one of her associates, regarding matters that allegedly took place over ten years ago. Mr. Laxton relied on this evidence to show that the records kept by the defendants can be intentionally manipulated and are therefore unreliable. He also relied on it to challenge the credibility of Mr. Linnell, who has provided expert evidence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my view, this evidence is not relevant to the issues defined by the pleadings (as amended) and it is not necessary to determine the issues in this summary trial. The evidence does not relate to the actual records that are before me and the manner in which they were created or used. Even if the evidence were relevant, the issue it raises is not suitable for determination under Rule 18A, as it requires findings of credibility. Accordingly, I have not considered Ms. Marush's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Objection was also taken to an expert report of Brian Hayes as well as parts of the opinion evidence of Bron Fieldwalker, both filed on behalf of the plaintiff. At the hearing, I ruled that the report of Mr. Hayes was not admissible as expert evidence and that the issues raised by the defendants about Mr. Fieldwalker's evidence would be dealt with in assessing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Hayes was presented as an expert in horse racing without any explanation about what opinion he was qualified to provide. I ruled his report of February 26, 2009 inadmissible because it purported only to assess the evidence presented by the defendants without providing an opinion requiring expertise. The report is largely argument, which Mr. Laxton was able to make on the basis of the evidence or lack of evidence presented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Fieldwalker was presented as a computer systems expert and his primary opinion was to evaluate the evidence about the cause of alleged computer error that created the cash voucher. He also commented on the opinion of the defendants' forensic document examiner regarding the numbers that appear on the bottom of the copy of the Win-4 ticket. I did not find Mr. Fieldwalker's evidence on this issue to be very helpful, and given that his qualifications do not include forensic document examination, I have given his evidence on this issue little weight.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Standing of the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issued a third party notice against Autotote in May 2009. Autotote has not yet filed a defence to the third party proceeding. Autotote applies under Rule 18A(1)(a) for an order dismissing the plaintiff's claim against the defendants. It relies for its standing on Rule 22(13), which gives a third party the right to file a statement of defence to a plaintiff's statement of claim and raise any defence that is open to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Rule 18A(1)(a) provides that </w:t>
      </w:r>
      <w:r>
        <w:rPr>
          <w:rFonts w:ascii="arial" w:eastAsia="arial" w:hAnsi="arial" w:cs="arial"/>
          <w:color w:val="000000"/>
          <w:sz w:val="20"/>
          <w:u w:val="single"/>
          <w:lang w:val="en-US" w:eastAsia="en-US" w:bidi="ar-SA"/>
        </w:rPr>
        <w:t>a party</w:t>
      </w:r>
      <w:r>
        <w:rPr>
          <w:rFonts w:ascii="arial" w:eastAsia="arial" w:hAnsi="arial" w:cs="arial"/>
          <w:color w:val="000000"/>
          <w:sz w:val="20"/>
          <w:lang w:val="en-US" w:eastAsia="en-US" w:bidi="ar-SA"/>
        </w:rPr>
        <w:t xml:space="preserve"> may apply to court for judgment, either on an issue or generally, in an action in which </w:t>
      </w:r>
      <w:r>
        <w:rPr>
          <w:rFonts w:ascii="arial" w:eastAsia="arial" w:hAnsi="arial" w:cs="arial"/>
          <w:color w:val="000000"/>
          <w:sz w:val="20"/>
          <w:u w:val="single"/>
          <w:lang w:val="en-US" w:eastAsia="en-US" w:bidi="ar-SA"/>
        </w:rPr>
        <w:t>a defence</w:t>
      </w:r>
      <w:r>
        <w:rPr>
          <w:rFonts w:ascii="arial" w:eastAsia="arial" w:hAnsi="arial" w:cs="arial"/>
          <w:color w:val="000000"/>
          <w:sz w:val="20"/>
          <w:lang w:val="en-US" w:eastAsia="en-US" w:bidi="ar-SA"/>
        </w:rPr>
        <w:t xml:space="preserve"> has been filed. While Autotote has not filed a statement of defence to the statement of claim, I am satisfied that it is permitted, within the scope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to make a companion application to that of the defendants in this case. It clearly has an interest in having the plaintiff's claim dismissed. In any event, Autotote's standing was not opposed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initial claim appears to be framed in contract. He claims that the defendants breached their obligations to him by refusing to honour the cash voucher, failing to return and then destroying his winning betting slips, and failing to give him the sum shown on the cash voucher in the amount of $6,553,600. He seeks $6,553,600 or alternatively damages for his lost winnings.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this application, the plaintiff seeks judgment in the alternative claim only, relying on the defendants' failure to return his winning betting slips and destroying them, with damages to be assessed at a trial. This appears to be a claim based in tort. He relies on the principle of spoliation and seeks as a remedy that an adverse inference should be drawn against the defendants for destroying the only evidence that would support his claim for lost winnings.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and third party seek a dismissal of all of the plaintiff's claims on the basis that the cash voucher was issued in error and Mr. Patzer has no entitlement to any sum. They say that he has neither alleged nor proved that he won a bet on any race for which he has not been paid. They say that spoliation does not apply in this case because the defendants destroyed the winning betting slips in the ordinary course of business, without any knowledge that Mr. Patzer was intending to bring an action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Great Canadian Gaming Corporation also seeks, in the alternative, to have the claim against it dismissed on the basis that it is a separate legal entity from Hastings Entertainment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Due to the nature of the evidence, I will first address the defendants' application to dismiss the plaintiff's primary claim for $6,553,600. I will then address the plaintiff's application for judgment on the alternative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plaintiff's claim for the amount of the cash voucher</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order for the plaintiff to be entitled to $6,553,600, he must have actually won that amount. If the voucher was issued in error, he is not entitled to receive the face amount of the cash voucher.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 similar situation arose in </w:t>
      </w:r>
      <w:r>
        <w:rPr>
          <w:rFonts w:ascii="arial" w:eastAsia="arial" w:hAnsi="arial" w:cs="arial"/>
          <w:i/>
          <w:color w:val="000000"/>
          <w:sz w:val="20"/>
          <w:lang w:val="en-US" w:eastAsia="en-US" w:bidi="ar-SA"/>
        </w:rPr>
        <w:t>Budai v. Ontario Lottery Corp.</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(1982), 142 D.L.R. (3d) 271</w:t>
        </w:r>
      </w:hyperlink>
      <w:r>
        <w:rPr>
          <w:rFonts w:ascii="arial" w:eastAsia="arial" w:hAnsi="arial" w:cs="arial"/>
          <w:color w:val="000000"/>
          <w:sz w:val="20"/>
          <w:lang w:val="en-US" w:eastAsia="en-US" w:bidi="ar-SA"/>
        </w:rPr>
        <w:t xml:space="preserve"> (Ont. S.C.). There the plaintiff had purchased lottery tickets for $7.00. After the lottery draw, a computer operated by the defendant's agent printed a statement that the plaintiff had won $835.40. Relying on this information but before he received his winnings, the plaintiff spent the money entertaining friends to celebrate his win. However, he then learned that the statement was in error and he had actually won only $5.00. It was held that the plaintiff was not entitled to $835.40 on the basis of the computer printout. However, due to his reliance on the printout and the fact that he spent money he would not otherwise have spent, the plaintiff was entitled to receive $480 in damages from the defendant. While the issue of reliance does not arise in this case, the essential principle that a person is not entitled to winnings on the basis of erroneous information is applicable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This principle is analogous to cases about the recovery of funds paid by banking institutions under a mistake of fact. In those cases, such funds are generally recoverable provided that the payor did not intend the payee to have the money, the money was not paid for good consideration and the payee has not in good faith changed his or her position: see for example </w:t>
      </w:r>
      <w:r>
        <w:rPr>
          <w:rFonts w:ascii="arial" w:eastAsia="arial" w:hAnsi="arial" w:cs="arial"/>
          <w:i/>
          <w:color w:val="000000"/>
          <w:sz w:val="20"/>
          <w:lang w:val="en-US" w:eastAsia="en-US" w:bidi="ar-SA"/>
        </w:rPr>
        <w:t>B.M.P. Global Distribution Inv. v. Bank of Nova Scotia</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[2009] 1 S.C.R. 504</w:t>
        </w:r>
      </w:hyperlink>
      <w:r>
        <w:rPr>
          <w:rFonts w:ascii="arial" w:eastAsia="arial" w:hAnsi="arial" w:cs="arial"/>
          <w:color w:val="000000"/>
          <w:sz w:val="20"/>
          <w:lang w:val="en-US" w:eastAsia="en-US" w:bidi="ar-SA"/>
        </w:rPr>
        <w:t xml:space="preserve"> at para. 22; </w:t>
      </w:r>
      <w:r>
        <w:rPr>
          <w:rFonts w:ascii="arial" w:eastAsia="arial" w:hAnsi="arial" w:cs="arial"/>
          <w:i/>
          <w:color w:val="000000"/>
          <w:sz w:val="20"/>
          <w:lang w:val="en-US" w:eastAsia="en-US" w:bidi="ar-SA"/>
        </w:rPr>
        <w:t>Re Sunstar Mtg. Inc.</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[2001] A.J. No. 1652</w:t>
        </w:r>
      </w:hyperlink>
      <w:r>
        <w:rPr>
          <w:rFonts w:ascii="arial" w:eastAsia="arial" w:hAnsi="arial" w:cs="arial"/>
          <w:color w:val="000000"/>
          <w:sz w:val="20"/>
          <w:lang w:val="en-US" w:eastAsia="en-US" w:bidi="ar-SA"/>
        </w:rPr>
        <w:t xml:space="preserve"> at para. 17; and </w:t>
      </w:r>
      <w:r>
        <w:rPr>
          <w:rFonts w:ascii="arial" w:eastAsia="arial" w:hAnsi="arial" w:cs="arial"/>
          <w:i/>
          <w:color w:val="000000"/>
          <w:sz w:val="20"/>
          <w:lang w:val="en-US" w:eastAsia="en-US" w:bidi="ar-SA"/>
        </w:rPr>
        <w:t>Bank of Montreal v. Norman</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[1999] O.J. No. 3761</w:t>
        </w:r>
      </w:hyperlink>
      <w:r>
        <w:rPr>
          <w:rFonts w:ascii="arial" w:eastAsia="arial" w:hAnsi="arial" w:cs="arial"/>
          <w:color w:val="000000"/>
          <w:sz w:val="20"/>
          <w:lang w:val="en-US" w:eastAsia="en-US" w:bidi="ar-SA"/>
        </w:rPr>
        <w:t xml:space="preserve"> at paras.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evidence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appears to have conceded that he cannot prove entitlement to $6,553,600 on the evidence before the Court in this summary trial. Mr. Laxton submitted that Mr. Patzer "may or may not have won $6.5 million but it is certain he won something" and says that this litigation could have been avoided altogether had the defendants produced to him his winning betting slips.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Transaction Audit Tape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While all parties may be ruing the day those winning betting slips were sent to recycling, the defendants have produced other documents that provide evidence about what winning betting slips were inserted into that particular machine on the day in question. There are two Transaction Audit Tape Reports (Audit Reports). The first Audit Report shows all transactions made at window 170534 on November 6, 2004 and the other shows the purchase value and details of all winning betting slips that were checked or cashed at that same window for races held before November 6,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MacKenzie explained that these Audit Reports for November 4, 2006 show the following:</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cash value paid out by that machine for all transactions on that day amounted to $15,427, which included seven payouts totalling $286.75 for winning betting slips and cash vouchers issued before November 6, 2004. There is no record of a cash voucher being issued for $6,553,600.</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12 betting slips checked for races that were held prior to November 6, 2004, which included three winning wagers for a total cash value of $97.90.</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betting slips with a purchase or wager value between $200 and $600.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This evidence conflicts with Mr. Patzer's evidence that he submitted 20 to 25 betting slips in values between $200 and $600 for races held in the U.S. before November 6, 2004 and that five to ten were winners.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Laxton challenged the reliability of these Audit Reports. First, he submitted that none of the seven winning betting slips were Mr. Patzer's because they were for smaller bets on different races and were paid out at times that do not correspond with undisputed evidence that Mr. Patzer used the machine around noon. Second, he submitted that a rather lengthy gap in the use of the machine between 09:47 and 13:13 "strongly" suggests that the record of Mr. Patzer's betting slips were expunged and destroyed by the defendants. Third, he says the Audit Reports cannot be considered accurate or complete because they can be easily manipulated and they do not record the $6,553,600 voucher or the Win-4 ticket.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will say at the outset that in my view, there is no basis on the evidence to find that the Audit Reports are inaccurate and there is no evidence at all that these reports were manipulated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 number of Mr. Laxton's submissions assumed that the time displayed on the Audit Reports was local time. However, Mr. MacKenzie deposed that all of the times shown on the Audit Reports are Eastern Standard Time, as the central totaliser processing computer is located in Woodbine, Ontario. There are no unusual gaps during the time Mr. Patzer used the machine. And in any event, the gap that appears earlier in the morning is consistent with the evidence of Mr. Banks, who deposed that he reset that machine because it was producing an error message. He did not specify when this occurred, but it was sometime before Mr. Patzer obtained the cash voucher. Mr. Banks stated that someone brought him the cash voucher "later in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Laxton also makes what I consider to be a circular argument. He challenges the accuracy of the Audit Reports partly on the basis that they did not record the bets Mr. Patzer made. Yet, Mr. Patzer's evidence is not that clear. Examples can be seen in the evidence read in from his examination for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132 Q So these 20 to 25 tickets would have had -- would have been for different amounts of wagers?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would have been for different kinds of bets?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On different races?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And different races and different tracks.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136 Q Do you know how many of these tickets were for races at other tracks other than Hastings?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don't.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Do you have a sense of whether most of them were or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would think mostly were from out of Hastings.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141 Q And in terms of the value -- can you give a sense of how many of those tickets would have been from elsewhere? All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Not really,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you told me you thought 20 to 25 went into the machine?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Would more than 15 of them have been for other parks, races at other parks?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would think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145 Q All right. And I want to get a sense of the amount of these wagers. Do you always bet the same amount, or do you bet different amounts?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Different.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with respect to those 20 to 25 tickets what would have been the smallest bet?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really couldn't tell you. I don't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150 Q Well, let's just talk about these 20 to 25 tickets. What kind of amounts would we be talking about?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What I bet?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Are we talking $5 or are we talking $5,000?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$500 and even up to a thousand sometime.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can you tell me what the largest wager was with respect to these 20 to 25 tickets?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largest one could have been $400, around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As much as $400?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would say around that. I can't tell you exactly.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What was the largest bet you made on a horse race in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largest bet?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can't remember.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167 Q Now come back to these 20 to 25 tickets, and correct me if I am wrong, you think they could have gone as high as $400 bets; is that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What value would most of them have been?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don't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 have no idea?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After further questioning, Mr. Patzer eventually gives a range of bets from a low of $200 to a high of $400 to $600. He did not know how many or which of the 20 to 25 tickets were winning tickets.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certainly accept that Mr. Patzer believes that his evidence is true, but these passages demonstrate that he does not remember any specific details about what he bet on and for how much, or what tickets were winners. A plaintiff cannot succeed in challenging the integrity of a document because it does not record facts that may or may not be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Laxton submitted that the Audit Reports are unreliable because they do not record any malfunction. He relies on the opinion evidence of Mr. Fieldwalker, a computer systems expert, who deposed that because the Audit Reports do not record the cash voucher or any of the bets placed by Mr. Patzer, there was either a problem with the logging system or the logs (Audit Reports) had been altered. Mr. Fieldwalker also opined that "there are many ways for backup logs to be corrupted, missing, altered or compromised" and that it was impossible to verify whether the Audit Reports contain valid, complete and unaltered data. While this may be so, this is merely opinion with little or no factual underpinning.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fact that the Audit Reports do not record the $6,553,600 cash voucher cannot in itself prove that the reports are unreliable. Mr. MacKenzie's evidence relies in part on the fact that this transaction was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reflected in the documents to show that the cash voucher was not valid. The only other malfunction, which does appear to be reflected in the documents, was the need for teller window 170534 to be reset earlier in the day. In my view, this evidence does not establish that the Audit Reports were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Accordingly, I find that the Audit Reports provide an accurate log of the transactions made on the terminal used by Mr. Patzer on November 6, 2004. I cannot accept Mr. Patzer's evidence as to the number and value of the bets he made, as it is not only inconsistent with this documentary evidence but also vague and imprecise. This finding has no bearing on Mr. Patzer's credibility. I have accepted that he has made an honest effort to remember the events in question but may have been mistaken.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it possible for the plaintiff to have won $6.5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says that it is possible he won $6,533,600. He relies on the opinion of Mr. Fieldwalker, who deposed that the $200 to $600 amounts Mr. Patzer bet "would multiply and combine very easily into $6,533,600".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adduced evidence that suggested Mr. Patzer could not have won $6,553,600. This evidence relates to the amount of money available in the mutual pool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J. Curtis Linnell was put forward as an expert in pari-mutuel wagering. Mr. Linnell has worked on the wagering side of horse racing since 1986 in various positions and is currently the Director of Wagering Analysis for the Thoroughbred Racing Protective Bureau. He manages wagering investigations and reports on technical tote matters to groups such as the International Federation of Racing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report of January 7, 2009, Mr. Linnell described how pari-mutuel betting works: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Pari-mutuel wagering, at its core, is a system where all bets of a particular type are pooled together before an event, then government taxes and levies and the track's commission are removed from the pool, and the payouts to individual bettors are then distributed amongst those who bet correctly and are based on a combination of: (1) the remaining amount of money in the pool, and (2) the number of winning bets and amounts that were made by the winning gamblers. Just like a lottery, if there is more than one wager containing the same combination of numbers (or horses), the wagers held by the bettors on that combination will share in the winnings based on the amount of winning dollars each bettor held.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pari-mutuel betting, the payouts for winning bets are therefore dictated and confined by the size of the pool on a particular race and by the total amount of money wagered on a particular combination of horses.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Ackerman provided a similar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respect to Mr. Fieldwalker's opinion, Mr. Linnell opined that it is "simply incorrect to say that the payout is based on some multiplication of the amount of an individual bet, as opposed to the amount of the pool and the number of winners".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Linnell explained that the largest ever payout in British Columbia to an individual bettor was $920,411.70 in 1982 and the largest amount ever won in Canada was just over $1 million in 2004 at Woodbine. He opined that it is extremely unlikely that a person who made the number and value of bets alleged by Mr. Patzer could have possibly won an amount anywhere close to $6.5 million. He stated that Canadian pools are not large enough to generate individual jackpots or winnings in this range and that prior to 2005, Canadian pools on U.S. races were pooled separately, and they handled amounts many times less than the U.S. commingled and hosted pools, with payouts many times less than the U.S. equivalents.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Another source of information relied on by Mr. Linnell are the Canadian Pari-Mutuel Agency Daily Pari-Mutuel Reports for 2004. He deposed that the data provided in these reports is independent, audited information, which shows how much money was available to bettors at Hastings Park. From his review of these reports, Mr. Linnell stated that none of the Canadian betting pools on U.S. tracks in the six month period preceding November 6, 2004 were large enough such that even the four or five largest wins would total $6.5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More specific to this case, Mr. Linnell explained that all racecourses keep a record of the outstanding amounts they owe on winning bets that have not yet been redeemed. Hastings Park's record is called a "Daily Outs Balance Report". This report for November 6, 2004 showed a total outstanding amount of $522,059.35, which included over $171,824 from Hastings Park live races. Particularly considering Mr. Patzer's evidence that he primarily bet on simulcast races held at races in the U.S., the outstanding amount Hastings Park had yet to pay out on the U.S. races was obviously much less than $6.5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Laxton submitted that this Daily Outs report cannot be fairly evaluated without considering the same reports for the period from April to November 2004. He relies on evidence of Brian Hayes, contained in an affidavit of February 20, 2009, which suggests that the Daily Outs report does not take into account amounts that would have been outstanding from time to time during the 2004 racing season. Mr. Laxton also says that the Daily Outs reports are not reliable because they can be manipulated. This is the same argument he made with respect to the Audit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this point, I cannot accede to Mr. Laxton's argument. I fail to see how additional Daily Outs reports would assist the plaintiff, as the report itself indicates amounts for previous outs, outs paid that day, previous un-cashed wins and totals paid that day. Mr. Linnell explained that the report shows a running total of the amount Hastings Park had outstanding for winning ticket-holders as of that date by track event name. In addition, there is, again, no evidence that calls into question the integrity of this Daily Outs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Linnell's explanation of the pari-mutuel system makes sense and I accept his evidence. Mr. Fieldwalker's evidence does not take into account the nature of the system and the size of the betting pools.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accept the defendants' evidence that it is extremely unlikely, given the amounts available in the pari-mutuel wagering pool, that Mr. Patzer -- or anyone -- could have won $6,533,600.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validity of the cash voucher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I understand it, the plaintiff opposes the defendants' application for dismissal in part on the basis that they have not proved that the cash voucher was issued in error because they have not proved how the error occurred. In my view, while the defendants have not adduced independent expert evidence about the technical cause of the error,</w:t>
      </w:r>
      <w:bookmarkStart w:id="63"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63"/>
      <w:r>
        <w:rPr>
          <w:rFonts w:ascii="arial" w:eastAsia="arial" w:hAnsi="arial" w:cs="arial"/>
          <w:color w:val="000000"/>
          <w:sz w:val="20"/>
          <w:lang w:val="en-US" w:eastAsia="en-US" w:bidi="ar-SA"/>
        </w:rPr>
        <w:t xml:space="preserve"> they have provided cogent evidence that the cash voucher was issued in error and therefore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Banks was the first person to examine the voucher and the machine at window 170534. In his affidavit he described what he did and what he concluded:</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I immediately went to window 170534 to check the betting slips that were stored inside the machine. I found a betting slip for a Win-4 race held on October 30, 2004 (the "Betting Slip"), which had a stamped "brand" on the bottom of the slip in the amount of $6,553,600. The brand is a stamp that gets printed on a betting slip by the automated betting machine. The brand is supposed to show the patron how much money he or she won on the race or races listed on the betting slip. I singled out and investigated the Betting Slip because it had the same cash value stamped on its face as the Voucher presented by Mr. Patzer.</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very surprised to find the Betting Slip so I immediately went back to the computer room to determine whether or not the races and wagers listed on the Betting Slip did in fact amount to a cash value of $6,553,600. I reviewed the relevant race records and quickly determined that all of the races or wagers listed on the Betting Slip were losers. Based upon my investigation, there was no doubt that the Betting Slip was a losing ticket. I made a photocopy of the Voucher and Betting Slip and advised that the Voucher was not valid and that it did not have any cash value.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also advised Ken MacKenzie, my superior at SGR, on the same day of the incident that I conducted an investigation of the Voucher and determined that it was not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Laxton criticized this evidence as being purposely vague because Mr. Banks does not say where he found the ticket but leaves the impression that he found it inside the machine and fails to state from where he singled it out. He also pointed out that only winning tickets remain inside the machines.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Although Mr. Banks does not specify the times when he did things, I do not agree with Mr. Laxton that his evidence was purposely vague. It is clear to me that Mr. Banks checked the betting slips that were stored inside the machine and found the Win-4 ticket. The fact that this was a losing ticket and was found inside the machine indicates some kind of malfunction. The additional, more significant fact that the Win-4 ticket appeared to have a stamped brand of the same cash value as the voucher would lead any reasonable person to conclude that it must have had something to do with the issuance of the cash voucher.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evidence corroborating Mr. Bank's evidence on this latter point consists of a poor photocopy of the Win-4 ticket and the expert opinion of Dan Purdy that it is "highly probable" that the amount printed near the bottom of the Win-4 ticket shown in the photocopy is "$6553600". I have given little weight to Mr. Fieldwalker's criticism of this. There is no basis to reject Mr. Banks'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MacKenzie also examined the cash voucher. He deposed that the serial number on the cash voucher did not correspond to any serial numbers registered in the totaliser system, the format of the serial number did not contain essential information necessary to establish it was properly issued and there was no transaction time stamped on it. He explained that the terminal stamps the time of the transaction on every validly issued pari-mutuel ticket and voucher and this one had invalid characters in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MacKenzie also stated that the cash voucher was not registered in the totaliser system as being validly issued. He explained that the central totaliser processing computer is a transactional based system that operates in a real-time online environment. The central computer handles all processing and communications to over 2,400 wagering devices in Ontario, Alberta and British Columbia and there are over 250 wagering devices at Hastings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According to Mr. MacKenzie, the Win-4 ticket mistakenly caused the machine used by Mr. Patzer to generate and issue the cash voucher because the same window 170534 appeared on both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connection between the Win-4 ticket and the cash voucher is not consistent with Mr. Patzer's evidence that the Win-4 ticket was not his. On this point, I note that Mr. Patzer was initially unsure if the Win-4 ticket was his and only gave a more definitive denial when pressed for an answer: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459 A I see that ticket when I went at the end to get my money for that the last time, Exhibit 1.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Then they had this ticket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In the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With the gentleman?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 How he got that ticket I don't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But he gave it to you, did 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He gave it to me and then I made a copy.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What did he say about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He said this is a losing ticket.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What did you say about it? Did you say anything?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I didn't even know it was mine.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Is it yours?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I don't -- I don't know. I don't think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 don't -- well which is it? You don't know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say no. I'd say it's not mine.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 think it's not your ticket?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I would never bet $8 like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Laxton challenged the defendants' explanation as to how a sophisticated automated betting system could make such a substantial error. He relies on Mr. Fieldwalker's opinion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unlikely that the Voucher could be the result of computer errors, and if this is the case it points to a serious flaw in the Autotote computerized wagering programming system which can be easily prevented, or manual manipulation of the tote system by insider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Fieldwalker challenged the defendants' assertion that the cash voucher was invalid. He deposed the serial number has the correct format, number of digits and not random data, there is a valid terminal identifier, the date is correct and the fact that the time is not readable does not invalidate the rest of the data on the voucher. He equated the error in this case to an error that would cause a home computer to suddenly log into a bank account, bypass security passwords and print an invalid bank statement, and opined that the likelihood of a computer error causing any sequence of events similar to either of these is virtually zero.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Fieldwalker also challenged the defendants' assertion that the Win-4 ticket caused the machine to issue the cash voucher. He found it "highly unlikely this theory is correct" for these reasons: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impossible to clearly read the numbers at the bottom of the Win 4 ticket;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Ticket amount is well below the $200 average of Mr. Patzer's betting habits;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likely a single ticket caused the winning voucher but multiple winning tickets;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Patzer has stated that the Ticket was not one of his tickets;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odds of a losing ticket causing a winning voucher are extremely low or near possible;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Betting Terminals are programmed to keep winning tickets and eject losing tickets; the Win 4 ticket could be one of the many losing tickets scattered around the Betting Terminal, mistakenly assumed to be Mr. Patzer's.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 stated that the best way to determine which tickets caused the winning voucher would be to review all of the tickets in window 170534.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certainly accept that the error made here was significant. However, the criticisms put forward by Mr. Fieldwalker do not, in my opinion, affect the reliability of the evidence of Mr. MacKenzie and Mr. Banks, or the reliability of the Audit Reports. I do not place much weight on Mr. Fieldwalker's opinion for several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First, the only evidence regarding Mr. Fieldwalker's expertise with the Autotote system is his own statement that he is "familiar with the Autotote system" and has "spent time gambling on simulcast horse races at Hastings Park using the Autotote system". He has not worked in the gaming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Second, he does not provide evidentiary-based explanations for many of his assertions and he relies to a significant extent on Mr. Patzer's assertions about the bets he made or did not make, some of which I have not accepted. Finally, much of his opinion is simply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the other hand, Mr. Mackenzie, the Systems Manager for Autotote since 1993, has had extensive experience as a terminal technician and computer operator in the racing industry. He provided detailed explanations about the nature of the Autotote system, how the wagering devices (local terminals) work and what the Audit Reports show. Mr. Banks did in fact check the betting slips that were stored inside the machine and he singled out the Win-4 ticket because it had the same cash value stamped on it as the voucher. His affidavit provides sufficient detail and is corroborated by the documentary evidence that is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make no finding as to whether Mr. Patzer's evidence about the Win-4 ticket is credible. I will say that my impression, from reviewing the evidence read-in from his examination for discovery, is that he was honestly trying to answer the questions. However, his evidence does display a certain amount of uncertainty, which does affect its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evidence of Mr. MacKenzie and Mr. Banks provides the most reasonable explanation for the error, but does not establish a definitive cause, and it does not explain how Mr. Patzer received the cash voucher in light of his evidence that the Win-4 ticket was not his. Despite this, it is my view that the evidence establishes that the cash voucher for $6,553,600 was issued in error and was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Accordingly, the defendants have proved to the requisite standard that the plaintiff is not entitled to judgment for $6,553,600 and that claim must be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plaintiff's alternative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plaintiff's alternative claim asserts that the defendants had an obligation (or duty) to give him his winning betting slips and that they breached that obligation by refusing to do so and by subsequently destroying them. Mr. Laxton relies to a large degree on the Court drawing an adverse inference against the defendants under the principle of spoliation. He also relies on the Court accepting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will deal first with the issue of spoliation.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Spoliation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 Louis v. Canada</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(1896), 25 S.C.R. 649</w:t>
        </w:r>
      </w:hyperlink>
      <w:r>
        <w:rPr>
          <w:rFonts w:ascii="arial" w:eastAsia="arial" w:hAnsi="arial" w:cs="arial"/>
          <w:color w:val="000000"/>
          <w:sz w:val="20"/>
          <w:lang w:val="en-US" w:eastAsia="en-US" w:bidi="ar-SA"/>
        </w:rPr>
        <w:t xml:space="preserve">, the Supreme Court of Canada established that the intentional destruction of documents, or spoliation, raised a presumption that evidence destroyed would have been unfavourable to the party who destroyed the documents. The presumption may be rebutted, as it was in that case, by showing that the documents were destroyed in the ordinary course of business and before litigation was contemplated. In </w:t>
      </w:r>
      <w:r>
        <w:rPr>
          <w:rFonts w:ascii="arial" w:eastAsia="arial" w:hAnsi="arial" w:cs="arial"/>
          <w:i/>
          <w:color w:val="000000"/>
          <w:sz w:val="20"/>
          <w:lang w:val="en-US" w:eastAsia="en-US" w:bidi="ar-SA"/>
        </w:rPr>
        <w:t>McDougall v. Black &amp; Decker Canada Inc.</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2008 ABCA 353</w:t>
        </w:r>
      </w:hyperlink>
      <w:r>
        <w:rPr>
          <w:rFonts w:ascii="arial" w:eastAsia="arial" w:hAnsi="arial" w:cs="arial"/>
          <w:color w:val="000000"/>
          <w:sz w:val="20"/>
          <w:lang w:val="en-US" w:eastAsia="en-US" w:bidi="ar-SA"/>
        </w:rPr>
        <w:t xml:space="preserve">, the Alberta Court of Appeal held that </w:t>
      </w:r>
      <w:r>
        <w:rPr>
          <w:rFonts w:ascii="arial" w:eastAsia="arial" w:hAnsi="arial" w:cs="arial"/>
          <w:i/>
          <w:color w:val="000000"/>
          <w:sz w:val="20"/>
          <w:lang w:val="en-US" w:eastAsia="en-US" w:bidi="ar-SA"/>
        </w:rPr>
        <w:t>St. Louis</w:t>
      </w:r>
      <w:r>
        <w:rPr>
          <w:rFonts w:ascii="arial" w:eastAsia="arial" w:hAnsi="arial" w:cs="arial"/>
          <w:color w:val="000000"/>
          <w:sz w:val="20"/>
          <w:lang w:val="en-US" w:eastAsia="en-US" w:bidi="ar-SA"/>
        </w:rPr>
        <w:t xml:space="preserve"> stands for the following proposition: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Spoliation in law does not occur merely because evidence has been destroyed. Rather, it occurs where a party has intentionally destroyed evidence relevant to ongoing or contemplated litigation in circumstances where a reasonable inference can be drawn that the evidence was destroyed to affect the litigation. Once this is demonstrated, a presumption arises that the evidence would have been unfavourable to the party destroying it. This presumption is rebuttable by other evidence through which the alleged spoliator proves that his actions, although intentional, were not aimed at affecting the litigation, or through which the party either proves his case or repels the case against him.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remedies are procedural, as spoliation is not recognized in Canada as an independent tort: </w:t>
      </w:r>
      <w:r>
        <w:rPr>
          <w:rFonts w:ascii="arial" w:eastAsia="arial" w:hAnsi="arial" w:cs="arial"/>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(1998), 48 B.C.L.R. (3d) 90</w:t>
        </w:r>
      </w:hyperlink>
      <w:r>
        <w:rPr>
          <w:rFonts w:ascii="arial" w:eastAsia="arial" w:hAnsi="arial" w:cs="arial"/>
          <w:color w:val="000000"/>
          <w:sz w:val="20"/>
          <w:lang w:val="en-US" w:eastAsia="en-US" w:bidi="ar-SA"/>
        </w:rPr>
        <w:t xml:space="preserve"> (C.A.)</w:t>
      </w:r>
      <w:bookmarkStart w:id="64"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64"/>
      <w:r>
        <w:rPr>
          <w:rFonts w:ascii="arial" w:eastAsia="arial" w:hAnsi="arial" w:cs="arial"/>
          <w:color w:val="000000"/>
          <w:sz w:val="20"/>
          <w:lang w:val="en-US" w:eastAsia="en-US" w:bidi="ar-SA"/>
        </w:rPr>
        <w:t xml:space="preserve">. In addition to a presumption, or adverse inference, against the party who destroyed the documents, other remedies may be fashioned to compensate a party for the loss that may have resulted from the destruction of evidence -- such as excluding an expert report or denying costs: </w:t>
      </w:r>
      <w:r>
        <w:rPr>
          <w:rFonts w:ascii="arial" w:eastAsia="arial" w:hAnsi="arial" w:cs="arial"/>
          <w:i/>
          <w:color w:val="000000"/>
          <w:sz w:val="20"/>
          <w:lang w:val="en-US" w:eastAsia="en-US" w:bidi="ar-SA"/>
        </w:rPr>
        <w:t>Endean</w:t>
      </w:r>
      <w:r>
        <w:rPr>
          <w:rFonts w:ascii="arial" w:eastAsia="arial" w:hAnsi="arial" w:cs="arial"/>
          <w:color w:val="000000"/>
          <w:sz w:val="20"/>
          <w:lang w:val="en-US" w:eastAsia="en-US" w:bidi="ar-SA"/>
        </w:rPr>
        <w:t xml:space="preserve"> at para. 32; see also </w:t>
      </w:r>
      <w:r>
        <w:rPr>
          <w:rFonts w:ascii="arial" w:eastAsia="arial" w:hAnsi="arial" w:cs="arial"/>
          <w:i/>
          <w:color w:val="000000"/>
          <w:sz w:val="20"/>
          <w:lang w:val="en-US" w:eastAsia="en-US" w:bidi="ar-SA"/>
        </w:rPr>
        <w:t>McDougall</w:t>
      </w:r>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Dyk v. Protec Automotive Repairs</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(1997), 41 B.C.L.R. (3d) 197</w:t>
        </w:r>
      </w:hyperlink>
      <w:r>
        <w:rPr>
          <w:rFonts w:ascii="arial" w:eastAsia="arial" w:hAnsi="arial" w:cs="arial"/>
          <w:color w:val="000000"/>
          <w:sz w:val="20"/>
          <w:lang w:val="en-US" w:eastAsia="en-US" w:bidi="ar-SA"/>
        </w:rPr>
        <w:t xml:space="preserve"> (S.C.), this Court followed United States authorities, which require four factors to be present before an adverse inference can be drawn:</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has been destroyed;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destroyed was relevant to an issue in the lawsuit;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proceedings were pending; and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destruction of documents was an intentional act indicative of fraud, or an intent to suppress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an insufficient basis. I note, however, that in </w:t>
      </w:r>
      <w:r>
        <w:rPr>
          <w:rFonts w:ascii="arial" w:eastAsia="arial" w:hAnsi="arial" w:cs="arial"/>
          <w:i/>
          <w:color w:val="000000"/>
          <w:sz w:val="20"/>
          <w:lang w:val="en-US" w:eastAsia="en-US" w:bidi="ar-SA"/>
        </w:rPr>
        <w:t>Holland v. Marshall</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2008 BCCA 468</w:t>
        </w:r>
      </w:hyperlink>
      <w:r>
        <w:rPr>
          <w:rFonts w:ascii="arial" w:eastAsia="arial" w:hAnsi="arial" w:cs="arial"/>
          <w:color w:val="000000"/>
          <w:sz w:val="20"/>
          <w:lang w:val="en-US" w:eastAsia="en-US" w:bidi="ar-SA"/>
        </w:rPr>
        <w:t>, the Court of Appeal questioned whether these authorities placed unwarranted limits on the evidentiary presumption and its application, but did not decide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It is clear that there is no common law duty to preserve property which may possibly be required for evidentiary purposes but such an obligation may be imposed by court order pursuant to the Rules of Court: </w:t>
      </w:r>
      <w:r>
        <w:rPr>
          <w:rFonts w:ascii="arial" w:eastAsia="arial" w:hAnsi="arial" w:cs="arial"/>
          <w:i/>
          <w:color w:val="000000"/>
          <w:sz w:val="20"/>
          <w:lang w:val="en-US" w:eastAsia="en-US" w:bidi="ar-SA"/>
        </w:rPr>
        <w:t>Dawes v. Jajcaj</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1999 BCCA 237</w:t>
        </w:r>
      </w:hyperlink>
      <w:r>
        <w:rPr>
          <w:rFonts w:ascii="arial" w:eastAsia="arial" w:hAnsi="arial" w:cs="arial"/>
          <w:color w:val="000000"/>
          <w:sz w:val="20"/>
          <w:lang w:val="en-US" w:eastAsia="en-US" w:bidi="ar-SA"/>
        </w:rPr>
        <w:t xml:space="preserve">, aff'g </w:t>
      </w:r>
      <w:hyperlink r:id="rId185" w:history="1">
        <w:r>
          <w:rPr>
            <w:rFonts w:ascii="arial" w:eastAsia="arial" w:hAnsi="arial" w:cs="arial"/>
            <w:i/>
            <w:color w:val="0077CC"/>
            <w:sz w:val="20"/>
            <w:u w:val="single"/>
            <w:shd w:val="clear" w:color="auto" w:fill="FFFFFF"/>
            <w:lang w:val="en-US" w:eastAsia="en-US" w:bidi="ar-SA"/>
          </w:rPr>
          <w:t>(1995), 15 B.C.L.R. (3d) 240</w:t>
        </w:r>
      </w:hyperlink>
      <w:r>
        <w:rPr>
          <w:rFonts w:ascii="arial" w:eastAsia="arial" w:hAnsi="arial" w:cs="arial"/>
          <w:color w:val="000000"/>
          <w:sz w:val="20"/>
          <w:lang w:val="en-US" w:eastAsia="en-US" w:bidi="ar-SA"/>
        </w:rPr>
        <w:t xml:space="preserve">, leave to appeal ref'd </w:t>
      </w:r>
      <w:hyperlink r:id="rId186" w:history="1">
        <w:r>
          <w:rPr>
            <w:rFonts w:ascii="arial" w:eastAsia="arial" w:hAnsi="arial" w:cs="arial"/>
            <w:i/>
            <w:color w:val="0077CC"/>
            <w:sz w:val="20"/>
            <w:u w:val="single"/>
            <w:shd w:val="clear" w:color="auto" w:fill="FFFFFF"/>
            <w:lang w:val="en-US" w:eastAsia="en-US" w:bidi="ar-SA"/>
          </w:rPr>
          <w:t>[1999] S.C.C.A. No. 347</w:t>
        </w:r>
      </w:hyperlink>
      <w:r>
        <w:rPr>
          <w:rFonts w:ascii="arial" w:eastAsia="arial" w:hAnsi="arial" w:cs="arial"/>
          <w:color w:val="000000"/>
          <w:sz w:val="20"/>
          <w:lang w:val="en-US" w:eastAsia="en-US" w:bidi="ar-SA"/>
        </w:rPr>
        <w:t xml:space="preserve">). The Court of Appeal aptly described spoliation in </w:t>
      </w:r>
      <w:r>
        <w:rPr>
          <w:rFonts w:ascii="arial" w:eastAsia="arial" w:hAnsi="arial" w:cs="arial"/>
          <w:i/>
          <w:color w:val="000000"/>
          <w:sz w:val="20"/>
          <w:lang w:val="en-US" w:eastAsia="en-US" w:bidi="ar-SA"/>
        </w:rPr>
        <w:t>Holland</w:t>
      </w:r>
      <w:r>
        <w:rPr>
          <w:rFonts w:ascii="arial" w:eastAsia="arial" w:hAnsi="arial" w:cs="arial"/>
          <w:color w:val="000000"/>
          <w:sz w:val="20"/>
          <w:lang w:val="en-US" w:eastAsia="en-US" w:bidi="ar-SA"/>
        </w:rPr>
        <w:t xml:space="preserve"> at para.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legal context, the term spoliation refers to the destruction, mutilation, alteration or concealment of evidence. The harm to the trial process that spoliation can cause is well-recognized. The more difficult problem is finding an appropriate remedy for spoliation. The sanctions or remedies available to litigants who suffer due to spoliation include procedural remedies, evidentiary presumptions, contempt proceedings and costs orders. Preventive measures may also be taken through preservation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issue of spoliation in </w:t>
      </w:r>
      <w:r>
        <w:rPr>
          <w:rFonts w:ascii="arial" w:eastAsia="arial" w:hAnsi="arial" w:cs="arial"/>
          <w:i/>
          <w:color w:val="000000"/>
          <w:sz w:val="20"/>
          <w:lang w:val="en-US" w:eastAsia="en-US" w:bidi="ar-SA"/>
        </w:rPr>
        <w:t>Holland</w:t>
      </w:r>
      <w:r>
        <w:rPr>
          <w:rFonts w:ascii="arial" w:eastAsia="arial" w:hAnsi="arial" w:cs="arial"/>
          <w:color w:val="000000"/>
          <w:sz w:val="20"/>
          <w:lang w:val="en-US" w:eastAsia="en-US" w:bidi="ar-SA"/>
        </w:rPr>
        <w:t xml:space="preserve"> arose in an unusual way. The plaintiff's claims against a number of physicians in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dismissed at trial. The plaintiff appealed. The spoliation issue was raised for the first time in the Court of Appeal, where the plaintiff alleged that the hospital destroyed records to prevent her from using them to support her claim. The appeal was adjourned so that the spoliation issue could be dealt with by this court. Mr. Justice Brooke (</w:t>
      </w:r>
      <w:hyperlink r:id="rId187" w:history="1">
        <w:r>
          <w:rPr>
            <w:rFonts w:ascii="arial" w:eastAsia="arial" w:hAnsi="arial" w:cs="arial"/>
            <w:i/>
            <w:color w:val="0077CC"/>
            <w:sz w:val="20"/>
            <w:u w:val="single"/>
            <w:shd w:val="clear" w:color="auto" w:fill="FFFFFF"/>
            <w:lang w:val="en-US" w:eastAsia="en-US" w:bidi="ar-SA"/>
          </w:rPr>
          <w:t>2008 BCSC 243</w:t>
        </w:r>
      </w:hyperlink>
      <w:r>
        <w:rPr>
          <w:rFonts w:ascii="arial" w:eastAsia="arial" w:hAnsi="arial" w:cs="arial"/>
          <w:color w:val="000000"/>
          <w:sz w:val="20"/>
          <w:lang w:val="en-US" w:eastAsia="en-US" w:bidi="ar-SA"/>
        </w:rPr>
        <w:t>) found that there was no spoliation by the hospital because the records had been destroyed in accordance with policy and not for the purposes of suppressing evidence. He also found that there was no notice or even suggestion of a claim until several years after the records had been destroyed. The Court of Appeal agreed that the evidence provided no foundation for any remedy.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this case, the plaintiff seeks an evidentiary presumption in his favour as a result of the defendants' act of destroying his winning betting slips. Mr. Laxton submitted that, given the significance of the alleged error in issuing a cash voucher for $6,553,600, the defendants had an obligation to contact Mr. Patzer before destroying the betting slips in order to determine if he was satisfied with the explanation they had provided to him regarding the cause of the error. Having failed to do that, the subsequent destruction of the only documents that could prove his actual winnings constitutes spoliation for which the only remedy here is the evidentiary presumption that the betting slips would not have been favourable to the defendants. Mr. Laxton pointed out that the betting system is complicated and he submitted that Mr. Patzer could not be expected to remember what bets he made, as he relied on the automated betting machines to determine if he won and if so, the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defendants say that the destruction of the betting slips in this case does not constitute spoliation because this took place in the ordinary course of business and long before Mr. Patzer brought his action. There was no intention to destroy the betting slips in order to suppress the truth. Mr. Katzalay pointed out that the betting slips would have been just as important to the defendants as to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Evidence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Patzer first mentioned that the defendants had refused to show him his winning betting slips in his affidavit of March 11, 2007. He did not provide any more information than that. He was asked about this issue during his examination for discovery on May 24, 2007. He said only that when he asked to see the winning tickets, the person he spoke to did not say anything. He could not identify that person. Mr. Patzer made a similar allegation in his affidavit of June 27, 2007 but this time he also alleged that the defendants were negligent for failing to show him the winning tickets as well as other wagering records relating to simulcast racing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August 2007, Mr. Patzer sought production of a number of documents, including all of the betting slips retained by the particular automated machine he had used on November 6, 2006. At that time, the defendants advised him that the slips had not been retained. Madam Justice Boyd ordered the defendants to provide an affidavit outlining the history of the recovery of the betting slips, their comparison with the cash voucher and their disposal. On December 17, 2007, George Ackerman deposed to these matters. He stated that he was not directly involved on November 6, 2004 and was not aware precisely how the remainder of the betting slips from the particular window were dealt with. He described the standard practice at Hastings Park where betting slips are purged from each automatic betting machine on a weekly or bi-weekly basis and then sent out for recycling.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evidence does not establish to whom Mr. Patzer spoke on November 6,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It was not until September 8, 2009 that Mr. Patzer deposed to more details about this issue. Paragraph 21 of this affidavit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gentleman (whom I did not recognize) came outside and told me that they would not cash my voucher. This would have been around 2:00 or 2:30 p.m. on November 6, 2004. I told him that I wanted to see my winning tickets which the machine had kept. I told him that I want to review my winning tickets manually. All my tickets would have a crease on them; all my tickets were from simulcast races. He said I can't show you your winning tickets; they are locked up underneath the machine. The defendants have admitted destroying my winning tickets. He also brought with him "win 4"; a losing ticket insisting it was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defendants have not answered this specific allegation. Mr. Laxton argued that I must accept Mr. Patzer's evidence about this in light of Mr. Ackerman's failure to deny that it was true. Mr. Katzalay pointed out how Mr. Patzer's evidence on this issue had evolved and that, at least until trial, it was not part of the claim. He submitted that the defendants acted appropriately on the understanding that Mr. Patzer had appreciated their explanation for the error and he emphasized that the defendants were prejudiced by Mr. Patzer's failure to provide any notice of his intention to bring an action until two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my view, it would be unfair to accept all of Mr. Patzer's evidence on this issue simply because Mr. Ackerman did not deny that it was true. Mr. Ackerman was apparently not the person who spoke to Mr. Patzer about the winning betting slips. Mr. Patzer does not know who that person was. Moreover, it is curious that Mr. Patzer was only able to provide details of the evidence relating to what is now his central issue in September 2009, almost three years after this action was commenced and over two years after the evidence was initially gathered in affidavit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only findings that are open to me on the evidence in this summary trial are that on November 6, 2004, Mr. Patzer made a request to someone to see the winning betting slips but this request was refused and he did not follow up that request with any other person at any other time. The evidence does not clearly explain why that request was denied. It is clear, however, that the winning betting slips would be important evidence not only for Mr. Patzer, but also for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defendants did not take steps to definitively determine the cause of the error, but they did act quickly in checking the terminal used by Mr. Patzer. The information Mr. Banks obtained from his examination of the betting slips did provide an explanation for the error. Mr. Patzer did not indicate to any of the defendants' representatives with whom he spoke on November 6 or 7, 2004 that he was not satisfied with that explanation. While the documents were destroyed within a week following the incident, the defendants were not then aware that litigation was being contemplated and there is no evidence that Mr. Patzer was contemplating litigation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While perhaps it may have been prudent for the defendants to have contacted Mr. Patzer before the betting slips were destroyed, I cannot accede to Mr. Laxton's submission that they had a positive duty to do so. I appreciate that the error of issuing a cash voucher for such a large amount of money is significant. I accept that Mr. Patzer asked to see his betting slips on November 6, 2004 but he did not follow up this request further. More importantly, if Mr. Patzer was not satisfied with the explanation he had been given, he should have advised the defendants. They would then have been at least put on notice that the matter had not been put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my view, the circumstances in this case are similar to those in </w:t>
      </w:r>
      <w:r>
        <w:rPr>
          <w:rFonts w:ascii="arial" w:eastAsia="arial" w:hAnsi="arial" w:cs="arial"/>
          <w:i/>
          <w:color w:val="000000"/>
          <w:sz w:val="20"/>
          <w:lang w:val="en-US" w:eastAsia="en-US" w:bidi="ar-SA"/>
        </w:rPr>
        <w:t>Holland.</w:t>
      </w:r>
      <w:r>
        <w:rPr>
          <w:rFonts w:ascii="arial" w:eastAsia="arial" w:hAnsi="arial" w:cs="arial"/>
          <w:color w:val="000000"/>
          <w:sz w:val="20"/>
          <w:lang w:val="en-US" w:eastAsia="en-US" w:bidi="ar-SA"/>
        </w:rPr>
        <w:t xml:space="preserve"> There, before the plaintiff's records were destroyed, litigation was neither threatened nor reasonably apprehended by the defendants and the circumstances surrounding the destruction of the records did not support an inference that they were destroyed fraudulently or with the intent of defeating a claim. The time frames in that case were significantly longer, but otherwise the same can be said in respect of the circumstances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Here, the slips were destroyed in the ordinary course of business before the defendants were aware that Mr. Patzer was considering litigation or even challenging their explanation for the error. While it is unfortunate that they were destroyed so soon after the event, the defendants did not intentionally destroy the winning betting slips in an effort to suppress the truth. Accordingly, there is no basis to apply the doctrine of spoliation.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As there is no common law duty to preserve property which may possibly be required for evidentiary purposes and given these findings, the plaintiff's claim based on the defendants' destruction of the betting slips must fail.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Is the plaintiff entitled to judgment on the alternative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plaintiff's alternative claim must rest on the assertion that the defendants breached an obligation by failing to give him his winning betting slips. No authorities were cited to me to support the proposition that the defendants had a duty to do so. However, I agree that where a plaintiff receives a cash voucher apparently issued in error for a large amount of money, the defendants should take immediate steps to determine the reason for the error. These steps may, depending on the circumstances, require the defendants to determine precisely what betting slips the plaintiff had inserted into the terminal. In this case, the defendants took immediate steps to determine why the cash voucher was issued and they provided an explanation that they believed Mr. Patzer accepted. However, given that Mr. Patzer denied that the Win-4 ticket was his, the defendants ought to have shown him his winning tickets. Having said that, their failure to do so does not assist the plaintiff to establish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Laxton's submission that the plaintiff is entitled to judgment on the alternative ground depends on the Court accepting Mr. Patzer's affidavit evidence. He argued that Mr. Patzer's evidence should be accepted unless it is contradicted. He further argued that if I do not accept Mr. Patzer's evidence, the credibility issues that arise require that the matter should go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Patzer's evidence that he had five to ten winning tickets when he used teller window 170534 on November 6, 2004 is contradicted by the Audit Reports, which I have found provide an accurate log of the transactions made on that teller window on that day. As I explained above, I have not accepted Mr. Patzer's evidence about this not because I do not believe him but rather because it is inconsistent with the Audit Reports and is uncertain. This is a circumstance where I am able to find the facts necessary to decide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Audit Reports establish that there were seven payouts (totalling $286.75) for winning betting slips as well as cash vouchers issued before November 6, 2004. As I understand this evidence, the seven payouts included three winning bets for races that were held prior to November 6, 2004 (for a total cash value of $97.90). Mr. Patzer identified none of these wagers as his. Accordingly, there is no basis on the evidence to find that he had any winning wagers.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defendants and third party also emphasized that Mr. Patzer has not been able to identify any race for which he won a wager. Mr. Laxton submitted that Mr. Patzer should have been able to rely on the automated betting terminal to determine what he won and lost, pointing out that the betting system is complex and a patron needs the terminals to calculate the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certainly appreciate how complex this system is. However, it is surprising to me that Mr. Patzer could not identify any of the bets he placed on at least some of the races he identified. A plaintiff must be able to establish a basis for his claim on a balance of probabilities, and in this case, Mr. Patzer has not been able to do so. I say this with no aspersions in the least about Mr. Patzer's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Accordingly, the plaintiff's alternative claim must be dismissed. Given this, there is no need to consider if the issue of damages should go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application of the defendants and third party to dismiss the plaintiff's claim is allowed. The application of the plaintiff for judgment on the alternative claim is dismissed. It is not necessary to consider the alternative submission of the defendant Great Canadian Gaming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Laxton sought special costs against the defendants for what he described as reprehensible conduct, and in the event the plaintiff was not successful, that no costs should be awarded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reprehensible conduct is in relation to allegations against Mr. Patzter which implied that he was dishonest. Mr. Laxton submitted that the assertions by both the defendants and third party that Mr. Patzer was unable to establish that he won any of the wagers that he alleged he made, as well as the defendants' evidence that suggested the cash voucher was a forgery, strongly imply that Mr. Patzer is a liar. He says that such allegations are unfounded and insulting and deserve sanction in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This litigation has been on-going for many years and it is apparent that all parties have been vigorous in their approaches. This is an unfortunate consequence of hard fought disputes. However, I do not agree that the defendants and third party have made any allegations for the purpose of setting out to prove Mr. Patzer a liar. Counsel did not take the position at the summary trial that Mr. Patzer was dishonest but rather sought to show that his evidence was not sufficiently reliable, particularly in light of the inconsistencies with the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note also that the approach of the defendants was considerably more benign than that taken by Mr. Laxton on behalf of the plaintiff. Despite the fact that no allegations of fraud were made in the statement of claim, he persisted in arguing that the defendants had committed fraud by refusing to let Mr. Patzer see his winning betting slips and giving a false statement about why, deliberately destroying the betting slips knowing this would prevent him from proving the amount of his winnings and falsifying the Audit Reports to delete all references to the tickets Mr. Patzer entered into the machine. None of these allegations were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these circumstances, there is no basis to deny the defendants and third party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defendants have also sought special costs but did not fully argue their entitlement. While the plaintiff made a number of unproven allegations of fraud, I do not consider this to constitute reprehensible conduct sufficient to justify special costs, given the hard-fought nature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Costs are therefore awarded to the defendants and third party on the usual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FISHER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73" style="position:absolute;z-index:251871232"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65"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65"/>
      <w:r>
        <w:rPr>
          <w:rFonts w:ascii="arial" w:eastAsia="arial" w:hAnsi="arial" w:cs="arial"/>
          <w:sz w:val="20"/>
          <w:lang w:val="en-US" w:eastAsia="en-US" w:bidi="ar-SA"/>
        </w:rPr>
        <w:tab/>
      </w:r>
      <w:r>
        <w:rPr>
          <w:rFonts w:ascii="arial" w:eastAsia="arial" w:hAnsi="arial" w:cs="arial"/>
          <w:color w:val="6D6E71"/>
          <w:sz w:val="18"/>
          <w:lang w:val="en-US" w:eastAsia="en-US" w:bidi="ar-SA"/>
        </w:rPr>
        <w:t>The defendants adduced evidence from Mr. Linnell that a likely explanation for the error is that "some sort of electro-mechanical glitch or power surge affected the terminal, thereby causing a voucher to be mistakenly printed". Mr. Linnell is not an expert in computer technology. I do not consider this opinion to be within the scope of Mr. Linnell's expertise and I have given it no weight.</w:t>
      </w:r>
    </w:p>
    <w:p>
      <w:pPr>
        <w:spacing w:before="120" w:after="20" w:line="240" w:lineRule="atLeast"/>
        <w:ind w:left="720" w:hanging="360"/>
        <w:jc w:val="both"/>
        <w:rPr>
          <w:rFonts w:ascii="arial" w:eastAsia="arial" w:hAnsi="arial" w:cs="arial"/>
          <w:sz w:val="20"/>
          <w:lang w:val="en-US" w:eastAsia="en-US" w:bidi="ar-SA"/>
        </w:rPr>
      </w:pPr>
      <w:bookmarkStart w:id="66"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66"/>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However, see </w:t>
      </w:r>
      <w:r>
        <w:rPr>
          <w:rFonts w:ascii="arial" w:eastAsia="arial" w:hAnsi="arial" w:cs="arial"/>
          <w:i/>
          <w:color w:val="6D6E71"/>
          <w:sz w:val="18"/>
          <w:lang w:val="en-US" w:eastAsia="en-US" w:bidi="ar-SA"/>
        </w:rPr>
        <w:t>Holland v. Marshall</w:t>
      </w:r>
      <w:r>
        <w:rPr>
          <w:rFonts w:ascii="arial" w:eastAsia="arial" w:hAnsi="arial" w:cs="arial"/>
          <w:color w:val="6D6E71"/>
          <w:sz w:val="18"/>
          <w:lang w:val="en-US" w:eastAsia="en-US" w:bidi="ar-SA"/>
        </w:rPr>
        <w:t xml:space="preserve">, </w:t>
      </w:r>
      <w:hyperlink r:id="rId183" w:history="1">
        <w:r>
          <w:rPr>
            <w:rFonts w:ascii="arial" w:eastAsia="arial" w:hAnsi="arial" w:cs="arial"/>
            <w:i/>
            <w:color w:val="0077CC"/>
            <w:sz w:val="18"/>
            <w:u w:val="single"/>
            <w:shd w:val="clear" w:color="auto" w:fill="FFFFFF"/>
            <w:lang w:val="en-US" w:eastAsia="en-US" w:bidi="ar-SA"/>
          </w:rPr>
          <w:t>2008 BCCA 468</w:t>
        </w:r>
      </w:hyperlink>
      <w:r>
        <w:rPr>
          <w:rFonts w:ascii="arial" w:eastAsia="arial" w:hAnsi="arial" w:cs="arial"/>
          <w:color w:val="6D6E71"/>
          <w:sz w:val="18"/>
          <w:lang w:val="en-US" w:eastAsia="en-US" w:bidi="ar-SA"/>
        </w:rPr>
        <w:t xml:space="preserve"> at paras. 67-73, where the Court of Appeal discussed, but did not decide, whether an independent tort of spoliation can or should be recognized in British Columbia.</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4" style="position:absolute;z-index:2519070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Pope &amp; Talbot Ltd. v. British Columbia, [2009] B.C.J. No. 2492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S076442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2492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1715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3389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183 A.C.W.S. (3d) 258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Pope &amp; Talbot Ltd., Appellant, and Her Majesty the Queen in Right of the Province of British Columbia and Forest Appeals Commission, Respondent, and Forest Practices Board, Intervenor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5"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7" w:name="Keywords_9"/>
      <w:bookmarkEnd w:id="67"/>
      <w:r>
        <w:rPr>
          <w:rFonts w:ascii="arial" w:eastAsia="arial" w:hAnsi="arial" w:cs="arial"/>
          <w:b/>
          <w:color w:val="000000"/>
          <w:sz w:val="20"/>
          <w:lang w:val="en-US" w:eastAsia="en-US" w:bidi="ar-SA"/>
        </w:rPr>
        <w:t>Criminal law — Regulatory offences — Defences — Due diligence — Appeal by Pope &amp; Talbot from decision of Forest Appeals Commission finding that defence of due diligence was not made out dismissed — Appellant found guilty under Forest Practices Code after a subcontractor clear cut an area that was to be selectively logged — Commission found appellant's Environmental Management System inadequate and that appellant should have paid more attention to marking reserve areas — Commission correctly considered foreseeabilty in its application of due diligence defence — Finding that appellant did not take all reasonable steps to prevent the contravention was supported by the evidence.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Natural resources law — Forestry and timber — Offences and penalties — Appeal by Pope &amp; Talbot from decision of Forest Appeals Commission finding that defence of due diligence was not made out dismissed — Appellant found guilty under Forest Practices Code after a subcontractor clear cut an area that was to be selectively logged — Commission found appellant's Environmental Management System inadequate and that appellant should have paid more attention to marking reserve areas — Commission correctly considered foreseeabilty in its application of due diligence defence — Finding that appellant did not take all reasonable steps to prevent the contravention was supported by the evidence.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8" w:name="Case Summary_7"/>
            <w:bookmarkEnd w:id="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Pope &amp; Talbot from a decision of the Forest Appeals Commission finding that the defence of due diligence was not made out. The appellant, a licencee of logging rights was found guilty under the Forest Range Practices Act. The appellant had a contractor carry out the logging. The contractor retained a falling subcontractor who cut the trees. The falling subcontractor clear cut an area that was to be selectively logged. This contravened the silviculture prescription and s. 67(1) of the Forest Practices Code of British Columbia Act. The appellant governed the conduct of the operations under an Environmental Management System. Prior to the logging work, the appellant held a pre-work meeting on site with its harvesting superintendent, the logging contractor and the falling subcontractor. A second pre-work meeting that was to take place at the contractor's call did not take place. The appellant argued that it was duly diligent and the error was entirely the responsibility of the contractor and sub-contractor. It argued that the contravention was committed by a subcontractor who ignored the operational plan and acted contrary to express instructions. Since these actions were not reasonably foreseeable, the appellant took reasonable steps to avoid the contravention. The Commission rejected the argument that the appellant could not have foreseen that the falling subcontractor would not follow the verbal instruction to clear only the guy-line areas. The Commission concluded that the appellant's Environmental Management System was inadequate and that the appellant should have paid more attention to marking reserve areas or leave trees and gave too much discretion to its logging supervisory staff, the contractor and the sub-contractor in deciding how to implement the leave tree requirements.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9" w:name="Holdings of Court_6"/>
            <w:bookmarkEnd w:id="69"/>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Commission applied the correct test of foreseeability in considering the appellant's due diligence defence, although the Commission's existing jurisprudence, as established in Weyerhaeuser, interpreting the common law defence of due diligence was an incorrect interpretation of the defence of due diligence. While the Commission addressed foreseeability, it did so by focussing, correctly, on the foreseeability of the contravention that occurred in this case. The Commission's finding that the contravention was reasonably foreseeable was a question of mixed fact and law, which was not a matter that could not be the subject of this appeal. The Commission did not err in law in finding on the evidence that the appellant did not take all reasonable steps to prevent the contravention. There was no misdirection on the law on the issue of reasonable care as it was applied to the facts. There was evidence to support the Commission's findings. The Commission's failure to give the appellant an opportunity to address the issue of marking boundaries was not a breach of the rules of procedural fairness, given the nature of this issue in relation to the overall basis of its decision.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0" w:name="Legislation Cited_7"/>
      <w:bookmarkEnd w:id="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6"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Forest and Range Practices Act, </w:t>
      </w:r>
      <w:hyperlink r:id="rId195" w:history="1">
        <w:r>
          <w:rPr>
            <w:rFonts w:ascii="arial" w:eastAsia="arial" w:hAnsi="arial" w:cs="arial"/>
            <w:i/>
            <w:color w:val="0077CC"/>
            <w:sz w:val="20"/>
            <w:u w:val="single"/>
            <w:shd w:val="clear" w:color="auto" w:fill="FFFFFF"/>
            <w:lang w:val="en-US" w:eastAsia="en-US" w:bidi="ar-SA"/>
          </w:rPr>
          <w:t>SBC 2002, CHAPTER 69, s. 72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Forest Practices Code of British Columbia Act, </w:t>
      </w:r>
      <w:hyperlink r:id="rId196" w:history="1">
        <w:r>
          <w:rPr>
            <w:rFonts w:ascii="arial" w:eastAsia="arial" w:hAnsi="arial" w:cs="arial"/>
            <w:i/>
            <w:color w:val="0077CC"/>
            <w:sz w:val="20"/>
            <w:u w:val="single"/>
            <w:shd w:val="clear" w:color="auto" w:fill="FFFFFF"/>
            <w:lang w:val="en-US" w:eastAsia="en-US" w:bidi="ar-SA"/>
          </w:rPr>
          <w:t>RSBC 1996, CHAPTER 159, s. 67</w:t>
        </w:r>
      </w:hyperlink>
      <w:r>
        <w:rPr>
          <w:rFonts w:ascii="arial" w:eastAsia="arial" w:hAnsi="arial" w:cs="arial"/>
          <w:color w:val="000000"/>
          <w:sz w:val="20"/>
          <w:lang w:val="en-US" w:eastAsia="en-US" w:bidi="ar-SA"/>
        </w:rPr>
        <w:t>(1), s. 141</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appeal from the decision of the Forest Appeals Commission, September 4, 2007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1" w:name="Counsel_9"/>
      <w:bookmarkEnd w:id="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7"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Appellant: S.R. 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Province of British Columbia: A.K. Fraser.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Forest Appeals Commission: M.G. Underhill.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Forest Practices Board: J. Pennington.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2" w:name="Judgment_9"/>
      <w:bookmarkEnd w:id="72"/>
      <w:r>
        <w:pict>
          <v:line id="_x0000_s1078"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3" w:name="B. FISHER J._0"/>
            <w:bookmarkEnd w:id="73"/>
            <w:r>
              <w:rPr>
                <w:rFonts w:ascii="arial" w:eastAsia="arial" w:hAnsi="arial" w:cs="arial"/>
                <w:b/>
                <w:color w:val="000000"/>
                <w:sz w:val="30"/>
                <w:lang w:val="en-US" w:eastAsia="en-US" w:bidi="ar-SA"/>
              </w:rPr>
              <w:t>B. 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appeal from a decision of the Forest Appeals Commission concerning the defence of due diligence to a strict liability offence under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69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Pope &amp; Talbot (P&amp;T) was a licensee under Tree Farm Licence 23 (TFL 23), which granted cutting rights to land in the Arrow Boundary Forest District. Logging was carried out by a subcontractor, Mountain Meadow Contracting Ltd., who in turn retained a falling subcontractor, Gregory Kheller, to cut the trees. The falling subcontractor clear cut an area in the cut block that was to be selectively logged. This contravened the silviculture prescription (SP) and s. 67(1) of the former </w:t>
      </w:r>
      <w:r>
        <w:rPr>
          <w:rFonts w:ascii="arial" w:eastAsia="arial" w:hAnsi="arial" w:cs="arial"/>
          <w:i/>
          <w:color w:val="000000"/>
          <w:sz w:val="20"/>
          <w:lang w:val="en-US" w:eastAsia="en-US" w:bidi="ar-SA"/>
        </w:rPr>
        <w:t>Forest Practices Code of British Columbia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159</w:t>
      </w:r>
      <w:r>
        <w:rPr>
          <w:rFonts w:ascii="arial" w:eastAsia="arial" w:hAnsi="arial" w:cs="arial"/>
          <w:color w:val="000000"/>
          <w:sz w:val="20"/>
          <w:lang w:val="en-US" w:eastAsia="en-US" w:bidi="ar-SA"/>
        </w:rPr>
        <w:t>. Section 67(1) required a person who carries out timber harvesting on Crown forest land to do so in accordance with "any operational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essential facts are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P&amp;T, as the holder of TFL 23, is responsible for all forestry operations in the licence area. P&amp;T governed the conduct of the operations under an Environmental Management System (EMS).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SP for the approved cut block identified harvesting as clear-cut "with reserves," with the objective of leaving a specified volume of "leave trees" to accommodate heli-skiing in the area. On November 13, 2003, P&amp;T held a "pre-work" meeting on site with its harvesting superintendent, the logging contractor and Mr. Kheller, in accordance with the EMS. A second pre-work meeting was to take place at the contractor's call after "guy-line" clearing had been done. The guy-line clearing was an access area where no reserves were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second pre-work meeting did not take place. Mr. Kheller began work on the cut block on November 17. On November 24, P&amp;T's logging supervisor inspected the block and discovered that Mr. Kheller had clear-cut an area without leaving any reserves. Mr. Kheller later admitted that he made a mistake in continuing to clear-cut after clearing the guy-line area and without thinking about the reserve tree prescription.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May 2, 2005, the District Manager found that P&amp;T, the contractor and the falling subcontractor contravened s. 67(1) and levied a penalty of $1,000, 60% to P&amp;T and 40% to the contractor. There is no dispute that the clear cutting in the block in question contravened an approved operational plan and s. 67(1).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P&amp;T appealed the Manager's decision to the Forest Appeals Commission on the basis that it was duly diligent and the error was entirely the responsibility of the contractor and sub-contractor. It argued that the contravention was committed by a subcontractor who ignored the operational plan and acted contrary to express instructions. Since these actions were not reasonably foreseeable, P&amp;T took reasonable steps to avoid the contravention. The Commission rejected P&amp;T's argument, determined that P&amp;T was not duly diligent, and dismissed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P&amp;T now appeals to this court under s. 141 of the </w:t>
      </w:r>
      <w:r>
        <w:rPr>
          <w:rFonts w:ascii="arial" w:eastAsia="arial" w:hAnsi="arial" w:cs="arial"/>
          <w:i/>
          <w:color w:val="000000"/>
          <w:sz w:val="20"/>
          <w:lang w:val="en-US" w:eastAsia="en-US" w:bidi="ar-SA"/>
        </w:rPr>
        <w:t>Forest Practices Code</w:t>
      </w:r>
      <w:r>
        <w:rPr>
          <w:rFonts w:ascii="arial" w:eastAsia="arial" w:hAnsi="arial" w:cs="arial"/>
          <w:color w:val="000000"/>
          <w:sz w:val="20"/>
          <w:lang w:val="en-US" w:eastAsia="en-US" w:bidi="ar-SA"/>
        </w:rPr>
        <w:t>, which permits a party to appeal a decision of the Commission "on a question of law or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Due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common law defence of due diligence has been incorporated into s. 72 of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For the purposes of a determination of the minister under section 71 or 74, no person may be found to have contravened a provision of the Acts if the person establishes that the</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 exercised due diligence to prevent the contravention,</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 reasonably believed in the existence of facts that if true would establish that the person did not contravene the provision, or</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person's actions relevant to the provision were the result of an officially induced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Commission has interpreted this statutory defence in accordance with common law principles, following </w:t>
      </w:r>
      <w:r>
        <w:rPr>
          <w:rFonts w:ascii="arial" w:eastAsia="arial" w:hAnsi="arial" w:cs="arial"/>
          <w:i/>
          <w:color w:val="000000"/>
          <w:sz w:val="20"/>
          <w:lang w:val="en-US" w:eastAsia="en-US" w:bidi="ar-SA"/>
        </w:rPr>
        <w:t>The Queen v. Sault Ste. Marie</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[1978] 2 S.C.R. 1299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MacMillan Bloedel Ltd.</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2002 BCCA 510</w:t>
        </w:r>
      </w:hyperlink>
      <w:r>
        <w:rPr>
          <w:rFonts w:ascii="arial" w:eastAsia="arial" w:hAnsi="arial" w:cs="arial"/>
          <w:color w:val="000000"/>
          <w:sz w:val="20"/>
          <w:lang w:val="en-US" w:eastAsia="en-US" w:bidi="ar-SA"/>
        </w:rPr>
        <w:t xml:space="preserve">. Its leading decision on the application of the defence under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is </w:t>
      </w:r>
      <w:r>
        <w:rPr>
          <w:rFonts w:ascii="arial" w:eastAsia="arial" w:hAnsi="arial" w:cs="arial"/>
          <w:i/>
          <w:color w:val="000000"/>
          <w:sz w:val="20"/>
          <w:lang w:val="en-US" w:eastAsia="en-US" w:bidi="ar-SA"/>
        </w:rPr>
        <w:t>Weyerhaeuser v. The Government of British Columbia</w:t>
      </w:r>
      <w:r>
        <w:rPr>
          <w:rFonts w:ascii="arial" w:eastAsia="arial" w:hAnsi="arial" w:cs="arial"/>
          <w:color w:val="000000"/>
          <w:sz w:val="20"/>
          <w:lang w:val="en-US" w:eastAsia="en-US" w:bidi="ar-SA"/>
        </w:rPr>
        <w:t xml:space="preserve"> (Decision No. 2004-FOR-005(b), January 17, 2006). The Commission has applied the interpretation in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 xml:space="preserve"> in subsequent decisions, including the decision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Sault Ste. Marie</w:t>
      </w:r>
      <w:r>
        <w:rPr>
          <w:rFonts w:ascii="arial" w:eastAsia="arial" w:hAnsi="arial" w:cs="arial"/>
          <w:color w:val="000000"/>
          <w:sz w:val="20"/>
          <w:lang w:val="en-US" w:eastAsia="en-US" w:bidi="ar-SA"/>
        </w:rPr>
        <w:t xml:space="preserve"> established "strict liability offences" as offences where the doing of the prohibited act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imports the offence but the accused may avoid liability by proving that he took all reasonable care. At p. 1326, Dickson J. (as he then was) set out the defence of due diligence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defence will be available if the accused reasonably believed in a mistaken set of facts which, if true, would render the act or omission innocent, or if he took all reasonable steps to avoid the particular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MacMillan Bloedel</w:t>
      </w:r>
      <w:r>
        <w:rPr>
          <w:rFonts w:ascii="arial" w:eastAsia="arial" w:hAnsi="arial" w:cs="arial"/>
          <w:color w:val="000000"/>
          <w:sz w:val="20"/>
          <w:lang w:val="en-US" w:eastAsia="en-US" w:bidi="ar-SA"/>
        </w:rPr>
        <w:t xml:space="preserve">, a majority of the B.C. Court of Appeal concluded that the company had established the defence of due diligence on the basis of a mistaken set of facts. The court described the defence, as set out in the above passage from </w:t>
      </w:r>
      <w:r>
        <w:rPr>
          <w:rFonts w:ascii="arial" w:eastAsia="arial" w:hAnsi="arial" w:cs="arial"/>
          <w:i/>
          <w:color w:val="000000"/>
          <w:sz w:val="20"/>
          <w:lang w:val="en-US" w:eastAsia="en-US" w:bidi="ar-SA"/>
        </w:rPr>
        <w:t>Sault Ste. Marie</w:t>
      </w:r>
      <w:r>
        <w:rPr>
          <w:rFonts w:ascii="arial" w:eastAsia="arial" w:hAnsi="arial" w:cs="arial"/>
          <w:color w:val="000000"/>
          <w:sz w:val="20"/>
          <w:lang w:val="en-US" w:eastAsia="en-US" w:bidi="ar-SA"/>
        </w:rPr>
        <w:t>, as having two alternative branches: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 The first applies when the accused can establish that he did not know and could not reasonably have known of the existence of the hazard. The second applies when the accused knew or ought to have known of the hazard. In that case, the accused may escape liability by establishing that he took reasonable care to avoid the "particular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Commission's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this case, the Commission applied a test for establishing the defence of due diligence as set out in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Panel must ask itself: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event was reasonably foreseeable;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did [the company] take all reasonable care to establish a defence of due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respect to the first branch of this test, the Commission found that it was reasonably foreseeable that there could be difficulties recognizing the boundaries between the areas to be clear-cut and the areas to be selectively cut in the cut block. It also found that there is "always a risk that harvesting may deviate from operational plans and, in this case, that risk was higher than usual because the cut block had an extremely complicated SP." It specifically rejected P&amp;T's argument that it could not have foreseen that Mr. Kheller would not follow the verbal instruction to clear only the guy-line areas. It concluded that "[s]uch an outcome was foreseeable and could have been prevented with greater effort to mark the limits of the guy-line clearances."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With respect to the second branch of this test, the Commission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context of a licensee who engages a contractor whose acts or omissions result in a contravention, the test applied by the Supreme Court of Canada in </w:t>
      </w:r>
      <w:r>
        <w:rPr>
          <w:rFonts w:ascii="arial" w:eastAsia="arial" w:hAnsi="arial" w:cs="arial"/>
          <w:i/>
          <w:color w:val="000000"/>
          <w:sz w:val="20"/>
          <w:lang w:val="en-US" w:eastAsia="en-US" w:bidi="ar-SA"/>
        </w:rPr>
        <w:t>R. v. City of Sault Ste. Marie</w:t>
      </w:r>
      <w:r>
        <w:rPr>
          <w:rFonts w:ascii="arial" w:eastAsia="arial" w:hAnsi="arial" w:cs="arial"/>
          <w:color w:val="000000"/>
          <w:sz w:val="20"/>
          <w:lang w:val="en-US" w:eastAsia="en-US" w:bidi="ar-SA"/>
        </w:rPr>
        <w:t xml:space="preserve"> requires the licensee to demonstrate that: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took place without the licensee's direction or approval;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licensee exercised all reasonable care by taking all reasonable steps to ensure that the contravention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not clear if the Commission found that the act took place without P&amp;T's direction or approval. It acknowledged that P&amp;T followed its EMS procedures for a pre-work meeting with the contractor and sub-contractor, that Mr. Kheller was instructed on the falling requirements for the block and that P&amp;T did not know that the second pre-work meeting did not take place. It then found that P&amp;T relied on its contractor to schedule the second pre-work meeting and to ensure that the sub-contractor followed the SP.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clear, however, that the Commission found that P&amp;T did not take all reasonable steps to ensure that the contravention did not occur. While it found no "no observable lapse from the EMS, as designed", it concluded that the EMS was inadequate. It found that P&amp;T should have paid more attention to marking reserve areas or leave trees and gave too much discretion to its logging supervisory staff, the contractor and the sub-contractor in deciding how to implement the leave tree requirements of the SP. In giving the contractor the responsibility to make these decisions without any clearance area boundary layout or leave tree markings, P&amp;T "set up the circumstances which led to the contravention". The Commission concluded that the collective efforts of P&amp;T were deficient.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P&amp;T appeals on the basis of what it submits are the following errors of law:</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Commission did not apply the correct test of foreseeability in considering P&amp;T's due diligence defence.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Commission found facts not in evidence, failed to consider relevant facts and took irrelevant facts into account in finding that P&amp;T failed to take all reasonable steps to prevent the contravention.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Commission breached the rules of procedural fairness by failing to give P&amp;T an opportunity to be heard on the question of whether marking the guy-line clearance boundaries was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Both the Crown and the Commission do not take issue with this characterization of the issues, but submit that when the issues are properly analyzed, P&amp;T's true grounds of appeal constitute errors of mixed fact and law, which are not properly the subject of appeal under s. 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its written argument, the Crown submitted that this appeal does not raise any question on the standard of review because the legislation defines the correct approach to the appeal. At the hearing, Mr. Fraser conceded that the standard of review was relevant, but suggested that the appeal provision defined that standard as one of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P&amp;T submitted that the appropriate standard of review in this case is correctness, the most significant factors being the scope of the appeal provision and the nature of the alleged errors of law, which relate to the interpretation and application of the common law defence of due diligence. Mr. Wells argued that the proper interpretation of the common law defence to strict liability offences in administrative proceedings is of importance to the legal system as a whole and outside the specialized expertise of the Commission. He also argued that errors of law based on the improper consideration of evidence are not related to the expertise of the tribunal. Therefore, no deference should be given to the Commission's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Commission takes the position that the appropriate standard of review is reasonableness, considering that the common law defence has been codified in the legislation and the tribunal is assumed to have expertise in its application. Mr. Underhill submitted that the recent jurisprudence, as established in </w:t>
      </w:r>
      <w:r>
        <w:rPr>
          <w:rFonts w:ascii="arial" w:eastAsia="arial" w:hAnsi="arial" w:cs="arial"/>
          <w:i/>
          <w:color w:val="000000"/>
          <w:sz w:val="20"/>
          <w:lang w:val="en-US" w:eastAsia="en-US" w:bidi="ar-SA"/>
        </w:rPr>
        <w:t>Dunsmuir v. New Brunswick</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[2008] 1 S.C.R. 190</w:t>
        </w:r>
      </w:hyperlink>
      <w:r>
        <w:rPr>
          <w:rFonts w:ascii="arial" w:eastAsia="arial" w:hAnsi="arial" w:cs="arial"/>
          <w:color w:val="000000"/>
          <w:sz w:val="20"/>
          <w:lang w:val="en-US" w:eastAsia="en-US" w:bidi="ar-SA"/>
        </w:rPr>
        <w:t>, accords deference to the decisions of tribunals on questions of law that involve interpreting provisions in the statutory scheme under which they operate. He also submitted that the limited right of appeal in s. 141, on questions of law or jurisdiction, suggests that some deference may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standard of review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An analysis of the standard of review addresses the extent to which this Court extends deference to the decision of the Commission that is under appeal.</w:t>
      </w:r>
      <w:bookmarkStart w:id="74"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74"/>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Traditionally, the standard of review analysis developed for judicial review of decisions of administrative tribunals and there was a difference between judicial review and appellate review. In </w:t>
      </w:r>
      <w:r>
        <w:rPr>
          <w:rFonts w:ascii="arial" w:eastAsia="arial" w:hAnsi="arial" w:cs="arial"/>
          <w:i/>
          <w:color w:val="000000"/>
          <w:sz w:val="20"/>
          <w:lang w:val="en-US" w:eastAsia="en-US" w:bidi="ar-SA"/>
        </w:rPr>
        <w:t>Bell Canada v. C.R.T.C.</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[1989] 1 S.C.R. 1722</w:t>
        </w:r>
      </w:hyperlink>
      <w:r>
        <w:rPr>
          <w:rFonts w:ascii="arial" w:eastAsia="arial" w:hAnsi="arial" w:cs="arial"/>
          <w:color w:val="000000"/>
          <w:sz w:val="20"/>
          <w:lang w:val="en-US" w:eastAsia="en-US" w:bidi="ar-SA"/>
        </w:rPr>
        <w:t xml:space="preserve">, the Court held that a decision which was protected by a privative clause was entitled to "a non-discretionary form of deference" because the legislator intended it to be "final and conclusive". On the other hand, a decision which was subject to appeal was not entitled to deference, unless it was about a matter within the tribunal's area of expertise. In </w:t>
      </w:r>
      <w:r>
        <w:rPr>
          <w:rFonts w:ascii="arial" w:eastAsia="arial" w:hAnsi="arial" w:cs="arial"/>
          <w:i/>
          <w:color w:val="000000"/>
          <w:sz w:val="20"/>
          <w:lang w:val="en-US" w:eastAsia="en-US" w:bidi="ar-SA"/>
        </w:rPr>
        <w:t>Bell Canada</w:t>
      </w:r>
      <w:r>
        <w:rPr>
          <w:rFonts w:ascii="arial" w:eastAsia="arial" w:hAnsi="arial" w:cs="arial"/>
          <w:color w:val="000000"/>
          <w:sz w:val="20"/>
          <w:lang w:val="en-US" w:eastAsia="en-US" w:bidi="ar-SA"/>
        </w:rPr>
        <w:t>, the Court said at p.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trite to say that the jurisdiction of a court on appeal is much broader than the jurisdiction of a court on judicial review. In principle, a court is entitled, on appeal, to disagree with the reasoning of the lower tribunal.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within the context of a statutory appeal from an administrative tribunal, additional consideration must be given to the principle of specialization of duties. Although an appeal tribunal has the right to disagree with the lower tribunal on issues which fall within the scope of the statutory appeal, curial deference should be given to the opinion of the lower tribunal on issues which fall squarely within its area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This principle was reiterated in </w:t>
      </w:r>
      <w:r>
        <w:rPr>
          <w:rFonts w:ascii="arial" w:eastAsia="arial" w:hAnsi="arial" w:cs="arial"/>
          <w:i/>
          <w:color w:val="000000"/>
          <w:sz w:val="20"/>
          <w:lang w:val="en-US" w:eastAsia="en-US" w:bidi="ar-SA"/>
        </w:rPr>
        <w:t>Pezim v. British Columbia (Superintendent of Brokers)</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[1994] 2 S.C.R. 557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Canada (Director of Investigation and Research) v. Southam Inc.</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[1997] 1 S.C.R. 748</w:t>
        </w:r>
      </w:hyperlink>
      <w:r>
        <w:rPr>
          <w:rFonts w:ascii="arial" w:eastAsia="arial" w:hAnsi="arial" w:cs="arial"/>
          <w:color w:val="000000"/>
          <w:sz w:val="20"/>
          <w:lang w:val="en-US" w:eastAsia="en-US" w:bidi="ar-SA"/>
        </w:rPr>
        <w:t xml:space="preserve">. It was in </w:t>
      </w:r>
      <w:r>
        <w:rPr>
          <w:rFonts w:ascii="arial" w:eastAsia="arial" w:hAnsi="arial" w:cs="arial"/>
          <w:i/>
          <w:color w:val="000000"/>
          <w:sz w:val="20"/>
          <w:lang w:val="en-US" w:eastAsia="en-US" w:bidi="ar-SA"/>
        </w:rPr>
        <w:t>Southam</w:t>
      </w:r>
      <w:r>
        <w:rPr>
          <w:rFonts w:ascii="arial" w:eastAsia="arial" w:hAnsi="arial" w:cs="arial"/>
          <w:color w:val="000000"/>
          <w:sz w:val="20"/>
          <w:lang w:val="en-US" w:eastAsia="en-US" w:bidi="ar-SA"/>
        </w:rPr>
        <w:t xml:space="preserve"> that the Court developed the reasonableness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standard, in an effort to address the level of deference to be accorded in an appeal from the decision of a specialized tribunal on a question of law that was within the tribunal's area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line between judicial review and statutory appeal was removed in </w:t>
      </w:r>
      <w:r>
        <w:rPr>
          <w:rFonts w:ascii="arial" w:eastAsia="arial" w:hAnsi="arial" w:cs="arial"/>
          <w:i/>
          <w:color w:val="000000"/>
          <w:sz w:val="20"/>
          <w:lang w:val="en-US" w:eastAsia="en-US" w:bidi="ar-SA"/>
        </w:rPr>
        <w:t>Dr. Q. v. College of Physicians and Surgeons of British Columbia</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[2003] 1 S.C.R. 226</w:t>
        </w:r>
      </w:hyperlink>
      <w:r>
        <w:rPr>
          <w:rFonts w:ascii="arial" w:eastAsia="arial" w:hAnsi="arial" w:cs="arial"/>
          <w:color w:val="000000"/>
          <w:sz w:val="20"/>
          <w:lang w:val="en-US" w:eastAsia="en-US" w:bidi="ar-SA"/>
        </w:rPr>
        <w:t>, where Chief Justice McLachlin said this for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The term "judicial review" embraces review of administrative decisions by way of both application for judicial review and statutory rights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However, a statutory right of appeal is a factor that suggests a "more searching standard of review": </w:t>
      </w:r>
      <w:r>
        <w:rPr>
          <w:rFonts w:ascii="arial" w:eastAsia="arial" w:hAnsi="arial" w:cs="arial"/>
          <w:i/>
          <w:color w:val="000000"/>
          <w:sz w:val="20"/>
          <w:lang w:val="en-US" w:eastAsia="en-US" w:bidi="ar-SA"/>
        </w:rPr>
        <w:t>Southam</w:t>
      </w:r>
      <w:r>
        <w:rPr>
          <w:rFonts w:ascii="arial" w:eastAsia="arial" w:hAnsi="arial" w:cs="arial"/>
          <w:color w:val="000000"/>
          <w:sz w:val="20"/>
          <w:lang w:val="en-US" w:eastAsia="en-US" w:bidi="ar-SA"/>
        </w:rPr>
        <w:t xml:space="preserve"> at para. 46, </w:t>
      </w:r>
      <w:r>
        <w:rPr>
          <w:rFonts w:ascii="arial" w:eastAsia="arial" w:hAnsi="arial" w:cs="arial"/>
          <w:i/>
          <w:color w:val="000000"/>
          <w:sz w:val="20"/>
          <w:lang w:val="en-US" w:eastAsia="en-US" w:bidi="ar-SA"/>
        </w:rPr>
        <w:t>Pushpanathan v. Canada (Minister of Citizenship and Immigration)</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[1998] 1 S.C.R. 982</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Dr. Q</w:t>
      </w:r>
      <w:r>
        <w:rPr>
          <w:rFonts w:ascii="arial" w:eastAsia="arial" w:hAnsi="arial" w:cs="arial"/>
          <w:color w:val="000000"/>
          <w:sz w:val="20"/>
          <w:lang w:val="en-US" w:eastAsia="en-US" w:bidi="ar-SA"/>
        </w:rPr>
        <w:t xml:space="preserve"> at para. 27. More recently, in </w:t>
      </w:r>
      <w:r>
        <w:rPr>
          <w:rFonts w:ascii="arial" w:eastAsia="arial" w:hAnsi="arial" w:cs="arial"/>
          <w:i/>
          <w:color w:val="000000"/>
          <w:sz w:val="20"/>
          <w:lang w:val="en-US" w:eastAsia="en-US" w:bidi="ar-SA"/>
        </w:rPr>
        <w:t>Canada (Citizenship and Immigration) v. Khosa</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[2009] 1 S.C.R. 339</w:t>
        </w:r>
      </w:hyperlink>
      <w:r>
        <w:rPr>
          <w:rFonts w:ascii="arial" w:eastAsia="arial" w:hAnsi="arial" w:cs="arial"/>
          <w:color w:val="000000"/>
          <w:sz w:val="20"/>
          <w:lang w:val="en-US" w:eastAsia="en-US" w:bidi="ar-SA"/>
        </w:rPr>
        <w:t>, Binnie J. stated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A privative clause is an important indicator of legislative intent. While privative clauses deter judicial intervention, a statutory right of appeal may be at ease with it, depending on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the Supreme Court of Canada altered the standard of review analysis by eliminating the distinction between "patent unreasonableness" and "reasonableness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and establishing a framework for determining whether the applicable standard in any given case is correctness or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standard of reasonableness contemplates the possibility of more than one reasonable conclusion. The majority of the Court in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explained this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Reasonableness is a deferential standard animated by the principle that underlies the development of the two previous standards of reasonableness: certain questions that come before administrative tribunals do not lend themselves to one specific, particular result. Instead, they may give rise to a number of possible, reasonable conclusions. Tribunals have a margin of appreciation within the range of acceptable and rational solutions. A court conducting a review for reasonableness inquires into the qualities that make a decision reasonable, referring both to the process of articulating the reasons and to outcomes. In judicial review, reasonableness is concerned mostly with the existence of justification, transparency and intelligibility within the decision-making process. But it is also concerned with whether the decision falls within a range of possible, acceptable outcomes which are defensible in respect of the facts and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Binnie J., for the majority, expanded on the reasonableness standard in </w:t>
      </w:r>
      <w:r>
        <w:rPr>
          <w:rFonts w:ascii="arial" w:eastAsia="arial" w:hAnsi="arial" w:cs="arial"/>
          <w:i/>
          <w:color w:val="000000"/>
          <w:sz w:val="20"/>
          <w:lang w:val="en-US" w:eastAsia="en-US" w:bidi="ar-SA"/>
        </w:rPr>
        <w:t>Khosa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Reasonableness is a single standard that takes its colour from the context. One of the objectives of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was to liberate judicial review courts from what came to be seen as undue complexity and formalism. Where the reasonableness standard applies, it requires deference. Reviewing courts cannot substitute their own appreciation of the appropriate solution, but must rather determine if the outcome falls within "a range of possible, acceptable outcomes which are defensible in respect of the facts and law"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at para. 47). There might be more than one reasonable outcome. However, as long as the process and the outcome fit comfortably with the principles of justification, transparency and intelligibility, it is not open to a reviewing court to substitute its own view of a preferable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standard of correctness is not deferential. The reviewing court undertakes its own analysis in order to determine if the decision was correct. At para. 50 of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 The analysis will bring the court to decide whether it agrees with the determination of the decision maker; if not, the court will substitute its own view and provide the correct answer. From the outset, the court must ask whether the tribunal's decision was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Correctness is to be applied where the question is one of general law "that is both of central importance to the legal system as a whole and outside the adjudicator's specialized area of expertise" because such questions require uniform and consistent answers: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at para.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There is a two-stage process to determine which standard applies. The first stage is to ascertain whether the jurisprudence has already determined in a satisfactory manner the degree of deference to be accorded with regard to the particular category of question. At para. 54 of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Guidance with regard to the questions that will be reviewed on a reasonableness standard can be found in the existing case law. Deference will usually result where a tribunal is interpreting its own statute or statutes closely connected to its function, with which it will have particular familiarity: </w:t>
      </w:r>
      <w:r>
        <w:rPr>
          <w:rFonts w:ascii="arial" w:eastAsia="arial" w:hAnsi="arial" w:cs="arial"/>
          <w:i/>
          <w:color w:val="000000"/>
          <w:sz w:val="20"/>
          <w:lang w:val="en-US" w:eastAsia="en-US" w:bidi="ar-SA"/>
        </w:rPr>
        <w:t>Canadian Broadcasting Corp. v. Canada (Labour Relations Board)</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[1995] 1 S.C.R. 157</w:t>
        </w:r>
      </w:hyperlink>
      <w:r>
        <w:rPr>
          <w:rFonts w:ascii="arial" w:eastAsia="arial" w:hAnsi="arial" w:cs="arial"/>
          <w:color w:val="000000"/>
          <w:sz w:val="20"/>
          <w:lang w:val="en-US" w:eastAsia="en-US" w:bidi="ar-SA"/>
        </w:rPr>
        <w:t xml:space="preserve">, at para. 48; </w:t>
      </w:r>
      <w:r>
        <w:rPr>
          <w:rFonts w:ascii="arial" w:eastAsia="arial" w:hAnsi="arial" w:cs="arial"/>
          <w:i/>
          <w:color w:val="000000"/>
          <w:sz w:val="20"/>
          <w:lang w:val="en-US" w:eastAsia="en-US" w:bidi="ar-SA"/>
        </w:rPr>
        <w:t>Toronto (City) Board of Education v. O.S.S.T.F., District 15</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[1997] 1 S.C.R. 487</w:t>
        </w:r>
      </w:hyperlink>
      <w:r>
        <w:rPr>
          <w:rFonts w:ascii="arial" w:eastAsia="arial" w:hAnsi="arial" w:cs="arial"/>
          <w:color w:val="000000"/>
          <w:sz w:val="20"/>
          <w:lang w:val="en-US" w:eastAsia="en-US" w:bidi="ar-SA"/>
        </w:rPr>
        <w:t xml:space="preserve">, at para. 39. </w:t>
      </w:r>
      <w:r>
        <w:rPr>
          <w:rFonts w:ascii="arial" w:eastAsia="arial" w:hAnsi="arial" w:cs="arial"/>
          <w:color w:val="000000"/>
          <w:sz w:val="20"/>
          <w:u w:val="single"/>
          <w:lang w:val="en-US" w:eastAsia="en-US" w:bidi="ar-SA"/>
        </w:rPr>
        <w:t>Deference may also be warranted where an administrative tribunal has developed particular expertise in the application of a general common law or civil law rule in relation to a specific statutory context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Toronto (City) v. C.U.P.E.</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at para. 72. Adjudication in labour law remains a good example of the relevance of this approach. The case law has moved away considerably from the strict position evidenced in </w:t>
      </w:r>
      <w:r>
        <w:rPr>
          <w:rFonts w:ascii="arial" w:eastAsia="arial" w:hAnsi="arial" w:cs="arial"/>
          <w:i/>
          <w:color w:val="000000"/>
          <w:sz w:val="20"/>
          <w:lang w:val="en-US" w:eastAsia="en-US" w:bidi="ar-SA"/>
        </w:rPr>
        <w:t>McLeod v. Egan</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[1975] 1 S.C.R. 517</w:t>
        </w:r>
      </w:hyperlink>
      <w:r>
        <w:rPr>
          <w:rFonts w:ascii="arial" w:eastAsia="arial" w:hAnsi="arial" w:cs="arial"/>
          <w:color w:val="000000"/>
          <w:sz w:val="20"/>
          <w:lang w:val="en-US" w:eastAsia="en-US" w:bidi="ar-SA"/>
        </w:rPr>
        <w:t>, where it was held that an administrative decision maker will always risk having its interpretation of an external statute set aside upon judicial review.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Only where the first stage inquiry proves to be unfruitful is the Court to proceed to the second stage analysis of the factors to identify the proper standard of review: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at para. 62. These factors include: (1) the presence or absence of a privative clause; (2) the purpose of the tribunal; (3) the nature of the question; and (4) the expertise of the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Applying the standard of review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1.</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Existing jurisprudence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Existing jurisprudence has not, in my view, determined in a satisfactory manner the degree of deference to be accorded to the Commission in respect of a question about the interpretation of the defence of due diligence, or an error of law based on improper considerations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Deference was accorded to a decision of the Commission as to whether there had been a contravention of a regulation in </w:t>
      </w:r>
      <w:r>
        <w:rPr>
          <w:rFonts w:ascii="arial" w:eastAsia="arial" w:hAnsi="arial" w:cs="arial"/>
          <w:i/>
          <w:color w:val="000000"/>
          <w:sz w:val="20"/>
          <w:lang w:val="en-US" w:eastAsia="en-US" w:bidi="ar-SA"/>
        </w:rPr>
        <w:t>International Forest Products Ltd. v. British Columbia (Forest Appeals Commission)</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[1998] B.C.J. No. 1314</w:t>
        </w:r>
      </w:hyperlink>
      <w:r>
        <w:rPr>
          <w:rFonts w:ascii="arial" w:eastAsia="arial" w:hAnsi="arial" w:cs="arial"/>
          <w:color w:val="000000"/>
          <w:sz w:val="20"/>
          <w:lang w:val="en-US" w:eastAsia="en-US" w:bidi="ar-SA"/>
        </w:rPr>
        <w:t xml:space="preserve"> (S.C.). Bauman J. (as he then was) relied on the jurisprudence of </w:t>
      </w:r>
      <w:r>
        <w:rPr>
          <w:rFonts w:ascii="arial" w:eastAsia="arial" w:hAnsi="arial" w:cs="arial"/>
          <w:i/>
          <w:color w:val="000000"/>
          <w:sz w:val="20"/>
          <w:lang w:val="en-US" w:eastAsia="en-US" w:bidi="ar-SA"/>
        </w:rPr>
        <w:t>Pezim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Southam</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Bell Canada</w:t>
      </w:r>
      <w:r>
        <w:rPr>
          <w:rFonts w:ascii="arial" w:eastAsia="arial" w:hAnsi="arial" w:cs="arial"/>
          <w:color w:val="000000"/>
          <w:sz w:val="20"/>
          <w:lang w:val="en-US" w:eastAsia="en-US" w:bidi="ar-SA"/>
        </w:rPr>
        <w:t xml:space="preserve"> and determined that the question was one at the core of the Commission's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More recently, deference was not accorded to the Commission in </w:t>
      </w:r>
      <w:r>
        <w:rPr>
          <w:rFonts w:ascii="arial" w:eastAsia="arial" w:hAnsi="arial" w:cs="arial"/>
          <w:i/>
          <w:color w:val="000000"/>
          <w:sz w:val="20"/>
          <w:lang w:val="en-US" w:eastAsia="en-US" w:bidi="ar-SA"/>
        </w:rPr>
        <w:t>Canadian Forest Products Ltd. v. British Columbia</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2009 BCSC 1040</w:t>
        </w:r>
      </w:hyperlink>
      <w:r>
        <w:rPr>
          <w:rFonts w:ascii="arial" w:eastAsia="arial" w:hAnsi="arial" w:cs="arial"/>
          <w:color w:val="000000"/>
          <w:sz w:val="20"/>
          <w:lang w:val="en-US" w:eastAsia="en-US" w:bidi="ar-SA"/>
        </w:rPr>
        <w:t xml:space="preserve">. The decision there involved the interpretation of provisions of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relating to the assessment of stumpage rates and whether a redetermination could be applied retroactively. Groves J. concluded that the question of law did not directly engage the specialized expertise of the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No other decisions were cited regarding the standard of review for questions similar to those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2.</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Analysis of the factors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(a)</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Absence of a privative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lang w:val="en-US" w:eastAsia="en-US" w:bidi="ar-SA"/>
              </w:rPr>
              <w:t>clause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is no privative clause protecting the decisions of the Commission from judicial review. Rather, there is an express right of appeal on questions of law or jurisdiction. Questions of general law, outside the ambit of a tribunal's expertise, are generally reviewed on a correctness standard. In my view, this right of appeal suggests a "more searching standard of review". Clearly, the legislature did not intend to deter judicial intervention in respect of questions of law or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(b)</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Purpose of the tribunal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It is apparent that the Commission's primary purpose is to hear appeals from determinations by forestry officials regarding contraventions of forestry practice. The Commission, which was established and has been continued under the </w:t>
      </w:r>
      <w:r>
        <w:rPr>
          <w:rFonts w:ascii="arial" w:eastAsia="arial" w:hAnsi="arial" w:cs="arial"/>
          <w:i/>
          <w:color w:val="000000"/>
          <w:sz w:val="20"/>
          <w:lang w:val="en-US" w:eastAsia="en-US" w:bidi="ar-SA"/>
        </w:rPr>
        <w:t>Forest Practices Code,</w:t>
      </w:r>
      <w:r>
        <w:rPr>
          <w:rFonts w:ascii="arial" w:eastAsia="arial" w:hAnsi="arial" w:cs="arial"/>
          <w:color w:val="000000"/>
          <w:sz w:val="20"/>
          <w:lang w:val="en-US" w:eastAsia="en-US" w:bidi="ar-SA"/>
        </w:rPr>
        <w:t xml:space="preserve"> has the authority to confirm, vary or rescind the determination, or to refer the matter back to the person who made the determination for reconsideration, with or without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addition to its appeal function, the Commission has a statutory mandate to annually evaluate the manner in which reviews and appeals function, and to make recommendations about amendments to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purpose of the tribunal is necessarily connected to its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(c)</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Nature of the question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my view, the nature of the primary question in this case is a significant factor that points towards a correctness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Commission relied on case law which defined the common law defence of due diligence, and applied a test determined by the Commission itself in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 the Commission interpreted the statutory due diligence defence as applying "in its natural and ordinary sense as defined by the case law". In other words, it considered the defence of due diligence as set out in s. 72 to be the same as the common law defence. Thus the interpretation of the defence of due diligence is a question of general law that is important to the legal system and outside the Commission's specialized area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While the secondary question is somewhat different, I agree with Mr. Wells that an error of law based on finding facts not in evidence, taking irrelevant facts into account, or failing to consider relevant facts, is not generally related to the expertise of the tribunal. A tribunal that assesses evidence in such a manner, resulting in an error of principle, should not generally be accorded deference. However, short of this kind of legal error, the manner in which a specialized tribunal assesses the evidence before it should be reviewed on a standard of reasonableness. In this case, there is no right of appeal for such issues, as they involve questions of mixed fact and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(d)</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Expertise of the tribunal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It is apparent that the Commission is a specialized tribunal in respect of the interpretation and application of various parts of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and other specified legislation in relation to forestry practices. Questions of law within this expertise should be accorded deference.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addition to the authorities referred to at the hearing, counsel for the Commission provided me with a series of Commission decisions in which the defence of due diligence was addressed. With one exception, Commission panels have applied the due diligence test set out in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A&amp;A Fibre Ltd. v. Government of British Columbia</w:t>
      </w:r>
      <w:r>
        <w:rPr>
          <w:rFonts w:ascii="arial" w:eastAsia="arial" w:hAnsi="arial" w:cs="arial"/>
          <w:color w:val="000000"/>
          <w:sz w:val="20"/>
          <w:lang w:val="en-US" w:eastAsia="en-US" w:bidi="ar-SA"/>
        </w:rPr>
        <w:t xml:space="preserve"> (Decision No. 2005-FOR-008(a), April 24, 2007); </w:t>
      </w:r>
      <w:r>
        <w:rPr>
          <w:rFonts w:ascii="arial" w:eastAsia="arial" w:hAnsi="arial" w:cs="arial"/>
          <w:i/>
          <w:color w:val="000000"/>
          <w:sz w:val="20"/>
          <w:lang w:val="en-US" w:eastAsia="en-US" w:bidi="ar-SA"/>
        </w:rPr>
        <w:t>O'Brien v. Government of British Columbia</w:t>
      </w:r>
      <w:r>
        <w:rPr>
          <w:rFonts w:ascii="arial" w:eastAsia="arial" w:hAnsi="arial" w:cs="arial"/>
          <w:color w:val="000000"/>
          <w:sz w:val="20"/>
          <w:lang w:val="en-US" w:eastAsia="en-US" w:bidi="ar-SA"/>
        </w:rPr>
        <w:t xml:space="preserve"> (Decision No. 2005-FOR-014(a), January 12, 2007); </w:t>
      </w:r>
      <w:r>
        <w:rPr>
          <w:rFonts w:ascii="arial" w:eastAsia="arial" w:hAnsi="arial" w:cs="arial"/>
          <w:i/>
          <w:color w:val="000000"/>
          <w:sz w:val="20"/>
          <w:lang w:val="en-US" w:eastAsia="en-US" w:bidi="ar-SA"/>
        </w:rPr>
        <w:t>Hegel v. Government of British Columbia</w:t>
      </w:r>
      <w:r>
        <w:rPr>
          <w:rFonts w:ascii="arial" w:eastAsia="arial" w:hAnsi="arial" w:cs="arial"/>
          <w:color w:val="000000"/>
          <w:sz w:val="20"/>
          <w:lang w:val="en-US" w:eastAsia="en-US" w:bidi="ar-SA"/>
        </w:rPr>
        <w:t xml:space="preserve"> (Decision No. 2005-FOR-009(a), October 12, 2007); appeal dismissed </w:t>
      </w:r>
      <w:hyperlink r:id="rId212" w:history="1">
        <w:r>
          <w:rPr>
            <w:rFonts w:ascii="arial" w:eastAsia="arial" w:hAnsi="arial" w:cs="arial"/>
            <w:i/>
            <w:color w:val="0077CC"/>
            <w:sz w:val="20"/>
            <w:u w:val="single"/>
            <w:shd w:val="clear" w:color="auto" w:fill="FFFFFF"/>
            <w:lang w:val="en-US" w:eastAsia="en-US" w:bidi="ar-SA"/>
          </w:rPr>
          <w:t>2009 BCSC 863</w:t>
        </w:r>
      </w:hyperlink>
      <w:r>
        <w:rPr>
          <w:rFonts w:ascii="arial" w:eastAsia="arial" w:hAnsi="arial" w:cs="arial"/>
          <w:color w:val="000000"/>
          <w:sz w:val="20"/>
          <w:lang w:val="en-US" w:eastAsia="en-US" w:bidi="ar-SA"/>
        </w:rPr>
        <w:t xml:space="preserve">, leave to appeal to C.A. dismissed </w:t>
      </w:r>
      <w:hyperlink r:id="rId213" w:history="1">
        <w:r>
          <w:rPr>
            <w:rFonts w:ascii="arial" w:eastAsia="arial" w:hAnsi="arial" w:cs="arial"/>
            <w:i/>
            <w:color w:val="0077CC"/>
            <w:sz w:val="20"/>
            <w:u w:val="single"/>
            <w:shd w:val="clear" w:color="auto" w:fill="FFFFFF"/>
            <w:lang w:val="en-US" w:eastAsia="en-US" w:bidi="ar-SA"/>
          </w:rPr>
          <w:t>2009 BCCA 527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Miller v. Government of British Columbia</w:t>
      </w:r>
      <w:r>
        <w:rPr>
          <w:rFonts w:ascii="arial" w:eastAsia="arial" w:hAnsi="arial" w:cs="arial"/>
          <w:color w:val="000000"/>
          <w:sz w:val="20"/>
          <w:lang w:val="en-US" w:eastAsia="en-US" w:bidi="ar-SA"/>
        </w:rPr>
        <w:t xml:space="preserve"> (Decision No. 2005-FOR-016(a), December 14, 2007). One decision adopted the interpretation of the common law defence in </w:t>
      </w:r>
      <w:r>
        <w:rPr>
          <w:rFonts w:ascii="arial" w:eastAsia="arial" w:hAnsi="arial" w:cs="arial"/>
          <w:i/>
          <w:color w:val="000000"/>
          <w:sz w:val="20"/>
          <w:lang w:val="en-US" w:eastAsia="en-US" w:bidi="ar-SA"/>
        </w:rPr>
        <w:t>MacMillan Bloedel Ltd.: Kalesnikoff Lumber Co. Ltd. v. Government of British Columbia</w:t>
      </w:r>
      <w:r>
        <w:rPr>
          <w:rFonts w:ascii="arial" w:eastAsia="arial" w:hAnsi="arial" w:cs="arial"/>
          <w:color w:val="000000"/>
          <w:sz w:val="20"/>
          <w:lang w:val="en-US" w:eastAsia="en-US" w:bidi="ar-SA"/>
        </w:rPr>
        <w:t xml:space="preserve"> (Decision No. 2003-FOR-005(b) and 2003-FOR-006(b), August 2,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As the Supreme Court of Canada indicated in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deference may be warranted where the tribunal has developed particular expertise in the application of a general common law rule in relation to a specific statutory context. However, it is my view that the Commission has not developed expertise in the application of the common law defence of due diligence, as most of its decisions have relied on one interpretation of this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Given these factors, I have concluded that correctness is the appropriate standard of review on the question of the Commission's interpretation of the common law defence of due diligence, as well as on the question of whether it considered the evidence in such a manner as to constitute an error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Procedural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third issue raises questions about procedural fairness in the sense of P&amp;T's right to answer the case against it. A consideration of this issue is not based on whether the tribunal's decision was either correct or reasonable. A breach of procedural fairness that results in a lack of due process may result in the tribunal's decision being set aside or having the matter remitted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Did the Commission apply the correct test of foreseeability in considering P&amp;T's due diligence defence?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P&amp;T's position is that the defence of due diligence requires the tribunal to first determine whether the particular event that occurred was reasonably foreseeable, and it is only to assess whether all reasonable care was taken if the event was, in fact,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Mr. Wells submitted that the Commission considered these issues in the context of a contravention generally, rather than a particular event. He says that this approach was incorrect because the Commission was obliged to consider the particular event in this case and identify how it was reasonably foreseeable. He characterized the "particular event" as the fact that Mr. Kheller disobeyed the instructions given. He says that this was not foreseeable. Relying on </w:t>
      </w:r>
      <w:r>
        <w:rPr>
          <w:rFonts w:ascii="arial" w:eastAsia="arial" w:hAnsi="arial" w:cs="arial"/>
          <w:i/>
          <w:color w:val="000000"/>
          <w:sz w:val="20"/>
          <w:lang w:val="en-US" w:eastAsia="en-US" w:bidi="ar-SA"/>
        </w:rPr>
        <w:t>MacMillan Bloedel</w:t>
      </w:r>
      <w:r>
        <w:rPr>
          <w:rFonts w:ascii="arial" w:eastAsia="arial" w:hAnsi="arial" w:cs="arial"/>
          <w:color w:val="000000"/>
          <w:sz w:val="20"/>
          <w:lang w:val="en-US" w:eastAsia="en-US" w:bidi="ar-SA"/>
        </w:rPr>
        <w:t xml:space="preserve"> and its application in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 he submitted that the Commission should not have proceeded to assess whether P&amp;T took all reasonable steps because it could not have done so to prevent the occurrence of an unforeseeable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Crown submitted that this case was properly decided on the second branch of the due diligence test and there was no mistake of fact as in </w:t>
      </w:r>
      <w:r>
        <w:rPr>
          <w:rFonts w:ascii="arial" w:eastAsia="arial" w:hAnsi="arial" w:cs="arial"/>
          <w:i/>
          <w:color w:val="000000"/>
          <w:sz w:val="20"/>
          <w:lang w:val="en-US" w:eastAsia="en-US" w:bidi="ar-SA"/>
        </w:rPr>
        <w:t>MacMillan Bloedel</w:t>
      </w:r>
      <w:r>
        <w:rPr>
          <w:rFonts w:ascii="arial" w:eastAsia="arial" w:hAnsi="arial" w:cs="arial"/>
          <w:color w:val="000000"/>
          <w:sz w:val="20"/>
          <w:lang w:val="en-US" w:eastAsia="en-US" w:bidi="ar-SA"/>
        </w:rPr>
        <w:t>. Mr. Fraser submitted that the "particular event" here is the specific hazard that resulted in the contravention - i.e. the cutting of trees contrary to the SP. He says that the real question was not whether the particular event was foreseeable, but whether P&amp;T collectively took reasonable steps in hiring and supervising contractors and ensuring that they understood the logging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Forest Practices Board made submissions on this issue only. Mr. Pennington submitted that the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 xml:space="preserve"> case was wrongly decided because it stated the wrong test, and this has confused the subsequent application of the defence of due diligence as exemplified in this appeal. He made three points: (1) the "particular event" does not mean a contractor's disregard of instructions, but rather the particular contravention in issue, or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 (2) foreseeability of the particular circumstances leading to the contravention is relevant to the question of whether all reasonable care was taken, but it does not pre-empt that enquiry; and (3) whether or not the actions of the faller were reasonably foreseeable is a question of fact, not law, and is not an issue that can be appealed under s. 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It is my view that the Commission did not wrongly apply a test of foreseeability in considering P&amp;T's defence of due diligence in this case. However, it is also my view that the formulation of the test in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 on which P&amp;T relies, does not accurately reflect the common law or s. 72, and its reiteration in this case (and perhaps others) has caused some confusion. I agree with the submissions of the Forest Practices Board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The Weyerhaeuser decision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It is necessary to consider the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 xml:space="preserve"> decision at some length because P&amp;T's main position is that the Commission in this case ought to have addressed foreseeability on the same basis as the majority panel in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There are, in my opinion, two substantive errors in the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 xml:space="preser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Two branches of the due diligence defence: mistake of fact and reasonable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first error is that the majority panel incorrectly defined the first branch of the defence of due diligence as reasonable foreseeability rather than mistake of fact. It then conflated its interpretation of the two branches of the due diligence defence into s. 72(a) of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Purporting to apply </w:t>
      </w:r>
      <w:r>
        <w:rPr>
          <w:rFonts w:ascii="arial" w:eastAsia="arial" w:hAnsi="arial" w:cs="arial"/>
          <w:i/>
          <w:color w:val="000000"/>
          <w:sz w:val="20"/>
          <w:lang w:val="en-US" w:eastAsia="en-US" w:bidi="ar-SA"/>
        </w:rPr>
        <w:t>MacMillan Bloedel</w:t>
      </w:r>
      <w:r>
        <w:rPr>
          <w:rFonts w:ascii="arial" w:eastAsia="arial" w:hAnsi="arial" w:cs="arial"/>
          <w:color w:val="000000"/>
          <w:sz w:val="20"/>
          <w:lang w:val="en-US" w:eastAsia="en-US" w:bidi="ar-SA"/>
        </w:rPr>
        <w:t>, it set out the test for due diligence under s. 72(a) as: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event was reasonably foreseeable;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if so</w:t>
      </w:r>
      <w:r>
        <w:rPr>
          <w:rFonts w:ascii="arial" w:eastAsia="arial" w:hAnsi="arial" w:cs="arial"/>
          <w:color w:val="000000"/>
          <w:sz w:val="20"/>
          <w:lang w:val="en-US" w:eastAsia="en-US" w:bidi="ar-SA"/>
        </w:rPr>
        <w:t>, did [the company] take all reasonable care to establish a defence of due diligence.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panel found that Weyerhaeuser had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made out a due diligence defence under section 72(a)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under the first branch of the test set out in the case law</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This requires reasonable foreseeability of the event as a condition precedent to a consideration of reasonable care. In my view, this in an incorrect interpretation of </w:t>
      </w:r>
      <w:r>
        <w:rPr>
          <w:rFonts w:ascii="arial" w:eastAsia="arial" w:hAnsi="arial" w:cs="arial"/>
          <w:i/>
          <w:color w:val="000000"/>
          <w:sz w:val="20"/>
          <w:lang w:val="en-US" w:eastAsia="en-US" w:bidi="ar-SA"/>
        </w:rPr>
        <w:t>MacMillan Bloedel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majority of the Court of Appeal in </w:t>
      </w:r>
      <w:r>
        <w:rPr>
          <w:rFonts w:ascii="arial" w:eastAsia="arial" w:hAnsi="arial" w:cs="arial"/>
          <w:i/>
          <w:color w:val="000000"/>
          <w:sz w:val="20"/>
          <w:lang w:val="en-US" w:eastAsia="en-US" w:bidi="ar-SA"/>
        </w:rPr>
        <w:t>MacMillan Bloedel</w:t>
      </w:r>
      <w:r>
        <w:rPr>
          <w:rFonts w:ascii="arial" w:eastAsia="arial" w:hAnsi="arial" w:cs="arial"/>
          <w:color w:val="000000"/>
          <w:sz w:val="20"/>
          <w:lang w:val="en-US" w:eastAsia="en-US" w:bidi="ar-SA"/>
        </w:rPr>
        <w:t xml:space="preserve"> set out the two branches of the due diligence defence as (1) where an accused's conduct is "innocent" as a result of a mistake of fact; and (2) if there is no mistake of fact, where an accused has taken all reasonable steps to avoid the particular event. The first branch of this defence is found in s. 72(b), the second branch in s. 72(a), and each is provided as an alternative. I will repeat these sections here for clarity: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no person may be found to have contravened a provision of the Acts if the person establishes that the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 exercised due diligence to prevent the contravention,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 reasonably believed in the existence of facts that if true would establish that the person did not contravene the provision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Neither </w:t>
      </w:r>
      <w:r>
        <w:rPr>
          <w:rFonts w:ascii="arial" w:eastAsia="arial" w:hAnsi="arial" w:cs="arial"/>
          <w:i/>
          <w:color w:val="000000"/>
          <w:sz w:val="20"/>
          <w:lang w:val="en-US" w:eastAsia="en-US" w:bidi="ar-SA"/>
        </w:rPr>
        <w:t>Sault Ste. Marie</w:t>
      </w:r>
      <w:r>
        <w:rPr>
          <w:rFonts w:ascii="arial" w:eastAsia="arial" w:hAnsi="arial" w:cs="arial"/>
          <w:color w:val="000000"/>
          <w:sz w:val="20"/>
          <w:lang w:val="en-US" w:eastAsia="en-US" w:bidi="ar-SA"/>
        </w:rPr>
        <w:t xml:space="preserve"> nor </w:t>
      </w:r>
      <w:r>
        <w:rPr>
          <w:rFonts w:ascii="arial" w:eastAsia="arial" w:hAnsi="arial" w:cs="arial"/>
          <w:i/>
          <w:color w:val="000000"/>
          <w:sz w:val="20"/>
          <w:lang w:val="en-US" w:eastAsia="en-US" w:bidi="ar-SA"/>
        </w:rPr>
        <w:t>MacMillan Bloedel</w:t>
      </w:r>
      <w:r>
        <w:rPr>
          <w:rFonts w:ascii="arial" w:eastAsia="arial" w:hAnsi="arial" w:cs="arial"/>
          <w:color w:val="000000"/>
          <w:sz w:val="20"/>
          <w:lang w:val="en-US" w:eastAsia="en-US" w:bidi="ar-SA"/>
        </w:rPr>
        <w:t xml:space="preserve"> require reasonable foreseeability of the circumstances giving rise to the contravention before reasonable care is considered within the second branch of the defence. Moreover, s. 72(a) contains no such requirement. In </w:t>
      </w:r>
      <w:r>
        <w:rPr>
          <w:rFonts w:ascii="arial" w:eastAsia="arial" w:hAnsi="arial" w:cs="arial"/>
          <w:i/>
          <w:color w:val="000000"/>
          <w:sz w:val="20"/>
          <w:lang w:val="en-US" w:eastAsia="en-US" w:bidi="ar-SA"/>
        </w:rPr>
        <w:t>MacMillian Bloedel</w:t>
      </w:r>
      <w:r>
        <w:rPr>
          <w:rFonts w:ascii="arial" w:eastAsia="arial" w:hAnsi="arial" w:cs="arial"/>
          <w:color w:val="000000"/>
          <w:sz w:val="20"/>
          <w:lang w:val="en-US" w:eastAsia="en-US" w:bidi="ar-SA"/>
        </w:rPr>
        <w:t>, Smith J.A. simply described the first branch (mistake of fact) as applying "where the accused can establish that he did not know and could not reasonably have known of the existence of the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MacMillan Bloedel</w:t>
      </w:r>
      <w:r>
        <w:rPr>
          <w:rFonts w:ascii="arial" w:eastAsia="arial" w:hAnsi="arial" w:cs="arial"/>
          <w:color w:val="000000"/>
          <w:sz w:val="20"/>
          <w:lang w:val="en-US" w:eastAsia="en-US" w:bidi="ar-SA"/>
        </w:rPr>
        <w:t xml:space="preserve"> involved the defence of due diligence in respect of a charge of unlawfully depositing a deleterious substance in water frequented by fish, contrary to the federal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It was common ground that the company committed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 and that it occurred because of fuel leakage from pipes at its facility. The pipes were found to have deteriorated as a result of an unforeseeable microbiological process. The trial judge had convicted the company despite this finding and after considering the second branch of the defence. Smith J.A., for the majority in the Court of Appeal, held that the trial judge ought to have dismissed the charge on the basis that the company had brought itself within the first branch of the due diligence defence, mistake of fact. He also held that the trial judge erred further in embarking upon a consideration of the second branch because it is an alternative available where an accused cannot bring himself within the first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Weyerhauser,</w:t>
      </w:r>
      <w:r>
        <w:rPr>
          <w:rFonts w:ascii="arial" w:eastAsia="arial" w:hAnsi="arial" w:cs="arial"/>
          <w:color w:val="000000"/>
          <w:sz w:val="20"/>
          <w:lang w:val="en-US" w:eastAsia="en-US" w:bidi="ar-SA"/>
        </w:rPr>
        <w:t xml:space="preserve"> mistake of fact was not in issue. There, the company's supervisors had instructed its contractor to walk the cut block with the falling subcontractor before beginning his work. The contractor did not do this, but instead reviewed the map with the faller. The faller apparently misread his location on the map and cut some trees in the wrong direction and outside the block boundary. The majority panel found that it was not reasonably foreseeable that the contractor would disregard clear instructions and the faller would misread the map and start cutting on the wrong side of the block. On this basis, the Commission did not assess whether the company took all reasonable steps to avoid the contravention and concluded that the defence of due diligence under s. 72(a) had been established. Section 72(b) was not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According to </w:t>
      </w:r>
      <w:r>
        <w:rPr>
          <w:rFonts w:ascii="arial" w:eastAsia="arial" w:hAnsi="arial" w:cs="arial"/>
          <w:i/>
          <w:color w:val="000000"/>
          <w:sz w:val="20"/>
          <w:lang w:val="en-US" w:eastAsia="en-US" w:bidi="ar-SA"/>
        </w:rPr>
        <w:t>Sault Ste. Marie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MacMillan Bloedel</w:t>
      </w:r>
      <w:r>
        <w:rPr>
          <w:rFonts w:ascii="arial" w:eastAsia="arial" w:hAnsi="arial" w:cs="arial"/>
          <w:color w:val="000000"/>
          <w:sz w:val="20"/>
          <w:lang w:val="en-US" w:eastAsia="en-US" w:bidi="ar-SA"/>
        </w:rPr>
        <w:t xml:space="preserve">, the only condition precedent to a consideration of whether an accused took all reasonable care is that he cannot bring himself within the first branch, mistake of fact, which renders his conduct innocent. This does not mean, however, that foreseeability is not a relevant consideration in assessing reasonable care: see, for example, </w:t>
      </w:r>
      <w:r>
        <w:rPr>
          <w:rFonts w:ascii="arial" w:eastAsia="arial" w:hAnsi="arial" w:cs="arial"/>
          <w:i/>
          <w:color w:val="000000"/>
          <w:sz w:val="20"/>
          <w:lang w:val="en-US" w:eastAsia="en-US" w:bidi="ar-SA"/>
        </w:rPr>
        <w:t>R. v. Rio Algom Ltd.</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(1988), 66 O.R. (2d) 674</w:t>
        </w:r>
      </w:hyperlink>
      <w:r>
        <w:rPr>
          <w:rFonts w:ascii="arial" w:eastAsia="arial" w:hAnsi="arial" w:cs="arial"/>
          <w:color w:val="000000"/>
          <w:sz w:val="20"/>
          <w:lang w:val="en-US" w:eastAsia="en-US" w:bidi="ar-SA"/>
        </w:rPr>
        <w:t xml:space="preserve"> (C.A.) at 683. However, requiring foreseeability as a condition precedent to assessing reasonable care is incorrect, as it may pre-empt a proper legal analysis of the due diligence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Closely related to this is the focus of the foreseeability analysis, which is to be considered in the context of the "particular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The "particular event"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second error with the interpretation of the due diligence defence in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 xml:space="preserve"> is the majority's apparent conclusion that due diligence was established under s. 72(a) where the company could not reasonably foresee the </w:t>
      </w:r>
      <w:r>
        <w:rPr>
          <w:rFonts w:ascii="arial" w:eastAsia="arial" w:hAnsi="arial" w:cs="arial"/>
          <w:i/>
          <w:color w:val="000000"/>
          <w:sz w:val="20"/>
          <w:lang w:val="en-US" w:eastAsia="en-US" w:bidi="ar-SA"/>
        </w:rPr>
        <w:t>circumstances that gave rise to the contravention</w:t>
      </w:r>
      <w:r>
        <w:rPr>
          <w:rFonts w:ascii="arial" w:eastAsia="arial" w:hAnsi="arial" w:cs="arial"/>
          <w:color w:val="000000"/>
          <w:sz w:val="20"/>
          <w:lang w:val="en-US" w:eastAsia="en-US" w:bidi="ar-SA"/>
        </w:rPr>
        <w:t>. Although the majority stated that it must first determine whether "the contravention" was reasonably foreseeable, it proceeded to characterize this as the contractor's act of ignoring a specific direction and the faller's confusion about his location in the block, rather than the contravention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my view, this is an incorrect interpretation of what is referred to in </w:t>
      </w:r>
      <w:r>
        <w:rPr>
          <w:rFonts w:ascii="arial" w:eastAsia="arial" w:hAnsi="arial" w:cs="arial"/>
          <w:i/>
          <w:color w:val="000000"/>
          <w:sz w:val="20"/>
          <w:lang w:val="en-US" w:eastAsia="en-US" w:bidi="ar-SA"/>
        </w:rPr>
        <w:t>Sault Ste. Marie</w:t>
      </w:r>
      <w:r>
        <w:rPr>
          <w:rFonts w:ascii="arial" w:eastAsia="arial" w:hAnsi="arial" w:cs="arial"/>
          <w:color w:val="000000"/>
          <w:sz w:val="20"/>
          <w:lang w:val="en-US" w:eastAsia="en-US" w:bidi="ar-SA"/>
        </w:rPr>
        <w:t xml:space="preserve"> as the "particular event". </w:t>
      </w:r>
      <w:r>
        <w:rPr>
          <w:rFonts w:ascii="arial" w:eastAsia="arial" w:hAnsi="arial" w:cs="arial"/>
          <w:i/>
          <w:color w:val="000000"/>
          <w:sz w:val="20"/>
          <w:lang w:val="en-US" w:eastAsia="en-US" w:bidi="ar-SA"/>
        </w:rPr>
        <w:t>Sault Ste. Marie</w:t>
      </w:r>
      <w:r>
        <w:rPr>
          <w:rFonts w:ascii="arial" w:eastAsia="arial" w:hAnsi="arial" w:cs="arial"/>
          <w:color w:val="000000"/>
          <w:sz w:val="20"/>
          <w:lang w:val="en-US" w:eastAsia="en-US" w:bidi="ar-SA"/>
        </w:rPr>
        <w:t xml:space="preserve"> makes it clear that the "particular event" is the contravention itself, not the circumstances that gave rise to it, as shown in these passages: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normal case, the accused alone will have knowledge of what he has done to avoid </w:t>
      </w:r>
      <w:r>
        <w:rPr>
          <w:rFonts w:ascii="arial" w:eastAsia="arial" w:hAnsi="arial" w:cs="arial"/>
          <w:color w:val="000000"/>
          <w:sz w:val="20"/>
          <w:u w:val="single"/>
          <w:lang w:val="en-US" w:eastAsia="en-US" w:bidi="ar-SA"/>
        </w:rPr>
        <w:t>the breach</w:t>
      </w:r>
      <w:r>
        <w:rPr>
          <w:rFonts w:ascii="arial" w:eastAsia="arial" w:hAnsi="arial" w:cs="arial"/>
          <w:color w:val="000000"/>
          <w:sz w:val="20"/>
          <w:lang w:val="en-US" w:eastAsia="en-US" w:bidi="ar-SA"/>
        </w:rPr>
        <w:t xml:space="preserve"> and it is not improper to expect him to come forward with evidence of due diligence. (p. 1325)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an employer is charged in respect of an act committed by an employee acting in the course of employment, the question will be whether the act took place without the accused's direction or approval, thus negating wilful involvement of the accused, and whether the accused exercised all reasonable care by establishing a proper system </w:t>
      </w:r>
      <w:r>
        <w:rPr>
          <w:rFonts w:ascii="arial" w:eastAsia="arial" w:hAnsi="arial" w:cs="arial"/>
          <w:color w:val="000000"/>
          <w:sz w:val="20"/>
          <w:u w:val="single"/>
          <w:lang w:val="en-US" w:eastAsia="en-US" w:bidi="ar-SA"/>
        </w:rPr>
        <w:t>to prevent commission of the offence</w:t>
      </w:r>
      <w:r>
        <w:rPr>
          <w:rFonts w:ascii="arial" w:eastAsia="arial" w:hAnsi="arial" w:cs="arial"/>
          <w:color w:val="000000"/>
          <w:sz w:val="20"/>
          <w:lang w:val="en-US" w:eastAsia="en-US" w:bidi="ar-SA"/>
        </w:rPr>
        <w:t xml:space="preserve"> and by taking reasonable steps to ensure the effective operation of the system. (p. 1331)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MacMillan Bloedel</w:t>
      </w:r>
      <w:r>
        <w:rPr>
          <w:rFonts w:ascii="arial" w:eastAsia="arial" w:hAnsi="arial" w:cs="arial"/>
          <w:color w:val="000000"/>
          <w:sz w:val="20"/>
          <w:lang w:val="en-US" w:eastAsia="en-US" w:bidi="ar-SA"/>
        </w:rPr>
        <w:t xml:space="preserve">, the Court also described the "particular event" as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In this case, that event [the particular event giving rise to the charge] was the discharge of a deleterious substance into Crabapple Creek on May 16,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other words, the particular event in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 xml:space="preserve"> was the unauthorized harvesting of trees, not the contractor's act of ignoring instructions or the faller's confusion.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Whether conduct is "innocent" under the first branch of the common law defence, or whether all reasonable steps were taken under the second branch, must be considered in the context of the "particular event": </w:t>
      </w:r>
      <w:r>
        <w:rPr>
          <w:rFonts w:ascii="arial" w:eastAsia="arial" w:hAnsi="arial" w:cs="arial"/>
          <w:i/>
          <w:color w:val="000000"/>
          <w:sz w:val="20"/>
          <w:lang w:val="en-US" w:eastAsia="en-US" w:bidi="ar-SA"/>
        </w:rPr>
        <w:t>MacMillan Bloedel</w:t>
      </w:r>
      <w:r>
        <w:rPr>
          <w:rFonts w:ascii="arial" w:eastAsia="arial" w:hAnsi="arial" w:cs="arial"/>
          <w:color w:val="000000"/>
          <w:sz w:val="20"/>
          <w:lang w:val="en-US" w:eastAsia="en-US" w:bidi="ar-SA"/>
        </w:rPr>
        <w:t xml:space="preserve">, para. 48. The same focus applies in a foreseeability analysis: </w:t>
      </w:r>
      <w:r>
        <w:rPr>
          <w:rFonts w:ascii="arial" w:eastAsia="arial" w:hAnsi="arial" w:cs="arial"/>
          <w:i/>
          <w:color w:val="000000"/>
          <w:sz w:val="20"/>
          <w:lang w:val="en-US" w:eastAsia="en-US" w:bidi="ar-SA"/>
        </w:rPr>
        <w:t>MacMillan Bloedel</w:t>
      </w:r>
      <w:r>
        <w:rPr>
          <w:rFonts w:ascii="arial" w:eastAsia="arial" w:hAnsi="arial" w:cs="arial"/>
          <w:color w:val="000000"/>
          <w:sz w:val="20"/>
          <w:lang w:val="en-US" w:eastAsia="en-US" w:bidi="ar-SA"/>
        </w:rPr>
        <w:t xml:space="preserve">, para. 53. Accordingly, the proper inquiry under the second branch of the due diligence defence, as codified in s. 72(a), is whether the company took reasonable care to avoid the contravention (there the unauthorized cutting of the trees). Instead, the majority in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 xml:space="preserve"> embarked on an inquiry as to the circumstances that led to the contravention, expressed as follows at p.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what led to the contravention in this case was a decision by one person to disregard clear instructions, and then the operator's confusion about where he was on the cut block and his failure to get out of his machine to confirm his location before he started cutting.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This led the panel to consider whether these </w:t>
      </w:r>
      <w:r>
        <w:rPr>
          <w:rFonts w:ascii="arial" w:eastAsia="arial" w:hAnsi="arial" w:cs="arial"/>
          <w:i/>
          <w:color w:val="000000"/>
          <w:sz w:val="20"/>
          <w:lang w:val="en-US" w:eastAsia="en-US" w:bidi="ar-SA"/>
        </w:rPr>
        <w:t>circumstances</w:t>
      </w:r>
      <w:r>
        <w:rPr>
          <w:rFonts w:ascii="arial" w:eastAsia="arial" w:hAnsi="arial" w:cs="arial"/>
          <w:color w:val="000000"/>
          <w:sz w:val="20"/>
          <w:lang w:val="en-US" w:eastAsia="en-US" w:bidi="ar-SA"/>
        </w:rPr>
        <w:t xml:space="preserve"> were reasonably foreseeable. The majority found that Weyerhaeuser's employee had no way of foreseeing that the contractor would ignore his specific direction and that the operator would misread the map. This was the wrong inquiry, because it should have determined whether the unauthorized harvesting was reasonably foreseeable. This conclusion pre-empted a proper analysis of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Wells submitted that in this case, the Commission turned its mind to the wrong question and asked whether it was generally foreseeable that Mr. Kheller would have accidentally cut beyond the boundary of the guy-line access area rather than to the specific circumstances that led to the contravention.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 agree with Mr. Wells to this extent. The focus of a foreseeability analysis is not whether unauthorized harvesting was "generally foreseeable", but rather on the "occurrence of the particular event giving rise to the charge" or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contravention in issue: see </w:t>
      </w:r>
      <w:r>
        <w:rPr>
          <w:rFonts w:ascii="arial" w:eastAsia="arial" w:hAnsi="arial" w:cs="arial"/>
          <w:i/>
          <w:color w:val="000000"/>
          <w:sz w:val="20"/>
          <w:lang w:val="en-US" w:eastAsia="en-US" w:bidi="ar-SA"/>
        </w:rPr>
        <w:t>MacMillan Bloedel</w:t>
      </w:r>
      <w:r>
        <w:rPr>
          <w:rFonts w:ascii="arial" w:eastAsia="arial" w:hAnsi="arial" w:cs="arial"/>
          <w:color w:val="000000"/>
          <w:sz w:val="20"/>
          <w:lang w:val="en-US" w:eastAsia="en-US" w:bidi="ar-SA"/>
        </w:rPr>
        <w:t xml:space="preserve"> at paras. 44 and 53. However, as I have already explained, this does not mean that the focus of the inquiry is on the specific circumstances giving rise to the contravention. The focus must be on the contravention itself. In this regard, I note that there is no requirement for an accused to prove precisely how the "particular event" occurred: see </w:t>
      </w:r>
      <w:r>
        <w:rPr>
          <w:rFonts w:ascii="arial" w:eastAsia="arial" w:hAnsi="arial" w:cs="arial"/>
          <w:i/>
          <w:color w:val="000000"/>
          <w:sz w:val="20"/>
          <w:lang w:val="en-US" w:eastAsia="en-US" w:bidi="ar-SA"/>
        </w:rPr>
        <w:t>R. v. Emil K. Fishing</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2008 BCCA 490</w:t>
        </w:r>
      </w:hyperlink>
      <w:r>
        <w:rPr>
          <w:rFonts w:ascii="arial" w:eastAsia="arial" w:hAnsi="arial" w:cs="arial"/>
          <w:color w:val="000000"/>
          <w:sz w:val="20"/>
          <w:lang w:val="en-US" w:eastAsia="en-US" w:bidi="ar-SA"/>
        </w:rPr>
        <w:t xml:space="preserve"> at para. 22 and </w:t>
      </w:r>
      <w:r>
        <w:rPr>
          <w:rFonts w:ascii="arial" w:eastAsia="arial" w:hAnsi="arial" w:cs="arial"/>
          <w:i/>
          <w:color w:val="000000"/>
          <w:sz w:val="20"/>
          <w:lang w:val="en-US" w:eastAsia="en-US" w:bidi="ar-SA"/>
        </w:rPr>
        <w:t>R. v. Petro-Canada</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(2003), 171 C.C.C. (3d) 354</w:t>
        </w:r>
      </w:hyperlink>
      <w:r>
        <w:rPr>
          <w:rFonts w:ascii="arial" w:eastAsia="arial" w:hAnsi="arial" w:cs="arial"/>
          <w:color w:val="000000"/>
          <w:sz w:val="20"/>
          <w:lang w:val="en-US" w:eastAsia="en-US" w:bidi="ar-SA"/>
        </w:rPr>
        <w:t xml:space="preserve"> (Ont. C.A.) at paras. 19-20. However, as the court noted in </w:t>
      </w:r>
      <w:r>
        <w:rPr>
          <w:rFonts w:ascii="arial" w:eastAsia="arial" w:hAnsi="arial" w:cs="arial"/>
          <w:i/>
          <w:color w:val="000000"/>
          <w:sz w:val="20"/>
          <w:lang w:val="en-US" w:eastAsia="en-US" w:bidi="ar-SA"/>
        </w:rPr>
        <w:t>Petro-Canada</w:t>
      </w:r>
      <w:r>
        <w:rPr>
          <w:rFonts w:ascii="arial" w:eastAsia="arial" w:hAnsi="arial" w:cs="arial"/>
          <w:color w:val="000000"/>
          <w:sz w:val="20"/>
          <w:lang w:val="en-US" w:eastAsia="en-US" w:bidi="ar-SA"/>
        </w:rPr>
        <w:t>, in a case where the accused can do this, "it may be able to narrow the range of preventative steps that it must show to establish that it took all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77"/>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The Commission's application of the test of foreseeability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This case, like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 xml:space="preserve">, did not involve mistake of fact, but only the due diligence defence in s. 72(a). Although the Commission first considered whether the event was reasonably foreseeable, as set out in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 it found that it was reasonable foreseeable. It did so on the following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Panel finds that it was reasonably foreseeable that there could be difficulties with recognizing the boundaries between the areas to be cleared and the areas to be selectively cut in the cut bloc. In that regard, the Panel finds that there is always a risk that harvesting may deviate from operational plans and, in this case, that risk was higher than usual because the cut block had an extremely complicated SP. (p.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According to P&amp;T, this passage shows that the Commission considered this issue in the context of a contravention generally, or a hypothetical event, rather than the particular event. Mr. Wells submitted that the Commission was obliged to consider the particular events in this case, identify how they were reasonably foreseeable and determine if they arose because the cut block was complex. In other words, the Commission should have considered whether Mr. Kheller's conduct, as disclosed in the evidence, was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Fraser, for the Crown, pointed out that in this case, there was no evidence before the Commission as to what precisely happened because P&amp;T did not call Mr. Kheller as a witness. This is why the panel was left with evidence only of a general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While the Commission's reasons on this point are not very clear, I cannot accept Mr. Well's argument that it only considered foreseeability in the context of a contravention generally. It specifically rejected P&amp;T's argument that it could not have foreseen that Mr. Kheller would not follow the verbal instruction to clear only the guy-line areas and concluded that this outcome was foreseeable. It appears that the Commission considered foreseeability in the context of the particular contravention, as reflected in these passages at p. 13-14: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giving the contractor the responsibility to decide on the limits of the guy-line clearance areas and to select leave trees beyond these limits, without the benefit of clearance area boundary layout or leave tree markings, set up circumstances which led to the contravention. The Panel finds that the collective efforts of P&amp;T through its EMS, their layout of the harvesting area, and their supervision of the contractor, were deficient.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this event was reasonably foreseeable, and that more could have been done to prevent its occurrence, is clear to the Panel.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P&amp;T submitted further that there is "good support in the case law that Mr. Kheller's conduct was of an order not reasonably foreseeable." In addition to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 xml:space="preserve">, Mr. Wells referred me to </w:t>
      </w:r>
      <w:r>
        <w:rPr>
          <w:rFonts w:ascii="arial" w:eastAsia="arial" w:hAnsi="arial" w:cs="arial"/>
          <w:i/>
          <w:color w:val="000000"/>
          <w:sz w:val="20"/>
          <w:lang w:val="en-US" w:eastAsia="en-US" w:bidi="ar-SA"/>
        </w:rPr>
        <w:t>R. v. Columbia Bitulithic Ltd.</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[1991] B.C.J. No. 2153</w:t>
        </w:r>
      </w:hyperlink>
      <w:r>
        <w:rPr>
          <w:rFonts w:ascii="arial" w:eastAsia="arial" w:hAnsi="arial" w:cs="arial"/>
          <w:color w:val="000000"/>
          <w:sz w:val="20"/>
          <w:lang w:val="en-US" w:eastAsia="en-US" w:bidi="ar-SA"/>
        </w:rPr>
        <w:t xml:space="preserve"> (S.C.) and</w:t>
      </w:r>
      <w:r>
        <w:rPr>
          <w:rFonts w:ascii="arial" w:eastAsia="arial" w:hAnsi="arial" w:cs="arial"/>
          <w:i/>
          <w:color w:val="000000"/>
          <w:sz w:val="20"/>
          <w:lang w:val="en-US" w:eastAsia="en-US" w:bidi="ar-SA"/>
        </w:rPr>
        <w:t xml:space="preserve"> R. v. Pacifica Papers Ltd.</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2002 BCPC 265</w:t>
        </w:r>
      </w:hyperlink>
      <w:r>
        <w:rPr>
          <w:rFonts w:ascii="arial" w:eastAsia="arial" w:hAnsi="arial" w:cs="arial"/>
          <w:color w:val="000000"/>
          <w:sz w:val="20"/>
          <w:lang w:val="en-US" w:eastAsia="en-US" w:bidi="ar-SA"/>
        </w:rPr>
        <w:t>, where the companies were not found liable for acts of others that were not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This submission does not address a question of law alone, but a question of mixed fact and law. Provided the defence of due diligence is properly interpreted, it is a question of fact, and of applying facts to the law, as to whether a company has taken all reasonable steps to avoid the contravention in issue. This assessment may include consideration of a contractor's behaviour and the foreseeability of the contravention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Moreover, these cases are distinguishable from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Columbia Bitulithic Ltd.</w:t>
      </w:r>
      <w:r>
        <w:rPr>
          <w:rFonts w:ascii="arial" w:eastAsia="arial" w:hAnsi="arial" w:cs="arial"/>
          <w:color w:val="000000"/>
          <w:sz w:val="20"/>
          <w:lang w:val="en-US" w:eastAsia="en-US" w:bidi="ar-SA"/>
        </w:rPr>
        <w:t xml:space="preserve">, the company was acquitted of charges under the </w:t>
      </w:r>
      <w:r>
        <w:rPr>
          <w:rFonts w:ascii="arial" w:eastAsia="arial" w:hAnsi="arial" w:cs="arial"/>
          <w:i/>
          <w:color w:val="000000"/>
          <w:sz w:val="20"/>
          <w:lang w:val="en-US" w:eastAsia="en-US" w:bidi="ar-SA"/>
        </w:rPr>
        <w:t>Waste Management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in respect of acts of a third party, who had caused a spill of toxic chemicals into a fish-bearing stream. Columbia had purchased a chemical that it used for road surfacing. The vendor hired an independent trucking company to deliver the chemical to Columbia. Columbia's representative advised the trucker to deliver the chemical to a storage tank at a specified location. The trucker found the storage tank at a temporary location markedly different from that in the instructions, next to a stream and in an obviously hazardous situation. Instead of seeking further directions, the trucker began filling the tank where he found it and without checking to see if it was secure in its position. Before he was finished, the tank tipped over and into the creek, spilling the chemical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issues were (1) whether there was any causal connection between the acts of the company and the chemical spill, and (2) if so, whether the company had used due diligence. The company was acquitted on the first issue because the court was not able to find sufficient nexus between the wrongful act of the trucker and Columbia. In this context, the judge on appeal expressed the view that "Columbia should not be held to anticipate an independent trucking Company would ignore its instructions on where it was to find the storage tank and to fill it at a different location without making inquiries." The defence of due diligence was not addressed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Pacifica Papers</w:t>
      </w:r>
      <w:r>
        <w:rPr>
          <w:rFonts w:ascii="arial" w:eastAsia="arial" w:hAnsi="arial" w:cs="arial"/>
          <w:color w:val="000000"/>
          <w:sz w:val="20"/>
          <w:lang w:val="en-US" w:eastAsia="en-US" w:bidi="ar-SA"/>
        </w:rPr>
        <w:t xml:space="preserve">, the company was also charged with offences under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The charges resulted from the actions of the employee of a company that contracted with Pacifica to dig an excavation pit. In doing so, Pacifica required the contractor to pump water on to the top of a pile of hog fuel so that the water could be absorbed. The contractor's employee moved the discharge hose, causing water to be pumped into the roadway and some entered a nearby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court found that Pacifica was not responsible for depositing the deleterious substance because the contractor's employees were acting on a "whim of their own" and Pacifica's representatives could not have reasonably foreseen that they would divert the water on to the roadway, contrary to their clear instructions. For this and other reasons that are not relevant here, the court found that the Crown had not proven beyond a reasonable doubt, all of the elements of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 Despite this finding, the court went on to consider the defence of due diligence. Saunders, P.C.J. concluded that Pacifica was duly diligent because it had a proper system in place to prevent environmental harm, it took reasonable steps to ensure that the contractor was reputable, and it gave clear instructions about where the water was to be pumped. He found that the behaviour of the contractor's employees could not have been reasonably anticipated by Pacifica's representatives, who could not have reasonably foreseen the risk of the incident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Pacifica Papers</w:t>
      </w:r>
      <w:r>
        <w:rPr>
          <w:rFonts w:ascii="arial" w:eastAsia="arial" w:hAnsi="arial" w:cs="arial"/>
          <w:color w:val="000000"/>
          <w:sz w:val="20"/>
          <w:lang w:val="en-US" w:eastAsia="en-US" w:bidi="ar-SA"/>
        </w:rPr>
        <w:t xml:space="preserve"> demonstrates that whether a contractor's behaviour could have been reasonably anticipated is relevant to whether the contravention was foreseeable, and this in turn is a factor that may be considered when assessing whether an accused has taken all reasonable steps to avoid the "particular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(c)</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P&amp;T's position relies on the correctness of the Commission's existing jurisprudence, as established in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 xml:space="preserve">, interpreting the common law defence of due diligence as codified in s. 72 of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It is my opinion that this jurisprudence is an incorrect interpretation of the defence of due diligence, for the reasons I have set out above. While the Commission addressed foreseeability as a first inquiry under the defence of due diligence, following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 it did so by focussing, correctly, on the foreseeability of the contravention that occurred in this case. Given this, the Commission's finding that the contravention was reasonably foreseeable is a question of mixed fact and law, which is not a matter that can be the subject of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Accordingly, I cannot accede to P&amp;T's argument that the Commission did not apply the correct test of foreseeability in considering its due diligence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Did the Commission find facts not in evidence, fail to consider relevant facts or take irrelevant facts into account in finding that P&amp;T failed to take all reasonable steps to prevent the contravention?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Wells submitted that there were numerous deficiencies in the findings of the Commission when it considered whether P&amp;T took all reasonable steps to prevent the contravention, and that these amount to errors of law. The alleged deficiencies relate in large part to findings that P&amp;T should have made greater efforts to mark the limits of the guy-line clearance area. P&amp;T says that there was no evidence that it was appropriate to do this or that the failure to do so contributed to Mr. Kheller's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Crown's position is that the facts found by the Commission were all supported by some evidence and P&amp;T's complaint is not a question of law but one of mixed fact and law. Mr. Fraser submitted that the court is not entitled to interfere with the Commission's findings unless there has been a misdirection in applying the law to the primary facts which have been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is no dispute between P&amp;T and the Crown that an error of law is made if there is no evidence to support a finding of a material fact, if irrelevant evidence is considered or relevant evidence is not considered, or if there is a misdirection in applying the law to the primary or essential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this case, there was no misdirection on the law on the issue of reasonable care, as it was applied to the facts. The Commission asked itself the right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determination of whether a licensee is duly diligent depends on the circumstances of the case. Whether a licensee took "all reasonable steps" must be considered in the specific context of the "particular event" which comprised the contravention in question ... (p.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then proceeded to assess the evidence. It found that while P&amp;T's staff implemented the EMS properly, the EMS was inadequate, primarily because it left too much discretion to its logging supervisory staff, contractors and subcontractors, in deciding how to implement the leave tree requirements of the SP. It also left too much discretion to its harvesting supervisor in deciding what was to be addressed in the pre-work meeting, what was to be documented, and what directions could be given orally. While the Commission accepted that there were safety reasons for not pre-marking individual leave trees, it found that flagging the limits of the guy-line clearances would have been prudent under the SP, which was complex. It also found that the failure to flag these clearances contributed to Mr. Kheller's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Commission was clearly of the view that more could have been done to prevent the unauthorized harvesting. It found that "P&amp;T's standard operating procedures relied on a faller to decide on the location of the boundary between a clear cut area (the guy-line clearance area) and a selective harvesting (thinning) area". It placed the blame on P&amp;T's operating procedures, which relied only on verbal instructions and did not require any appropriate markings to be placed in the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P&amp;T submitted that there was no evidence to support the Commission's findings that it was prudent or appropriate to pre-mark leave trees or to flag the guy-line clearance boundaries, or that the failure to do either of these things contributed to Mr. Kheller's error. Moreover, it says that any inference that these omissions contributed to Mr. Kheller's error was contradicted by the evidence and in any event there was no evidence to support any finding as to how Mr. Kheller may have been confused about where the guy-line clearance area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my opinion, there was evidence to support the Commission's findings. The essence of its decision was a concern about complete reliance on only verbal instruction and too much discretion given to supervisors, contractors or sub-contractors. There was evidence that Mr. Kheller was instructed on the falling requirements for the cut block at the pre-work meeting and that the SP, the logging plan and maps were given to the contractor. The contractor was instructed to schedule a second pre-work meeting after the guy-line clearance area had been cut, but this did not take place, unknown to P&amp;T. After cutting the guy-line clearance area, Mr. Kheller tried to contact P&amp;T's harvesting supervisor, without success. He proceeded to cut into the block without any documentation and forgot about the leave tree requirement. P&amp;T could not explain why Mr. Kheller clear cut an area that was to be selectively logged.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Without a direct explanation as to the basis for Mr. Kheller's mistake, the Commission could only draw inferences from the evidence that was before it. In concluding that the failure to flag the clearances contributed to the mistake, it drew the inference that had there been some kind of flags or marks in the field showing at least the boundaries of the guy-line clearance area, Mr. Kheller may not have forgotten about the leave tree requirement. It is also important to note that P&amp;T had the onus of proving, on a balance of probabilities, that it exercised all reasonable care to prevent the unauthorized harvesting that occurred. In the absence of evidence from Mr. Kheller, it was not able to narrow the scope of the inquiry into what constituted reasonable care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P&amp;T also submitted that the Commission's conclusion that P&amp;T's failure to pre-mark leave trees fell short of all reasonable care was contrary to its own finding that it was reasonable not to pre-mark individual leave trees because of falling safety issues. While this may be inconsistent, this was not a major aspect of the Commission's decision and in any event, such an inconsistency does not in itself constitute an error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Accordingly, I have concluded that the Commission did not err in law in finding on the evidence that was before it that P&amp;T did not take all reasonable steps to prevent the contravention.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Did the Commission breach the rules of procedural fairness by failing to give P&amp;T an opportunity to be heard on the question of whether marking the guy-line clearance boundaries was appropriate in the circumstances?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Again, both P&amp;T and the Crown agree that a failure to observe the rules of procedural fairness is an error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Commission concluded that the unauthorized harvesting could have been prevented with greater effort to mark the limits of the guy-line clearances. Mr. Wells says that the appropriateness of flagging the guy-line clearance boundaries was not an issue raised by the parties at the hearing before the Commission. None of the witnesses were asked about this. He says that P&amp;T had no notice of this issue and no opportunity to be heard in respect of it by adducing evidence and making submissions on its relevance. This, he argued, was a breach of the common law principle of </w:t>
      </w:r>
      <w:r>
        <w:rPr>
          <w:rFonts w:ascii="arial" w:eastAsia="arial" w:hAnsi="arial" w:cs="arial"/>
          <w:i/>
          <w:color w:val="000000"/>
          <w:sz w:val="20"/>
          <w:lang w:val="en-US" w:eastAsia="en-US" w:bidi="ar-SA"/>
        </w:rPr>
        <w:t>audi alteram partem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Mr. Wells relied on </w:t>
      </w:r>
      <w:r>
        <w:rPr>
          <w:rFonts w:ascii="arial" w:eastAsia="arial" w:hAnsi="arial" w:cs="arial"/>
          <w:i/>
          <w:color w:val="000000"/>
          <w:sz w:val="20"/>
          <w:lang w:val="en-US" w:eastAsia="en-US" w:bidi="ar-SA"/>
        </w:rPr>
        <w:t>Amacon Property Management Services Inc. v. Dutt</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2008 BCSC 889</w:t>
        </w:r>
      </w:hyperlink>
      <w:r>
        <w:rPr>
          <w:rFonts w:ascii="arial" w:eastAsia="arial" w:hAnsi="arial" w:cs="arial"/>
          <w:color w:val="000000"/>
          <w:sz w:val="20"/>
          <w:lang w:val="en-US" w:eastAsia="en-US" w:bidi="ar-SA"/>
        </w:rPr>
        <w:t xml:space="preserve">, where Slade J. remitted a matter back to a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arbitrator who interpreted the law and applied the facts to an issue that neither party had raised or argued. The arbitrator had raised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without giving the parties notice that he was considering the issue and giving them an opportunity to make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my view, the circumstances of this case are quite different from those in </w:t>
      </w:r>
      <w:r>
        <w:rPr>
          <w:rFonts w:ascii="arial" w:eastAsia="arial" w:hAnsi="arial" w:cs="arial"/>
          <w:i/>
          <w:color w:val="000000"/>
          <w:sz w:val="20"/>
          <w:lang w:val="en-US" w:eastAsia="en-US" w:bidi="ar-SA"/>
        </w:rPr>
        <w:t>Amacon</w:t>
      </w:r>
      <w:r>
        <w:rPr>
          <w:rFonts w:ascii="arial" w:eastAsia="arial" w:hAnsi="arial" w:cs="arial"/>
          <w:color w:val="000000"/>
          <w:sz w:val="20"/>
          <w:lang w:val="en-US" w:eastAsia="en-US" w:bidi="ar-SA"/>
        </w:rPr>
        <w:t xml:space="preserve">. There, the issue raised by the arbitrator involved principles of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interpretations of the evidence very different from those involved with the issues that had been argued. In this case, the issue raised by the Commission involved no principles of law. There was evidence that there were no markings on the boundaries of the guy-line clearance area or on leave trees and that P&amp;T's EMS did not require such marking. And as I indicated above, the inference it drew from the evidence was that had there been some kind of markings in the field showing at least the boundaries of the guy-line clearance area, Mr. Kheller may not have forgotten about the leave tree requirement. The Commission simply found that "clear marking of reserve areas and/or leave trees is something that a reasonable licensee would have paid more attention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Having said that, it is apparent that the significance of this factual issue was not raised by the Commission with the parties and P&amp;T did not have an opportunity to either present more evidence or address the matter in submissions. While it would have been prudent for the Commission to question the parties about this issue, I do not consider its failure to do so to constitute a breach of the rules of procedural fairness in the circumstances here, particularly given the overall basis of the Commission's decision. This is not a case where P&amp;T did not have an opportunity to respond to all of the evidence and submissions that were made (see, for example, </w:t>
      </w:r>
      <w:r>
        <w:rPr>
          <w:rFonts w:ascii="arial" w:eastAsia="arial" w:hAnsi="arial" w:cs="arial"/>
          <w:i/>
          <w:color w:val="000000"/>
          <w:sz w:val="20"/>
          <w:lang w:val="en-US" w:eastAsia="en-US" w:bidi="ar-SA"/>
        </w:rPr>
        <w:t>C.E.P. Union of Canada v. Power Engineers et al</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2001 BCCA 743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common law defence of due diligence, which has been incorporated into s. 72 of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allows a person who has been accused of a contravention to avoid liability by proving either:</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reasonably believed in a mistaken set of facts which, if true, would render the act or omission innocent (reflected in s. 72(b)), 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exercised due diligence by taking all reasonable steps to avoid the contravention (reflected in s. 72(a)).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foreseeability of the contravention which occurred in a particular case is a relevant consideration under both branches of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Although the Commission relied on the interpretation of the defence of due diligence as set out in </w:t>
      </w:r>
      <w:r>
        <w:rPr>
          <w:rFonts w:ascii="arial" w:eastAsia="arial" w:hAnsi="arial" w:cs="arial"/>
          <w:i/>
          <w:color w:val="000000"/>
          <w:sz w:val="20"/>
          <w:lang w:val="en-US" w:eastAsia="en-US" w:bidi="ar-SA"/>
        </w:rPr>
        <w:t>Weyerhaeuser,</w:t>
      </w:r>
      <w:r>
        <w:rPr>
          <w:rFonts w:ascii="arial" w:eastAsia="arial" w:hAnsi="arial" w:cs="arial"/>
          <w:color w:val="000000"/>
          <w:sz w:val="20"/>
          <w:lang w:val="en-US" w:eastAsia="en-US" w:bidi="ar-SA"/>
        </w:rPr>
        <w:t xml:space="preserve"> it correctly considered the issue of foreseeability in its application of the due diligence defence in s. 72(a).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Commission did not commit any error of law in finding that P&amp;T failed to take all reasonable steps to prevent the contravention, as this finding was supported by relevant evidence, and any inconsistencies in its findings do not constitute errors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Commission's failure to give P&amp;T an opportunity to address the issue of marking boundaries was not a breach of the rules of procedural fairness, given the nature of this issue in relation to the overall basis of its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Accordingly, the appeal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No party other than P&amp;T sought costs, but no submissions were made at the hearing. The parties may have leave to make submissions on costs if they cannot otherwise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FISHER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79" style="position:absolute;z-index:251872256"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75"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75"/>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In this case, the </w:t>
      </w:r>
      <w:r>
        <w:rPr>
          <w:rFonts w:ascii="arial" w:eastAsia="arial" w:hAnsi="arial" w:cs="arial"/>
          <w:i/>
          <w:color w:val="6D6E71"/>
          <w:sz w:val="18"/>
          <w:lang w:val="en-US" w:eastAsia="en-US" w:bidi="ar-SA"/>
        </w:rPr>
        <w:t>Administrative Tribunals Act</w:t>
      </w:r>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S.B.C. 2004, c. 45</w:t>
      </w:r>
      <w:r>
        <w:rPr>
          <w:rFonts w:ascii="arial" w:eastAsia="arial" w:hAnsi="arial" w:cs="arial"/>
          <w:color w:val="6D6E71"/>
          <w:sz w:val="18"/>
          <w:lang w:val="en-US" w:eastAsia="en-US" w:bidi="ar-SA"/>
        </w:rPr>
        <w:t>, does not apply; thus the standard of review must be determined under the common law.</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0" style="position:absolute;z-index:2519080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Richardson v. Vancouver (City), [2005] B.C.J. No. 738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Stewart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6 - 10 and 13 - 17, 2004,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10, 11 and 16,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L030822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738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499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M.P.L.R. (4th) 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138 A.C.W.S. (3d) 392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Richardson, plaintiff, and City of Vancouver, Chief of Police Jamie H. Graham, Constable Shane A. Aitken and Constable Jeffrey Harris,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1"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6" w:name="Keywords_10"/>
      <w:bookmarkEnd w:id="76"/>
      <w:r>
        <w:rPr>
          <w:rFonts w:ascii="arial" w:eastAsia="arial" w:hAnsi="arial" w:cs="arial"/>
          <w:b/>
          <w:color w:val="000000"/>
          <w:sz w:val="20"/>
          <w:lang w:val="en-US" w:eastAsia="en-US" w:bidi="ar-SA"/>
        </w:rPr>
        <w:t>Professional responsibility — Professions — Other — Police — Tort law — Abuse of legal procedure — False arrest or imprisonment — Defences — Lawful authority — Defamation — Defamatory statements — Defences — Qualified privilege.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7" w:name="Case Summary_8"/>
            <w:bookmarkEnd w:id="7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Richardson against the defendants, the City of Vancouver, the chief of police and certain police officers for damages for wrongful arrest and defamation. Richardson was a lawyer who was arrested during a municipal action to remove homeless people from a particular area. The basis for the defamation claim was grounded on what the chief of police said on a radio show and from a letter that the chief sent to the Law Society of British Columbia to complain about Richardson's activities.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8" w:name="Holdings of Court_7"/>
            <w:bookmarkEnd w:id="7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arrest of Richardson by the police was justified in law. Richardson was arrested because he was found committing a criminal offence. The arresting officer's credibility was not problematic. The radio broadcast and the letter did not contain defamatory statements about Richardson. The defence of qualified privilege applied. There was no malice that would have eliminated that defence.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9" w:name="Legislation Cited_8"/>
      <w:bookmarkEnd w:id="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2"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 s. 129(a), s. 493, s. 495(1)(b), Part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Police Act, R.S.B.C. 1996, c. 367 s. 15, s. 20, s. 20(2), s. 21, s. 26, s.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Vancouver Charter s. 289, s. 290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Vancouver Street and Traffic Bylaw s. 71(1), s. 72(4), s. 73(1), s. 86</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Professional responsibility -- Professions -- Other -- Police -- Tort law -- Abuse of legal procedure -- False arrest or imprisonment -- Defences -- Lawful authority -- Defamation -- Defamatory statements -- Defences -- Qualified privilege.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Richardson against the defendants, the City of Vancouver, the chief of police and certain police officers for damages for wrongful arrest and defamation. Richardson was a lawyer who was arrested during a municipal action to remove homeless people from a particular area. The basis for the defamation claim was grounded on what the chief of police said on a radio show and from a letter that the chief sent to the Law Society of British Columbia to complain about Richardson's activities.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arrest of Richardson by the police was justified in law. Richardson was arrested because he was found committing a criminal offence. The arresting officer's credibility was not problematic. The radio broadcast and the letter did not contain defamatory statements about Richardson. The defence of qualified privilege applied. There was no malice that would have eliminated that defence.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keepNext/>
        <w:spacing w:before="240" w:line="3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3"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 ss. 129(a), 493, 495(1)(b), Part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Police Act, R.S.B.C. 1996, c. 367, ss. 15, 20, 20(2), 21, 26,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Vancouver Charter, ss. 289, 290.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Vancouver Street and Traffic Bylaw, ss. 71(1), 72(4), 73(1), 86.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0" w:name="Counsel_10"/>
      <w:bookmarkEnd w:id="8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4" style="position:absolute;z-index:251823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H. Rubin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B.T. Quayle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1" w:name="Judgment_10"/>
      <w:bookmarkEnd w:id="81"/>
      <w:r>
        <w:pict>
          <v:line id="_x0000_s1085" style="position:absolute;z-index:2518732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2" w:name="STEWART J."/>
            <w:bookmarkEnd w:id="82"/>
            <w:r>
              <w:rPr>
                <w:rFonts w:ascii="arial" w:eastAsia="arial" w:hAnsi="arial" w:cs="arial"/>
                <w:b/>
                <w:color w:val="000000"/>
                <w:sz w:val="30"/>
                <w:lang w:val="en-US" w:eastAsia="en-US" w:bidi="ar-SA"/>
              </w:rPr>
              <w:t>STEWART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litigation in the case at bar arises out of events that occurred here in the City of Vancouver over a period of five months, September, 2002 to February,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litigation has its head and source in two societal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first issue is: What to do about the homeless? This is an apparently intractable problem. It came to ground in the Vancouver Downtown Eastside in 2002 with the "Woodwards Squat" as it became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action for wrongful arrest in the case at bar arises out of events that occurred hard by the Woodwards Squat on September 22, 2002. On that date, and at that location, the City, through its municipal workers, moved to clean up the health hazard created by the "Squat", all the while protected by the Vancouver City Police. Interaction between the plaintiff and members of the Vancouver City Police at the intersection of Abbott and Hastings resulted in the plaintiff's being arrested by the defendant, Constable Harris. It is that arrest that gives rise to the plaintiff's action for wrongful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action for libel in the case at bar arises out of events that are grounded in a problem that bedevils any free and democratic society, i.e., who will police the police? More particularly it arises out of the push and shove in the Vancouver Downtown Eastside between the Pivot Legal Society - which, as of 2002, was the new kid on the block and a self-appointed monitor of police conduct - and the Vancouver City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tension inherent in the situation just noted resulted in the publishing on October 29, 2002 by the Pivot Legal Society of Exhibit 7, an indictment of the conduct of the Vancouver City Police in the Downtown Eastside. The plaintiff was, and is, a lawyer and the executive director of the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Pivot Legal Society, and, more particularly the plaintiff, believed that the anonymous allegations of police misconduct contained in Exhibit 7 would be taken as gospel and that the powers that be would move directly to the question of systemic change. Shortly put, I accept the plaintiff's evidence on that point. The world needs committed, naïve people. And true believers often convince themselves of the most amazing things. Here, as just noted, the plaintiff did just that. The Society and the plaintiff did not ignore the question of investigation of the individual allegations contained in Exhibit 7, even at the outset. One need only read Exhibit 7 to know that. But, as at October 29, 2002, acceptance of Exhibit 7's allegations as gospel and immediate consideration of appropriate remedies was at the forefront of the plaintiff's thinking. That came through loud and clear as the plaintiff was confronted on this point more than once during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Those who could institute systemic change - the Vancouver Police Board and the Vancouver City Police, amongst others - were not of the same mind as the Pivot Legal Society and the plaintiff. Not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Investigation of the individual anonymous allegations that are at the core of Exhibit 7 was the starting point in their analysis. As time went on the Pivot Legal Society, and the plaintiff, shifted their focus towards making an investigation of Exhibit 7's anonymous allegations against members of the Vancouver Police Department by an investigator other than the Vancouver Police Department the chief objective of what they were about rather than a secondary objective as it had been as of October 29, 2002 when Exhibit 7 was published.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But the legislation that mattered - the Police Act, R.S.B.C. 1996, c. 367 - gave the power to decide who would investigate the anonymous allegations contained in Exhibit 7 to the Police Complaint Commissioner.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And, as luck would have it, during the relevant time period the office of the Police Complaint Commissioner was in a state of flux.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result on November 6, 2002 (Exhibit 22) the then Acting Police Complaint Commissioner, in effect, told the plaintiff that the default position created by the Police Act would obtain. In other words, if the anonymous allegations contained in Exhibit 7 were converted into formal complaints about the Vancouver City Police that named names, those complaints would be investigated by the Vancouver Police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dug in his heels and waited for the arrival of a new Police Complaint Commissioner.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Eventually a new Police Complaint Commissioner was appointed. In the result on June 9, 2003 formal complaints under the Police Act were filed with the office of the Police Complaint Commissioner and the Police Complaint Commissioner ordered that they be investigated by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But, back in February of 2003, the defendant Graham, the Chief of the Vancouver City Police, had reacted to the content of Exhibit 7 and the refusal of the plaintiff to name the complainants, and, if possible, the officers attacked in Exhibit 7, in two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February 4, 2003 he sent a letter (Exhibit 14) to the Law Society of B.C. outlining his view of the plaintiff's conduct. He sent copies of that letter to the Vancouver Police Board and to the office of the Police Complaint Commissioner. And on February 13, 2003 (Exhibits 9/10) the Chief of Police appeared on the Bill Good show on CKNW radio. He responded to the form, shape and content of Exhibit 7 and its anonymous allegations. He expressed his frustration with the fact that three months after the publishing of Exhibit 7 meaningful details as to who alleged what with respect to whom were still not forthcoming from the Pivot Legal Society. In other words,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action for libel arises out of what the defendant Graham said in the letter dated February 4, 2003 (above) and in the radio broadcast on February 13, 2003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against that background and in that context that I descend to the detail of the plaintiff's actions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deal with the case as it was left to me at the end of the submissions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the night of Sunday, September 22, 2002 the plaintiff was arrested by the defendant Constable Jeffrey Harris.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Then Constable Harris (now Sergeant Harris) was a member of the Vancouver Police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upshot of the Police Act, R.S.B.C. 1996, c. 367, ss. 20 and 21 is that Constable Harris was an employee of the Vancouver Police Board (properly not named as a defendant s. 20(2)) and that his liability for a tort committed by him while "in the performance or intended performance of his duty or in the exercise of his power" was curtailed by the adding of a requirement that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malicious or wilful misconduct be made out before he could be found personally liable. But, by statute, liability is driven back to the City of Vancouver (a named defendant) for a tort simpliciter committed by Constable Harris while "in the performance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To clear away some underbrush I state an obvious point here. There is no basis for a finding against Constable Harris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malicious or wilful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issue becomes whether the plaintiff can drive liability home to the defendant, the City of Vancouver, by establishing that Constable Harris committed a tort, simpliciter.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clear away more of the underbrush by stating that at the end of the case there was no platform for a discussion of the possibility of Constable Harris's having committed any civil wrong against the plaintiff other than wrongful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Statement of Claim sacrifices brevity and clarity on the altar of creating a shopping list of possible causes of action. (Amended Trial Record pages 2-10). But by the end of the case it was obvious that the plaintiff either had a case that established wrongful arrest against Harris, or he had nothing. The plaintiff failed to name as a party the individual or organization that took control of the plaintiff once he reached the jail on the night in question. The plaintiff asserts that because the system provided for a member of the Vancouver Police Department to fulfill the functions of an "officer in charge" at the jail (Criminal Code Part 16 s. 493 and following) the fact the plaintiff remained in custody overnight - combined with shards of evidence about what occurred at the jail and, separately, what occurred during the preparation that night of an omnibus police report about the night's activities - provides a platform for discussion of a discreet civil wrong having been committed against the plaintiff by someone whose wrongful act is driven back by statute to the defendant the City of Vancouver. That, with respect, is fanciful. It amounts to an invitation to the court to grasp fog. (Murrell v. SFU, </w:t>
      </w:r>
      <w:hyperlink r:id="rId228" w:history="1">
        <w:r>
          <w:rPr>
            <w:rFonts w:ascii="arial" w:eastAsia="arial" w:hAnsi="arial" w:cs="arial"/>
            <w:i/>
            <w:color w:val="0077CC"/>
            <w:sz w:val="20"/>
            <w:u w:val="single"/>
            <w:shd w:val="clear" w:color="auto" w:fill="FFFFFF"/>
            <w:lang w:val="en-US" w:eastAsia="en-US" w:bidi="ar-SA"/>
          </w:rPr>
          <w:t>[1998] B.C.J. No. 1553</w:t>
        </w:r>
      </w:hyperlink>
      <w:r>
        <w:rPr>
          <w:rFonts w:ascii="arial" w:eastAsia="arial" w:hAnsi="arial" w:cs="arial"/>
          <w:color w:val="000000"/>
          <w:sz w:val="20"/>
          <w:lang w:val="en-US" w:eastAsia="en-US" w:bidi="ar-SA"/>
        </w:rPr>
        <w:t>, BCCA June 29, 1998 para. 17). I decline the invitation.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So I turn to the only issue worthy of discussion: whether the plaintiff has established the tort of wrongful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common ground that Constable Harris did arrest the plaintiff. In the result the onus switches to the defendant to establish that the arrest was justified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find that the defendant has established on a balance of probabilities that the arrest of the plaintiff by the defendant Constable Harris was justified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Briefly put the situation is this:</w:t>
      </w:r>
      <w:r>
        <w:rPr>
          <w:rFonts w:ascii="arial" w:eastAsia="arial" w:hAnsi="arial" w:cs="arial"/>
          <w:sz w:val="20"/>
          <w:lang w:val="en-US" w:eastAsia="en-US" w:bidi="ar-SA"/>
        </w:rPr>
        <w:cr/>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case is one of a police officer being of the belief that he has found a person - the plaintiff - committing a criminal offence.</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Regardless of whatever else might be engaged, the fact is Criminal Code s. 495(1)(b) was engaged.</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495(1)(b) reads: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peace officer may arrest without warrant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whom he finds committing a criminal offence.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Case law that is binding upon me demands that I make findings of fact as to whether Constable Harris found himself in a situation in which he believed the plaintiff was apparently committing a criminal offence and a reasonable person placed in the same circumstances as Constable Harris would agree.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 v. Roberge, </w:t>
      </w:r>
      <w:hyperlink r:id="rId229" w:history="1">
        <w:r>
          <w:rPr>
            <w:rFonts w:ascii="arial" w:eastAsia="arial" w:hAnsi="arial" w:cs="arial"/>
            <w:i/>
            <w:color w:val="0077CC"/>
            <w:sz w:val="20"/>
            <w:u w:val="single"/>
            <w:shd w:val="clear" w:color="auto" w:fill="FFFFFF"/>
            <w:lang w:val="en-US" w:eastAsia="en-US" w:bidi="ar-SA"/>
          </w:rPr>
          <w:t>[1983] 1 S.C.R. 312</w:t>
        </w:r>
      </w:hyperlink>
      <w:r>
        <w:rPr>
          <w:rFonts w:ascii="arial" w:eastAsia="arial" w:hAnsi="arial" w:cs="arial"/>
          <w:color w:val="000000"/>
          <w:sz w:val="20"/>
          <w:lang w:val="en-US" w:eastAsia="en-US" w:bidi="ar-SA"/>
        </w:rPr>
        <w:t xml:space="preserve"> (S.C.C.)</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 v. Biron </w:t>
      </w:r>
      <w:hyperlink r:id="rId230" w:history="1">
        <w:r>
          <w:rPr>
            <w:rFonts w:ascii="arial" w:eastAsia="arial" w:hAnsi="arial" w:cs="arial"/>
            <w:i/>
            <w:color w:val="0077CC"/>
            <w:sz w:val="20"/>
            <w:u w:val="single"/>
            <w:shd w:val="clear" w:color="auto" w:fill="FFFFFF"/>
            <w:lang w:val="en-US" w:eastAsia="en-US" w:bidi="ar-SA"/>
          </w:rPr>
          <w:t>(1975), 59 D.L.R. (3d) 409</w:t>
        </w:r>
      </w:hyperlink>
      <w:r>
        <w:rPr>
          <w:rFonts w:ascii="arial" w:eastAsia="arial" w:hAnsi="arial" w:cs="arial"/>
          <w:color w:val="000000"/>
          <w:sz w:val="20"/>
          <w:lang w:val="en-US" w:eastAsia="en-US" w:bidi="ar-SA"/>
        </w:rPr>
        <w:t xml:space="preserve"> (S.C.C.)</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discharge my duty I must begin by deciding what Constable Harris perceived at the material time and what conclusions he drew from it.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this stage or level of the analysis I must confront the question of Constable Harris's credibility as a witness.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found nothing in Constable Harris's testimony or in the way he testified that caused me concern about his credibility as a witness. I found nothing that caused concern about his credibility as a witness when I looked at his evidence in the context of all of the other evidence, always keeping in mind that what was afoot at Abbott and Hastings on September 22, 2002 was, inherently, a fragmented, unstable situation which admitted of multiple equally valid, yet differing, recollections of what had gone on. In such a situation a witness's vantage point, responsibilities, interest and focus at any given moment affect everything. The precision imposed upon their recollection of events by witnesses such as Harris and the plaintiff is, I am convinced, just a trick of the human mind. The context, "currently existing conditions", practicalities, weaknesses of "perfectly honest people" and the common sense and experience of the trier of fact (me) loom large: Dawes v. Jajcaj, </w:t>
      </w:r>
      <w:hyperlink r:id="rId184" w:history="1">
        <w:r>
          <w:rPr>
            <w:rFonts w:ascii="arial" w:eastAsia="arial" w:hAnsi="arial" w:cs="arial"/>
            <w:i/>
            <w:color w:val="0077CC"/>
            <w:sz w:val="20"/>
            <w:u w:val="single"/>
            <w:shd w:val="clear" w:color="auto" w:fill="FFFFFF"/>
            <w:lang w:val="en-US" w:eastAsia="en-US" w:bidi="ar-SA"/>
          </w:rPr>
          <w:t>66 B.C.L.R. (3d) 31</w:t>
        </w:r>
      </w:hyperlink>
      <w:r>
        <w:rPr>
          <w:rFonts w:ascii="arial" w:eastAsia="arial" w:hAnsi="arial" w:cs="arial"/>
          <w:color w:val="000000"/>
          <w:sz w:val="20"/>
          <w:lang w:val="en-US" w:eastAsia="en-US" w:bidi="ar-SA"/>
        </w:rPr>
        <w:t xml:space="preserve"> (BCCA 1999); Robertson v. Weavexx Corporation, </w:t>
      </w:r>
      <w:hyperlink r:id="rId231" w:history="1">
        <w:r>
          <w:rPr>
            <w:rFonts w:ascii="arial" w:eastAsia="arial" w:hAnsi="arial" w:cs="arial"/>
            <w:i/>
            <w:color w:val="0077CC"/>
            <w:sz w:val="20"/>
            <w:u w:val="single"/>
            <w:shd w:val="clear" w:color="auto" w:fill="FFFFFF"/>
            <w:lang w:val="en-US" w:eastAsia="en-US" w:bidi="ar-SA"/>
          </w:rPr>
          <w:t>[1997] B.C.J. No. 245</w:t>
        </w:r>
      </w:hyperlink>
      <w:r>
        <w:rPr>
          <w:rFonts w:ascii="arial" w:eastAsia="arial" w:hAnsi="arial" w:cs="arial"/>
          <w:color w:val="000000"/>
          <w:sz w:val="20"/>
          <w:lang w:val="en-US" w:eastAsia="en-US" w:bidi="ar-SA"/>
        </w:rPr>
        <w:t xml:space="preserve"> (BCCA February 3, 1997 CA021748); R. v. Moody, </w:t>
      </w:r>
      <w:hyperlink r:id="rId232" w:history="1">
        <w:r>
          <w:rPr>
            <w:rFonts w:ascii="arial" w:eastAsia="arial" w:hAnsi="arial" w:cs="arial"/>
            <w:i/>
            <w:color w:val="0077CC"/>
            <w:sz w:val="20"/>
            <w:u w:val="single"/>
            <w:shd w:val="clear" w:color="auto" w:fill="FFFFFF"/>
            <w:lang w:val="en-US" w:eastAsia="en-US" w:bidi="ar-SA"/>
          </w:rPr>
          <w:t>[1996] B.C.J. No. 441</w:t>
        </w:r>
      </w:hyperlink>
      <w:r>
        <w:rPr>
          <w:rFonts w:ascii="arial" w:eastAsia="arial" w:hAnsi="arial" w:cs="arial"/>
          <w:color w:val="000000"/>
          <w:sz w:val="20"/>
          <w:lang w:val="en-US" w:eastAsia="en-US" w:bidi="ar-SA"/>
        </w:rPr>
        <w:t xml:space="preserve"> (BCCA March 4, 1996 CA019676).</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the plaintiff's attack on Constable Harris's credibility is based on the one hand on an illogical assumption and, on the other, on a non sequitur.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will explain.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Exhibit 19 is a recording made by the plaintiff on the night of September 22. The plaintiff had the recording device on his person. The microphone was a form of lapel microphone. Exhibit 3 - which is simply an aid to the trier of fact - is a transcript of some of what Exhibit 19 reveals. There is real need to focus on the fact that Exhibit 19 is the evidence, not Exhibit 3. It became clear that things could be heard on Exhibit 19 that did not appear on Exhibit 3.</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illogical assumption the plaintiff makes in his attack on Constable Harris's testimonial reliability relates to Exhibit 19.</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premise is that I should treat the recording device that produced Exhibit 19 as omniscient.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say that is utterly illogical.</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placed no evidence before me about the capacity of the device in question to record what was said or the capacity of the microphone to capture something said at a given distance or at a particular angle to the microphone. That kind of evidence was not placed before me. Considering the position the plaintiff was going to take about Exhibit 19 and the significance of things that do not appear on it, that kind of evidence should have been called by the plaintiff. It wasn't.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experience that I as the trier of fact had in listening to Exhibit 19 put paid to the plaintiff's assumption anyway. What the technological reason is I don't know - it doesn't matter - the fact is that Exhibit 19, the recording, reveals its weakness as a starting point for the analysis time and time again. To be blunt, in mid-sentence or mid-word the device's capturing of what is going on ends abruptly. Whether the problem is with the distance at which the microphone can capture sound or the overwhelming significance of the turning of the microphone as the plaintiff moves about - or something at which I cannot even guess - does not matter. Facts are stubborn things. The fact is Exhibit 19 is the exact opposite of something I should take as gospel not only for what can be heard on it but for the significance of what is not heard on it.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"non sequitur" referred to in sub-paragraph (8), supra, is this. The plaintiff would have me take as a given that he could not "apparently" have been breaching a police line in the eyes of Constable Harris at the intersection of Hastings and Abbott if Inspector McKay thought that night that to cross Hastings in the east crosswalk from south to north was to walk outside the police line and the plaintiff's case is that that is exactly where he did walk. Enough said. The non sequitur is, in my respectful view, obvious.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return to my task of finding the facts as to what was "apparent" to Constable Harris on the night in question. In doing so I have not limited myself to Constable Harris's testimony. (If that was not obvious from what I said in paragraph 30(7) of these reasons, it is now.)</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as a fact that Constable Harris was a police officer whose duty was to form part of a multilayered line of police officers and at the same time supervise other officers who formed part of the same line, a line directed at keeping to the south and east of an area in which city workers were clearing up the mess on city property created by an unlawful "Squat", such people as the police were not confident would not put in jeopardy the peaceful carrying out of their lawful task by the municipal employees.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"Squat" was, on the face of it, contrary to law is manifest. (Vancouver Charter sections 289/290; Street and Traffic Bylaw sections 86, 71(1), 73(1)). That the owner of the street - the City of Vancouver (Vancouver Charter section 289) - can clean up a mess left by others is both obvious and the law. (Street and Traffic Bylaw section 72(4)). The submission by counsel for the plaintiff that in defending this action for wrongful arrest the defendants must prove that the workers who were removing the mess had the express authority of the City Engineer to do so is not based on law. It is rejected. That police officers assigned by their superiors to keep such workers safe and preserve the peace are acting squarely within the scope of their duty is clear from both case law (Knowlton v. The Queen </w:t>
      </w:r>
      <w:hyperlink r:id="rId233" w:history="1">
        <w:r>
          <w:rPr>
            <w:rFonts w:ascii="arial" w:eastAsia="arial" w:hAnsi="arial" w:cs="arial"/>
            <w:i/>
            <w:color w:val="0077CC"/>
            <w:sz w:val="20"/>
            <w:u w:val="single"/>
            <w:shd w:val="clear" w:color="auto" w:fill="FFFFFF"/>
            <w:lang w:val="en-US" w:eastAsia="en-US" w:bidi="ar-SA"/>
          </w:rPr>
          <w:t>(1973), 10 C.C.C. (2d) 377</w:t>
        </w:r>
      </w:hyperlink>
      <w:r>
        <w:rPr>
          <w:rFonts w:ascii="arial" w:eastAsia="arial" w:hAnsi="arial" w:cs="arial"/>
          <w:color w:val="000000"/>
          <w:sz w:val="20"/>
          <w:lang w:val="en-US" w:eastAsia="en-US" w:bidi="ar-SA"/>
        </w:rPr>
        <w:t xml:space="preserve"> (S.C.C.)) and statute law: Police Act ss. 15, 26, 34.</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as a fact that what Constable Harris saw and heard insofar as the plaintiff is concerned is this: the police line of uniformed officers, of which Constable Harris was a part, was obvious and shifting as the need arose; at the material time the police line was between where the city workers were cleaning up the mess and where a group of people on the sidewalk on the southeast corner of Abbott and Hastings were standing; obviously the police, including Constable Harris, had the city workers to their backs and were watching the group of people in front of them; a man who was not known to Constable Harris was yelling, claiming that he was a lawyer, and yelling louder than most or all of the other people in the group; that man was yelling at the police and demanding to be told the legal basis for the officers' taking control of the intersection; at least once the man who had thus distinguished himself moved toward the police officers with the apparent intention of making his way through the police line; at least once, and after being told he would not be allowed through the police line, the man returned to the sidewalk; whatever number of times it was that the man had thus moved toward the police lines, there came a final time when it was Constable Harris who took the man by the arm and put him on the sidewalk; the man was told that if he repeated what he had just done he would be arrested for "obstruction"; the man did repeat what he had just done and, as Constable Harris saw it, this time he made his way partially through the multi-layered line of police officers with Constable Harris in hot pursuit; Constable Harris took the man by the arm and told him he was under arrest for obstruction; what followed was the usual and the ordinary involving the man's being taken to a police car, handcuffed, told again why he was being arrested, warned, searched and eventually put in a police wagon. The plaintiff was the man in question.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my findings of fact, supra, put paid to the plaintiff's case. I take s. 129(a) of the Criminal Code as read and say as the trier of fact that the defendant has convinced me that Constable Harris's perception of what was going on amounted to the viewing of an apparent wilful obstruction of the execution by the peace officers in the line or wall, including Constable Harris, of their lawful duty to maintain the peace as city workers cleaned up city property and police officers to the rear of the police line or wall kept close watch and took such action as reasonably necessary to protect the workers and maintain the peace as the city workers went about their business. I say as the trier of fact that the plaintiff has convinced me that that perception, objectively viewed, was what would have been apparent to a reasonable person placed in Constable Harris's circumstances.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the plaintiff's entire case is misconceived.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would have me do what I am not permitted to do, i.e., turn away from Constable Harris's perception and the reasonableness of that perception, to the plaintiff's position as, in fact, a lawyer who believed that one or more of his clients was within the blocked off area and being dealt with unlawfully by the police. That I refuse to do. In my respectful view it is not permitted by law. If he could get me to look at things from the plaintiff's point of view the plaintiff then urges me to find he was in fact a lawyer who asked to speak to a supervising officer, was ignored by a female officer, was told to get back on the sidewalk by an officer other than Constable Harris or be arrested for jaywalking and then walked on the street while the "white walking signal" was operative. He takes the position that he was not actually committing the offence for which he was arrested because of the effect of case law such as R. v. Long (1969), 69 W.W.R. 187 (B.C.C.A.), which gets at the reach of the word "obstruction" in a situation which I say is chalk to the present case's cheese. And, beyond that, we circle back to the fact that the law says that findings as to what the officer perceived was apparently afoot, and the reasonableness of that perception, are Alpha and Omega in a case such as this. That is the law pursuant to authority which is binding upon me (R. v. Roberge, supra; R. v. Biron, supra). It overwhelms the bits and pieces placed before me by the plaintiff as he turns to cases that are not binding upon me such as Sandison v. Rybiak </w:t>
      </w:r>
      <w:hyperlink r:id="rId234" w:history="1">
        <w:r>
          <w:rPr>
            <w:rFonts w:ascii="arial" w:eastAsia="arial" w:hAnsi="arial" w:cs="arial"/>
            <w:i/>
            <w:color w:val="0077CC"/>
            <w:sz w:val="20"/>
            <w:u w:val="single"/>
            <w:shd w:val="clear" w:color="auto" w:fill="FFFFFF"/>
            <w:lang w:val="en-US" w:eastAsia="en-US" w:bidi="ar-SA"/>
          </w:rPr>
          <w:t>(1973) 1 O.R. (2d) 74</w:t>
        </w:r>
      </w:hyperlink>
      <w:r>
        <w:rPr>
          <w:rFonts w:ascii="arial" w:eastAsia="arial" w:hAnsi="arial" w:cs="arial"/>
          <w:color w:val="000000"/>
          <w:sz w:val="20"/>
          <w:lang w:val="en-US" w:eastAsia="en-US" w:bidi="ar-SA"/>
        </w:rPr>
        <w:t xml:space="preserve"> (O.H.C.) and inapt authority which is binding upon me such as Sharma v. The Queen et al </w:t>
      </w:r>
      <w:hyperlink r:id="rId235" w:history="1">
        <w:r>
          <w:rPr>
            <w:rFonts w:ascii="arial" w:eastAsia="arial" w:hAnsi="arial" w:cs="arial"/>
            <w:i/>
            <w:color w:val="0077CC"/>
            <w:sz w:val="20"/>
            <w:u w:val="single"/>
            <w:shd w:val="clear" w:color="auto" w:fill="FFFFFF"/>
            <w:lang w:val="en-US" w:eastAsia="en-US" w:bidi="ar-SA"/>
          </w:rPr>
          <w:t>(1993), 79 C.C.C. (3d) 142</w:t>
        </w:r>
      </w:hyperlink>
      <w:r>
        <w:rPr>
          <w:rFonts w:ascii="arial" w:eastAsia="arial" w:hAnsi="arial" w:cs="arial"/>
          <w:color w:val="000000"/>
          <w:sz w:val="20"/>
          <w:lang w:val="en-US" w:eastAsia="en-US" w:bidi="ar-SA"/>
        </w:rPr>
        <w:t xml:space="preserve"> (S.C.C.) and Godoy v. The Queen </w:t>
      </w:r>
      <w:hyperlink r:id="rId236" w:history="1">
        <w:r>
          <w:rPr>
            <w:rFonts w:ascii="arial" w:eastAsia="arial" w:hAnsi="arial" w:cs="arial"/>
            <w:i/>
            <w:color w:val="0077CC"/>
            <w:sz w:val="20"/>
            <w:u w:val="single"/>
            <w:shd w:val="clear" w:color="auto" w:fill="FFFFFF"/>
            <w:lang w:val="en-US" w:eastAsia="en-US" w:bidi="ar-SA"/>
          </w:rPr>
          <w:t>(1998), 131 C.C.C. (3d) 129</w:t>
        </w:r>
      </w:hyperlink>
      <w:r>
        <w:rPr>
          <w:rFonts w:ascii="arial" w:eastAsia="arial" w:hAnsi="arial" w:cs="arial"/>
          <w:color w:val="000000"/>
          <w:sz w:val="20"/>
          <w:lang w:val="en-US" w:eastAsia="en-US" w:bidi="ar-SA"/>
        </w:rPr>
        <w:t xml:space="preserve"> (S.C.C.).</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established that Constable Harris's arresting the plaintiff on September 22, 2002 was justified in law.</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case falls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turn to the plaintiff's claim for damages for defamation. I note here that it is common ground that each of the publications in question in the case at bar would bottom a finding of libel, not merely of slander, if the plaintiff's case succeeds.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deal with the case as left to me at the end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case is grounded on what was said by the defendant Jamie H. Graham, Chief of the Vancouver City Police, on February 13, 2003 on the Bill Good show on radio station CKNW and in a letter dated February 4, 2003. The letter dated February 4, 2003 (Exhibit 14) was addressed to "Law Society of British Columbia". The letter was "cc"d to "Vancouver Police Board" and the "Police Complaints Commissioner, OPCC". The combined effect of ss. 20 and 21 of the Police Act, supra, is that an action for libel or slander lies against the defendant Graham and, in the circumstances that obtain here, any such liability would be driven back to the defendant,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publication to the Law Society of the contents of the February 4, 2003 letter cannot bottom an action for defamation or, indeed, ground any other form of action known to the law including, but not limited to: abuse of process, malicious prosecution and abuse of public office. This is unassailable law in British Columbia: Hung v. Gardiner </w:t>
      </w:r>
      <w:hyperlink r:id="rId237" w:history="1">
        <w:r>
          <w:rPr>
            <w:rFonts w:ascii="arial" w:eastAsia="arial" w:hAnsi="arial" w:cs="arial"/>
            <w:i/>
            <w:color w:val="0077CC"/>
            <w:sz w:val="20"/>
            <w:u w:val="single"/>
            <w:shd w:val="clear" w:color="auto" w:fill="FFFFFF"/>
            <w:lang w:val="en-US" w:eastAsia="en-US" w:bidi="ar-SA"/>
          </w:rPr>
          <w:t>(2003), 13 B.C.L.R. (4th) 298</w:t>
        </w:r>
      </w:hyperlink>
      <w:r>
        <w:rPr>
          <w:rFonts w:ascii="arial" w:eastAsia="arial" w:hAnsi="arial" w:cs="arial"/>
          <w:color w:val="000000"/>
          <w:sz w:val="20"/>
          <w:lang w:val="en-US" w:eastAsia="en-US" w:bidi="ar-SA"/>
        </w:rPr>
        <w:t xml:space="preserve"> (B.C.C.A.); Hamouth v. Edwards &amp; Angell, </w:t>
      </w:r>
      <w:hyperlink r:id="rId238" w:history="1">
        <w:r>
          <w:rPr>
            <w:rFonts w:ascii="arial" w:eastAsia="arial" w:hAnsi="arial" w:cs="arial"/>
            <w:i/>
            <w:color w:val="0077CC"/>
            <w:sz w:val="20"/>
            <w:u w:val="single"/>
            <w:shd w:val="clear" w:color="auto" w:fill="FFFFFF"/>
            <w:lang w:val="en-US" w:eastAsia="en-US" w:bidi="ar-SA"/>
          </w:rPr>
          <w:t>[2005] B.C.J. No. 639</w:t>
        </w:r>
      </w:hyperlink>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2005 BCCA 172</w:t>
        </w:r>
      </w:hyperlink>
      <w:r>
        <w:rPr>
          <w:rFonts w:ascii="arial" w:eastAsia="arial" w:hAnsi="arial" w:cs="arial"/>
          <w:color w:val="000000"/>
          <w:sz w:val="20"/>
          <w:lang w:val="en-US" w:eastAsia="en-US" w:bidi="ar-SA"/>
        </w:rPr>
        <w:t xml:space="preserve"> (March 30,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case devolves therefore to a claim of defamation by publication to the world by radio on February 13, 2003 and to two entities in February, 2003 by sending them copies of the February 4, 2003 letter, as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What was said on February 13, 2003 on the radio?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Exhibit 9, a form of recording, is the evidence. Exhibit 10, a transcript, is nothing in law more than an aid to the trier of fact. But I find Exhibit 10 sufficient for the purposes of explication.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Exhibit 10 reads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TRANSCRIPT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CKNW NEWS - FEBRUARY 13, 2003</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BILL GOOD SHOW - EXCERPT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Jamie Graham: Let me just talk a sec about there was one allegation that one of the people threw at me on Friday, that there about a, there is some guy in town that did a very nice glossy report, uh, the Pivot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Bill Good: An organization called Pivot.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Jamie Graham: Yeah, Pivot. And they did a nice, high-end glossy report with a series of innuendo and criticism of us in a wide variety of cases, and actually went as far as without any naming anybody simply threw out there the fact that we kidnap and we injure and we torture people. I've never heard anything so preposterous in my life. So, but its out there. And I can't fight it when there are no names attached to it. So what do I do? I haven't got enough evidence to execute a search warrant and go get the material from him. So I wrote him a letter, and I said you give me the facts you've got. You give me every affidavit, give me your tapes, give me your affidavits, all the names and addresses you have of everybody I'll assign an officer to every one of those cases and he just says no, he just wants to keep it in house. And in fact one of the verbal comments that went to him before the election was he was doing this for an election ploy, he told that to one of my investigators. So we're wide open, but now he's saying that he wants to wait until the new public complaints commissioner is in town well he has a letter from the existing public complaints commissioner saying that's not the way we do business. We have a process, and if you feel you've been aggrieved or harmed by the police, you come forward. My job and my reputation depends on how thorough a job I do and I'm going to do a thorough job.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Bill Good: I'll break for the news headlines, and when we come back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say as the judge of the law and the trier of fact combined in one person that upon calm reflection there are only two statements contained in that broadcast that could possibly be labelled defamatory in law: ".. he just says no he wants to keep it in house .." and ".. And in fact one of the verbal comments that went to him before the election was he was doing this for an election ploy, he told that to one of my investigators". All other bits in Exhibit 9 referred to by counsel for the plaintiff are so far from being what is contemplated by the law as "defamatory", as to be unworthy of further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turn to the February 4, 2003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What was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letter is Exhibit 14 and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February 4th, 2003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Society of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845 Cambie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V6B 4Z9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Sir or Madam: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John Richardson &amp; Pivot Legal Society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October last year, I received a glossy report authored by the Pivot Legal Society under a covering letter from Barrister and Solicitor, John Richardson, the Society's Executive Director. The report purports to contain approximately fifty examples of serious police criminal misconduct based on affidavits taken by Mr. Richardson and his associates. The report was distributed with a detailed media campaign.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the members of our Internal Investigation Unit contacted Mr. Richardson by phone and was told that he had no intention of releasing names. Mr. Richardson also said that the release of the report was specifically timed to coincide with the Vancouver civic election. Having received nothing from Mr. Richardson, I wrote him and explained that it is both my duty and responsibility to investigate all allegations of police misconduct. A copy of my letter is attached. The Pivot report contains allegations of serious criminal offences by members of the Vancouver Police Department. The VPD was categorized in Mr. Richardson's report as committing acts of torture and assault against innocent citizens. My letter explained that in order to conduct thorough investigations, the timely collection of trace evidence to prevent contamination, obtaining witness statements while memories were clear, providing victim support and the pursuit of offenders, would be crucial. He was clearly told that any delay in actively investigating these cases could jeopardize the chances of successfully "clearing" any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Richardson's rationale in not supplying the alleged victims' full particulars was apparently based on his views regarding the inadequacy of the current legislation governing the investigation of allegations of police conduct. He is aware of the process for citizens to register their complaints against police officers, but he does not agree with it. Mr. Richardson received a letter dated November 5th, 2002, from the Acting Police Complaint Commissioner, H. Benjamin Casson, Q.C. (AB), Office of the Police Complaint Commissioner, explaining the process for initiating a complaint, but once again no information was forthcoming. In late January, Mr. Richardson told the assembled Vancouver media that it was his intention to supply the details to the new Police Complaints Commissioner some time in February.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writing this as I have concerns with regard to Mr. Richardson's legal behaviour as a barrister and solicitor and an officer of the court. His obstruction may seriously hamper any chance of a successful conclusion to some of the allegations he has quoted and I am doubly troubled as to his real motives.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require any assistance, please contact my Executive Officer, Inspector Andy Hobbs, at 604-717-3498.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Jamie H. Graham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Chief Constable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cc:</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Vancouver Police Board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Police Complaints Commissioner, OPCC</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say as the judge of the law and the trier of fact combined in one person that upon calm reflection only the following bits in the February 4, 2003 letter could possibly be labelled defamatory in law: ".. Mr. Richardson also said that the release of the report was specifically timed to coincide with the Vancouver civic election" and "His obstruction may seriously hamper any chance of a successful conclusion to some of the allegations he has quoted and I am doubly troubled as to his real motives".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pause to clear away some underbrush.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Counsel for the defendant raised the issue of whether the plaintiff has established on a balance of probabilities that there was a publication in the February 13, 2003 radio broadcast "of and concerning the plaintiff". During the submissions of counsel for the defendant I made it clear I was against him on this point. I will explain.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case law brought to my attention by counsel throws up Booth et al v. B.C. Television Broadcasting System Ltd. et al </w:t>
      </w:r>
      <w:hyperlink r:id="rId239" w:history="1">
        <w:r>
          <w:rPr>
            <w:rFonts w:ascii="arial" w:eastAsia="arial" w:hAnsi="arial" w:cs="arial"/>
            <w:i/>
            <w:color w:val="0077CC"/>
            <w:sz w:val="20"/>
            <w:u w:val="single"/>
            <w:shd w:val="clear" w:color="auto" w:fill="FFFFFF"/>
            <w:lang w:val="en-US" w:eastAsia="en-US" w:bidi="ar-SA"/>
          </w:rPr>
          <w:t>139 D.L.R. (3d) 88</w:t>
        </w:r>
      </w:hyperlink>
      <w:r>
        <w:rPr>
          <w:rFonts w:ascii="arial" w:eastAsia="arial" w:hAnsi="arial" w:cs="arial"/>
          <w:color w:val="000000"/>
          <w:sz w:val="20"/>
          <w:lang w:val="en-US" w:eastAsia="en-US" w:bidi="ar-SA"/>
        </w:rPr>
        <w:t xml:space="preserve"> (B.C.C.A. 1982) as the governing authority in this province on the issue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respectful opinion what appears on the face of the Court of Appeal's reasons for judgment drives the reader back to the trial judgment of Mr. Justice Hinkson, as he then was, for a complete statement of the law adopted as correct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Justice Hinkson's reasons for judgment - Booth et al v. B.C. Television Broadcasting System Ltd. et al - December 19, 1975, No. 28735-74, B.C.S.C. - repay repeated reading.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For my purposes now what matters is that I take from Mr. Justice Hinkson's reasons that absence of evidence that reasonable people with special knowledge of the plaintiff, or the organization of the Pivot Legal Society, did hear the broadcast and concluded that the publication was of and concerning the plaintiff is determinative of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What matters when I apply the law as stated at length by Mr. Justice Hinkson to what is thrown up by the evidence in the case at bar is that: (1) as the judge of the law I am convinced that the CKNW broadcast - having regard to its language - was capable of referring to the plaintiff; and (2) as the trier of fact I am convinced that the words refer in fact to the plaintiff, that is to say, a reasonable person with knowledge of the plaintiff, on hearing the broadcast, would think it was "of and concerning"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to point No. 1, I go to the words of the broadcast, and, more particularly the words ".. some guy in town that did a very nice glossy report, uh, the Pivot report" ... "Yeah Pivot. And they did ... from him ... wrote him a letter ... he just says no he just wants ... verbal comments that went to him ... he was doing this ... he's saying."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to point No. 2 I find as a fact that those who knew of the Pivot Legal Society and the plaintiff knew that the Society took executive action through the plaintiff, its executive director. That fact overwhelms the defendant's point to the effect that the plaintiff was not named in the broadcast and was but one of six people who authored Exhibit 7, the Pivot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return to where I was before I dealt with the issue the defendant raised about whether the plaintiff has established on a balance of probabilities that there was a publication in the February 13, 2003 radio broadcast "of and concerning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Should this court make a pronouncement as to whether one, some or all of the possibly defamatory statements isolated above in paragraphs 39 and 43 was in fact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say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qualified privilege that applies when one who is responding to an attack publishes what he has to say to only the audience chosen by his attacker so obviously has application to the situation that confronts the court in the case at bar that in my respectful opinion the better way for me to explain the final result in the case at bar is to assume that all of the statements isolated above were defamatory and then move to whether the plaintiff, on whom the onus lies in this connection, has established malice on the part of the defendant, Graham, thus defeating the defence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pause here to note that the February 13, 2003 publication by the defendant Graham on the Bill Good radio show was a publication to the world which was published in response to the publication on October 29, 2002 to the world through the press by the Pivot Legal Society and the plaintiff of Exhibit 7 a "report" which indicts the Vancouver City Police Department and specifies that serious crimes were committed by individual members of the Vancouver Police Department but offers no detail as to the identity of alleged perpetrators or victims.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also note here that the publication of the defendant Graham's February 4, 2003 letter to the Vancouver Police Board and the Police Complaint Commissioner was publication to the exact same audience chosen by the plaintiff for special treatment in connection with the publication of Exhibit 7 on October 29, 2002. The plaintiff told me that copies of Exhibit 7 were sent by Pivot - that means by the plaintiff - to the Law Society, the Police Complaint Commissioner and the Vancouver Police Board. On February 4, 2003 the defendant Graham simply tracked what the plaintiff had done in October,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law in this province that codifies the common sense proposition that one can respond to an attack if one publishes the response to an audience no wider than the audience chosen by the attacker - and fear nothing absent proof of malice - was settled by the Court of Appeal of this province in Ward v. Clark </w:t>
      </w:r>
      <w:hyperlink r:id="rId240" w:history="1">
        <w:r>
          <w:rPr>
            <w:rFonts w:ascii="arial" w:eastAsia="arial" w:hAnsi="arial" w:cs="arial"/>
            <w:i/>
            <w:color w:val="0077CC"/>
            <w:sz w:val="20"/>
            <w:u w:val="single"/>
            <w:shd w:val="clear" w:color="auto" w:fill="FFFFFF"/>
            <w:lang w:val="en-US" w:eastAsia="en-US" w:bidi="ar-SA"/>
          </w:rPr>
          <w:t>95 B.C.L.R. (3d) 209</w:t>
        </w:r>
      </w:hyperlink>
      <w:r>
        <w:rPr>
          <w:rFonts w:ascii="arial" w:eastAsia="arial" w:hAnsi="arial" w:cs="arial"/>
          <w:color w:val="000000"/>
          <w:sz w:val="20"/>
          <w:lang w:val="en-US" w:eastAsia="en-US" w:bidi="ar-SA"/>
        </w:rPr>
        <w:t xml:space="preserve">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 Mr. Justice Esson works his way through what was thrown up by the evidence in the Ward v. Clark case, the difference between the situation encountered there and what confronted the courts in the Jones v. Bennett litigation (1966 to 1968) and the need to treat the decision of the House of Lords in Adams v. Ward, [1917] A.C. 309 as the sheet anchor of this area of law. The upshot, for my purposes, is the statement as law of the common sense proposition set out by me in paragraph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issue in the case at bar becomes just this: has the plaintiff, on whom the onus lies, established on a balance of probabilities that as to either or both of the publications by the defendant on February 13, 2003 and February 4, 2003 (as above) the presence of malice defeats the defence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short answer is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am satisfied that when the defendant Graham said on the radio on the Bill Good show on February 13, 2003 "he just wants to keep it in house" he did not speak the literal truth. He knew before February 13 (see Exhibit 6) that the plaintiff was willing to hand the affidavits in question over to a new Police Complaint Commissioner - not yet in office - for investigation by an investigator other than the Vancouver Police Department. But I find that what the defendant was driving at - but expressed badly - was that the plaintiff was making the decision as to when circumstances would be ripe to reveal what 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this context the plaintiff refers me to the cross-examination of the defendant Graham and says that of interest on the issue of malice is that before going on the air on the Bill Good show on February 13, 2003 the defendant had received information of some kind - the detail is lacking - about the relationship between a lawyer and his client and took from whatever he was told that the plaintiff's obtaining of permission from the unidentified affiants whose stories lie at the heart of Exhibit 7 to reveal their identities could be an issue. (Trial Transcript December 15,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point is that the defendant Graham went on the Bill Good show and said what he said, and said no more. And there the plaintiff's submission effectively ends. I find that the plaintiff's "point" is no point. The last meaningful communication from the plaintiff to the defendant Graham before the defendant went on the Bill Good show was the plaintiff's letter of January 23, 2003, Exhibit 6. There the plaintiff said this: "We would expect to provide full copies of all the affidavits to this investigator". In context "this investigator" meant an investigator satisfactory to the plaintiff. What plaintiff's counsel paints the defendant Graham with now - alleged difficulties perhaps grounded in the lawyer/client relationship - was not even worthy of specific mention by the plaintiff in his comprehensive letter of January 23, 2003, Exhibit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satisfied that when the defendant Graham said over the radio on the Bill Good show on February 13, 2003: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in fact one of the verbal comments that went to him before the election was he was doing this for an election ploy he told that to one of my investigators"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believed the whole of that to be true. The sting, if any, is in the word "ploy" not in the assertion that the plaintiff spoke to "one of my investigators".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the evidence before me the only conclusion available is that the plaintiff had not said any such thing to an "investigator". That is so because the plaintiff testified and said he made no such statement and the defendant called no witness to put the lie to what the plaintiff said on that point. And I saw no reason not to accept the plaintiff's evidence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But, as noted, I find that the defendant believed on February 13, 2003 that he had been told just such a thing. Its not having been said by the plaintiff is now a fact. But considering the subject matter at hand - the hot button issue of the policing of the Downtown Eastside - and the timing of the release of Exhibit 7 - call it two weeks before the civic election - and the way in which it was released - a full blown press conference on October 29 with advance notice to the press (Exhibit 38) and a handout for the press on October 29 (Exhibit 39) written in terms fit only for tabloid journalism - I readily understand how a sensible assumption by the defendant Graham became a bit of his common stock of knowledge. There is no platform here for a finding of recklessness or wilful blindness as to the truth of what was being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am satisfied that when in the February 4, 2003 letter copied to the Vancouver Police Board and the Police Complaint Commissioner the defendant Graham said that the plaintiff said the release of Exhibit 7 was timed to coincide with the Vancouver civic election he believed that to be true. I will not repeat here what I said above in the same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turn to the last item of interest i.e. the portion of the February 4, 2003 letter copied to the Vancouver Police Board and the Police Complaint Commissioner in which the defendant Graham said this: "His obstruction may seriously hamper any chance of a successful conclusion to some of the allegations he has quoted and I am doubly troubled as to his real motives".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am satisfied that when the defendant employed the word "obstruction" rather than "conduct" he simply used less than felicitous language; that when "conduct" is substituted for "obstruction" the inherent loss of time and fading of fresh trails simply makes what follows a statement of the obvious; and that the questioning of one's attacker's motives is fair game if one does so honestly and without malice. (See Collier v. Postum Cereal Co. Limited 134 N.Y. Supp. 847 (Supreme Court, Appellate Division, First Department, 1912) for an application of the overarching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Looked at individually or cumulatively the situation is this: in connection with the publishing by the defendant Graham of the statements that I said in paragraphs 39 and 43 of these reasons for judgment could possibly be labelled defamatory the plaintiff has failed utterly to convince me that the qualified privilege that otherwise obtains because of the law as settled in this province by Ward v. Clark, supra, was defeated by the presence of actual or express malice. I find that this is a case where the defendant Graham believed in the accuracy of what he said, was not reckless or wilfully blind as to the truth of what he was saying, had no oblique motive and said nothing not germane to the situation and falling well within the vigour the law allows to one in the defendant's position. (Ward v. Clark, supra) And in Ward v. Clark, supra, the Court of Appeal made it clear that in the context of the form of qualified privilege under discussion here nothing less than proof of actual or express malice will avail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action for defamation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have dealt with the only two ponderable causes of action left with me at the end of the case. (Wrongful arrest and libel). The plaintiff has failed to make out his case in connection with each of those causes of action. The whole of the plaintiff's claim and all of his causes of action are dismissed. I note here that from the outset of the trial it was common ground between counsel that the plaintiff had no case to present as against the defendant Aitken.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If counsel cannot agree on the question of costs they may make written submissions. Counsel for the defendants will make a written submission within 21 days of the issuing of these reasons for judgment. Counsel for the plaintiff will have 21 days to file a response. Counsel for the defendant will have 7 days to file a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STEWART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6" style="position:absolute;z-index:2519091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Royal Bank of Canada v. B.M.P. Global Distribution Inc., [2007] B.C.J. No. 2112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7 - 10,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S023327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2112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1438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76 B.C.L.R. (4th) 137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7 W.W.R. 727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2320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161 A.C.W.S. (3d) 551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Royal Bank of Canada, Plaintiff, and B.M.P. Global Distribution Inc., 636651 B.C. Ltd., Audie Hashka and Paul Backman,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7"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3" w:name="Keywords_11"/>
      <w:bookmarkEnd w:id="83"/>
      <w:r>
        <w:rPr>
          <w:rFonts w:ascii="arial" w:eastAsia="arial" w:hAnsi="arial" w:cs="arial"/>
          <w:b/>
          <w:color w:val="000000"/>
          <w:sz w:val="20"/>
          <w:lang w:val="en-US" w:eastAsia="en-US" w:bidi="ar-SA"/>
        </w:rPr>
        <w:t>Bills of exchange — Bills, cheques and notes — Liability of parties — The application to strike the amended statement of claim was dismissed — The court was not prepared to say in the circumstances that it was an abuse of process for the plaintiff bank to proceed.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Pleadings — Striking out pleadings or allegations — Grounds — False, frivolous, vexatious or abuse of process — Res judicata — The application to strike the amended statement of claim was dismissed — The court was not prepared to say in the circumstances that it was an abuse of process for the plaintiff bank to proceed.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4" w:name="Case Summary_9"/>
            <w:bookmarkEnd w:id="8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applied for an order striking the amended statement of claim -- In the underlying action, the plaintiff bank sought to recover damages arising out of the negotiation of a counterfeit cheque to the defendant BMP and what the bank described as the defendants' subsequent efforts to obtain a windfall in the proceeds obtained from negotiation of the cheque, despite what the bank claimed was its clearly superior claim to the proceeds -- The defendants argued that the claim disclosed no cause of action, was frivolous, vexatious, and a collateral attack on the judgment in the "BNS action" -- The plaintiff asserted that the claim pleaded facts necessary to support a cause of action for damages, equitable relief for breach of trust, knowing receipt and to assert a proprietary and tracing claim with respect to the disputed property -- HELD: The application was dismissed -- The court was not prepared to say in the circumstances that it was an abuse of process for the plaintiff bank to proceed -- The plaintiff had pleaded the facts necessary to support a cause of action for damages, equitable relief for breach of trust, knowing receipt and to assert proprietary and tracing claims with respect to the disputed property -- It was not for the court in the context of the present application to delve further into an evaluation of the prospects for success of the action -- Neither the causes of action nor the questions were the same in the BNS action, and accordingly the present action was not barred by res judicata -- Because the BNS action did not determine entitlement to the funds between the plaintiff and the defendants, the present action was not an attempt to vary, nullify or reverse the BNS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5" w:name="Legislation Cited_9"/>
      <w:bookmarkEnd w:id="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8"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6" w:name="Counsel_11"/>
      <w:bookmarkEnd w:id="8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9"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Ross McGowan, Robert Dawkins.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Paul E. Jaffe.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Proposed Defendant Debra Backman: Dean T. Fox.</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7" w:name="Judgment_11"/>
      <w:bookmarkEnd w:id="87"/>
      <w:r>
        <w:pict>
          <v:line id="_x0000_s1090" style="position:absolute;z-index:2518241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8" w:name="ROSS J."/>
            <w:bookmarkEnd w:id="88"/>
            <w:r>
              <w:rPr>
                <w:rFonts w:ascii="arial" w:eastAsia="arial" w:hAnsi="arial" w:cs="arial"/>
                <w:b/>
                <w:color w:val="000000"/>
                <w:sz w:val="30"/>
                <w:lang w:val="en-US" w:eastAsia="en-US" w:bidi="ar-SA"/>
              </w:rPr>
              <w:t>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defendants B.M.P. Global Distribution Inc., 636651 B.C. Ltd., Audie Hashka and Paul Backman, brought pursuant to rules 18(6) and 19(24) for an order striking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present action the plaintiff, Royal Bank of Canada ("RBC"), seeks to recover loss and damages arising out of the negotiation of a counterfeit cheque to the defendant B.M.P. Global Distribution Inc. ("BMP") and what RBC describes as the defendants' subsequent efforts to obtain a windfall in the proceeds obtained from negotiation of the cheque, despite what RBC claims is its clearly superior claim to the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circumstances surrounding this counterfeit cheque and its subsequent negotiation have given rise to two lawsuits. The first action was a suit by the defendants in this action, as plaintiffs, against their own bank, the Bank of Nova Scotia (the "BNS Action") for,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breach of contract. The Bank of Nova Scotia had, at the request of RBC, frozen funds in the plaintiffs' accounts and then transferred funds representing some of the proceeds of the counterfeit cheque back to RBC. The plaintiffs asserted that this conduct was in breach of the Bank's obligations to its customers. RBC was not a party to the BNS Action. The BNS Action proceeded to a summary trial, the results of which were set aside by the Court of Appeal, and then to a full trial and subsequent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present lawsuit was commenced during the course of the BNS Action but, in circumstances discussed more fully below, was held in abeyance while the BNS Action proceeded. The essence of this application brought by the defendants is that the claim of RBC discloses no cause of action, is unnecessary, vexatious, an abuse of process and a collateral attack on the judgment in the BNS Action, and for those reasons, the action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Circumstances Surrounding the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essential facts giving rise to the litigation are set out in the judgment of Mr. Justice Cohen in </w:t>
      </w:r>
      <w:r>
        <w:rPr>
          <w:rFonts w:ascii="arial" w:eastAsia="arial" w:hAnsi="arial" w:cs="arial"/>
          <w:b/>
          <w:i/>
          <w:color w:val="000000"/>
          <w:sz w:val="20"/>
          <w:lang w:val="en-US" w:eastAsia="en-US" w:bidi="ar-SA"/>
        </w:rPr>
        <w:t>B.M.P Global Distribution Inc. v. Bank of Nova Scotia</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2005 BCSC 1091</w:t>
        </w:r>
      </w:hyperlink>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8 B.L.R. (4th) 247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BNS Trial Decision</w:t>
      </w:r>
      <w:r>
        <w:rPr>
          <w:rFonts w:ascii="arial" w:eastAsia="arial" w:hAnsi="arial" w:cs="arial"/>
          <w:color w:val="000000"/>
          <w:sz w:val="20"/>
          <w:lang w:val="en-US" w:eastAsia="en-US" w:bidi="ar-SA"/>
        </w:rPr>
        <w:t>]. The following description of the events is adopted from Cohen J.'s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Paul Backman and Audie Hashka are the directors of BMP. 636651 B.C. Ltd. ("636651") is Mr. Hashka's holding company. In 2001, each of the companies had a corporate account at the Bank of Nova Scotia. Mr. Backman and Mr. Hashka also had personal accounts at the Bank of Nova Scotia. Mr. Backman's two accounts were held jointly with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BMP was incorporated in July 1999. It is in the business of distributing non-stick bakeware manufactured and supplied by Pantec Technologies ("Pantec"). BMP acts as Pantec's commercial distributor, but without any written distribution agreement granting BMP distribution rights. BMP does not own any interest in the line of bakeware manufactured by Pantec.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Backman and Mr. Hashka testified that between August and September 2001, they reached an agreement with Mr. Sunn Newman of Sunrise Marketing, whereby BMP agreed to sell the right to distribute the bakeware in a portion of the United States to Mr. Newman for $1.2 million USD. The circumstances described by Mr. Backman and Mr. Hashka were somewhat unusual for a commercial transaction of this magnitude. Cohen J. summarized these circumstances at paras 12-16: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Hashka described the negotiations with Newman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come up with the number, "How does $1.2 million US sound," when we're looking at, you know, what was in the east that still was, you know, possible clientele. There's large bake - larger franchises, like Krogers, - you know, things like that. And so I came up with the number 1.2 million US. I called [Mr. Newman] back. I think I caught a hold of him in Houston and put the number onto him. He said, "Okay. I'll confer with my partners on what they think." I said "Fine. If you're interested that's the number we're looking at. You get back to me." And that's how I left it with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Backman agreed that Hashka arrived at the price of USD $1.2 million by pulling the number out of the air. BMP Global had no projected cash flow statements, business plans or marketing plans that were used as the basis for the negotiations. Further, Newman did not request copies of BMP Global's financial statements or sales records (indicating a net loss of approximately $3,500), nor did BMP Global offer to provide this kind of information to Newman.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Backman and Hashka did no research into Newman or Sunrise Marketing. They did not ask Newman for financial statements, nor did they request information on Newman's previous experience in the distribution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knowledge of Newman was described by Backman, as follows:</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Okay. So what did - what did you know about Sunrise Marketing?</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 that it was Mr. Newman who we were doing business with.</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what did you know about Mr. Newman?</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Only that he was a sharp-looking guy that seemed like he had a lot of potential.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Hashka said: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 you give us a sense of what you knew about Newman or what your feeling was about him in your dealings with him?</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he seemed like a professional. He dressed well. He seemed professional. He seemed like a businessman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October 22, 2001, BMP received a cheque for $904,563.00 (the "Cheque"). The Cheque was on a customized cheque form from First National Financial Corporation ("First National"), written on an account at the Royal Bank of Canada and purporting to be signed by two signatories. The Cheque came by courier with no covering letter. It contained no indication of its purpose. The contact information on the envelope was E. Smith. Neither the drawer of the Cheque nor E. Smith were known to Mr. Backman or Mr. Haska. They made no attempt to contact either First National or E. Smith at the address or telephone number listed on the courier envelope.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Cohen J. found that the Cheque was counterfeit and that the plaintiffs gave no consideration to anyone for its receipt.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October 22, 2001, Mr. Hashka and Mr. Backman took the Cheque to their branch of the Bank of Nova Scotia and spoke to the Branch Manager, Jeff Richards, who had known the men since 1998. Mr. Hashka told Mr. Richards the Cheque was a down payment for distributor rights for their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time the Cheque was presented for deposit, the balance in the BMP account was $59.67. Mr. Backman and Mr. Hashka were not given immediate access to the funds. A hold was placed on the funds because BMP did not have sufficient funds in its account to cover the amount in the event that the Cheque was returned.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Richards asked his Service Manager to phone RBC to take steps to verify the Cheque. Mr. Richards was told funds were available and there was no stop payment on the Cheque. Mr. Richards instructed his staff to fax a copy of the cheque to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days that followed, Mr. Hashka and Mr. Backman had discussions with Mr. Richards about some of the unusual circumstances surrounding the Cheque. Mr. Hashka informed Mr. Richards that BMP's customer on the distribution deal was Summit Marketing and that they were dealing with a Mr. Danko. They did not refer to Sunrise Marketing or Mr. Newman.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Cheque was cleared through the clearing system and on October 30, 2001, Mr. Haska and Mr. Backman were allowed to deal with the funds. Over the next ten days a number of payments were made from the BMP account. There were a series of payments to the accounts of Mr. Backman, Mr. Hashka and 636651. A number of payments were made to third parties. Mr. Justice Cohen stated at para. 28-31: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seven day hold was released Hashka and Backman were allowed to deal with the Funds. On October 30, 2001, and over the next ten days, BMP Global made numerous payments from the BMP Account, including a number of payments to Hashka, Backman and 636651.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the exception of a payment of $3,000 to Raynier on October 30, 2001, all payments from the BMP Account to parties other than the plaintiffs between October 30, 2001 and November 9, 2001 were related to the payment of pre-existing debts incurred before their receipt of the Counterfeit Cheque. These debts existed entirely independently of the receipt by BMP Global of the Counterfeit Cheque and were not incurred in reliance on receipt of the Counterfeit Cheque.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November 7, 2001, Hashka requested the BNS to transfer USD $20,000 to an account at the Citibank in New York City payable to LMB Prestsquare, Advice A.U. Salamain. Both Hashka and Backman testified that they do not know LMB Prestsquare or A.U. Salamain. The wire transfer was processed on November 8, 2001, resulting in a debit to the BMP Account of $32,157.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other payments out of the BMP Account between October 30, 2001 and November 9, 2001, totalling approximately $790,000 related to the transfer of the Funds by BMP Global to other accounts operated by the plaintiffs. No financial statements or other documents have been produced to explain the basis upon which the Funds were distributed to the plaintiffs. The Funds were either disbursed by the plaintiffs, returned to the BMP Account or remained to the credit of the plaintiffs' various accounts on November 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November 9, 2001, Mr. Richards received a telephone call from a person at RBC advising him that the Cheque had not been issued by First National. Later that day, he contacted Mr. Backman and Mr. Hashka and informed them of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Richards also contacted Ray Scheller, the Regional Manager for Investigation and Loss Prevention for the Bank of Nova Scotia in Vancouver. Mr. Scheller took steps to issue a grid warning with respect to the Cheque. Cohen J. described grid warnings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grid warning is a form of communication between financial institutions by which they, through their corporate security departments, seek assistance and share information. In November 2001, all grid warnings in the Lower Mainland were issued by the corporate security office of the Bank of Montreal. This was done by agreement between the financial institutions to ensure consistency and uniformity in the grid warnings that were issued. Distribution of grid warnings is limited to corporate security offices of financial institutions in the Lower Mainland. On average, five to six grid warnings are issued each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Bank of Nova Scotia then froze the accounts of BMP, 636651, Mr. Hashka and Mr. Backman. The Bank of Nova Scotia ultimately entered into an agreement with RBC whereby, at RBC's request, the Bank of Nova Scotia agreed to restrain and remit to RBC the frozen funds and RBC agreed to indemnify the Bank of Nova Scotia. The frozen funds were made up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53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Account</w:t>
            </w:r>
          </w:p>
        </w:tc>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Amount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53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BMP Account</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$ 350,188.65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636651 Account</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$ 393,000.00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Backman Chequing Account</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$ 17,711.17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Hashka Account</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$ 13,104.87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Backman Savings Account</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$ 2, 645.79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$ 776,650.48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addition to the amounts frozen, the Bank of Nova Scotia recovered $685.56 by reversing certain bill payments that had been made by BMP. The total amount frozen or recovered was $777,336.04 (the "Recovered Funds"). The difference between the funds advanced on the basis of the Cheque, $904,563.00 (the "Funds"), and the Recovered Funds, is $127,226.96 (the "Outstanding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of the date of the trial, Cohen J. noted that Mr. Hashka and Mr. Backman had not been able to contact Mr. Newman. Mr. Newman had not contacted them, either with respect to the Cheque or the alleged distribution agreement. The plaintiffs had not commenced proceedings against Mr. Newman or Sunrise Marketing to enforce the alleged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BNS Action was commenced by writ of summons dated December 21, 2001. The plaintiffs were BMP, 636651 B.C. Ltd., Audie Hashka and Paul Backman. The defendants were the Bank of Nova Scotia doing business as Scotiabank and the said Scotiabank ("BNS"). The claim was for damages for libel and slander arising from matters in relation to the grid warnings,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conversion, money had and received, breach of fiduciary duty, and breaches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R.S.C. 1985, c. P-21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Bills of Exchange Act</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R.S.C. 1985, c. B-4</w:t>
        </w:r>
      </w:hyperlink>
      <w:r>
        <w:rPr>
          <w:rFonts w:ascii="arial" w:eastAsia="arial" w:hAnsi="arial" w:cs="arial"/>
          <w:color w:val="000000"/>
          <w:sz w:val="20"/>
          <w:lang w:val="en-US" w:eastAsia="en-US" w:bidi="ar-SA"/>
        </w:rPr>
        <w:t xml:space="preserve">. The plaintiffs in the BNS Action initially sought,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release of what were described as the frozen funds, which were in effect the Recovered Funds as those funds had in fact been transferred to RBC, damages including punitive damages and a declaration that the plaintiffs owned the funds that BNS had frozen.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BNS filed a statement of defence dated January 23, 2002. It pleaded, in addition to a general denial of the plaintiffs' claims, that the Cheque was a counterfeit and not a genuine cheque drawn by First National, and that BNS transferred the Recovered Funds to RBC on the basis that the Cheque had been credited to the BMP account by BNS acting under a mistake of fact. BNS sought to have the action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April 2002, the plaintiffs in the BNS Action set the matter down for summary trial pursuant to rule 18A. The matter was to be heard on June 24 and 25, 2002. The relief sought was an order for damages, or return of the Recovered Funds. The plaintiffs did not seek a declaration of ownership of the Recovered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By writ and statement of claim dated June 12, 2002, RBC commenced the present action (the "RBC Action") in which RBC is the plaintiff and the BMP parties (the plaintiffs in the BNS Action) are the defendants. The action concerned the Funds, which were defined as the amount credited by BNS to the BMP account in relation to the Cheque. RBC pleaded that the Cheque was counterfeit and that because the Cheque had cleared the clearing system, BNS had received payment for the amount of the Cheque from RBC. It pleaded that as a consequence, RBC was defrauded through the creation of the Cheque. RBC pleaded that at all times, all right, title, interest or property in the Funds remained with it and that at no time did the defendants acquire any interest in the Funds or were the defendants entitled to the Funds. RBC sought a declaration that it was entitled to trace the Recovered Funds and an order that the defendants were liable to it for the Outstanding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BNS filed a response in relation to the motion for a summary trial in the BNS Action in which it took the position that the matter was inappropriate for determination by way of rule 18A. BNS noted that RBC had commenced an action seeking a declaration that it was entitled to the return of the Funds advanced on the basis of the counterfeit Cheque and seeking an order requiring the defendants to repay the outstanding amount. BNS stated that the two actions should proceed together as they raise the same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statement of defence in the RBC Action was filed dated July 30, 2002. The defendants denied that the Cheque was counterfeit and pleaded, in the alternative, that RBC was negligent and in breach of its duty to take steps to ensure that the Cheque was genuine. They pleaded that all transactions conducted by the defendants were undertaken in reliance upon RBC's representation that the Cheque was genuine and with the belief that their right to spend the funds was unfettered.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Shortly before the rule 18A application was scheduled to proceed in the BNS Action, BNS filed an amended statement of defence dated August 22, 2002. In it, BNS made reference to the suspicious circumstances surrounding the delivery of the Cheque and pleaded that the plaintiffs failed to disclose the suspicious circumstances to BNS. BNS also pleaded that at all material times, the amount credited to the BMP account was the property of First National, who requested its return through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reasons for the summary trial application were given by Madam Justice Humphries in </w:t>
      </w:r>
      <w:r>
        <w:rPr>
          <w:rFonts w:ascii="arial" w:eastAsia="arial" w:hAnsi="arial" w:cs="arial"/>
          <w:b/>
          <w:i/>
          <w:color w:val="000000"/>
          <w:sz w:val="20"/>
          <w:lang w:val="en-US" w:eastAsia="en-US" w:bidi="ar-SA"/>
        </w:rPr>
        <w:t>B.M.P. Global v. Scotiabank</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2002 BCSC 1508</w:t>
        </w:r>
      </w:hyperlink>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8 B.C.L.R. (4th) 184</w:t>
        </w:r>
      </w:hyperlink>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BNS 18A</w:t>
      </w:r>
      <w:r>
        <w:rPr>
          <w:rFonts w:ascii="arial" w:eastAsia="arial" w:hAnsi="arial" w:cs="arial"/>
          <w:color w:val="000000"/>
          <w:sz w:val="20"/>
          <w:lang w:val="en-US" w:eastAsia="en-US" w:bidi="ar-SA"/>
        </w:rPr>
        <w:t>]. It was clear that Madam Justice Humphries was aware of the RBC Action. She noted at paras. 12-13: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December 21, 2001, the plaintiffs sued Scotiabank for return of the money and for consequential damages for the way in which Scotiabank dealt with them and allegedly damaged their business reputation (the latter claim not being part of this application); Royal Bank has now initiated a separate action against the plaintiffs, I presume for the balance of the money. That action is not before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Statement of Claim sounds in breach of contract, libel, slander,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conversion, money had and received, breach of fiduciary duty, breach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and breach of the </w:t>
      </w:r>
      <w:r>
        <w:rPr>
          <w:rFonts w:ascii="arial" w:eastAsia="arial" w:hAnsi="arial" w:cs="arial"/>
          <w:b/>
          <w:i/>
          <w:color w:val="000000"/>
          <w:sz w:val="20"/>
          <w:lang w:val="en-US" w:eastAsia="en-US" w:bidi="ar-SA"/>
        </w:rPr>
        <w:t>Bills of Exchange Act</w:t>
      </w:r>
      <w:r>
        <w:rPr>
          <w:rFonts w:ascii="arial" w:eastAsia="arial" w:hAnsi="arial" w:cs="arial"/>
          <w:color w:val="000000"/>
          <w:sz w:val="20"/>
          <w:lang w:val="en-US" w:eastAsia="en-US" w:bidi="ar-SA"/>
        </w:rPr>
        <w:t>, but the argument before me centred on contract. The Statement of Defence as originally filed pleaded only mistake of fact. It has now been amended to include a defence of lawful justification in respect of the crediting of the Royal Bank with the funds, and breach of various obligations on the part of the plaintiffs. In neither version has fraud or any involvement in the production of the cheque on the part of the plaintiffs been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were seeking resolution of a limited question in the 18A application in the BNS Action. Humphries J. described the plaintiffs' position as follows at paras. 19-20: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there are remedies sought in equity in the Statement of Claim, the plaintiffs did not pursue them at trial, concentrating on their claim of debt under the Financial Services Agreement ("the contract"), which is a standard banking contract of adhesion.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position is simple: they maintain that, settlement having been received, the bank had no authority to charge their account. </w:t>
      </w:r>
      <w:r>
        <w:rPr>
          <w:rFonts w:ascii="arial" w:eastAsia="arial" w:hAnsi="arial" w:cs="arial"/>
          <w:color w:val="000000"/>
          <w:sz w:val="20"/>
          <w:u w:val="single"/>
          <w:lang w:val="en-US" w:eastAsia="en-US" w:bidi="ar-SA"/>
        </w:rPr>
        <w:t>Whatever the rights of the Royal Bank, and whoever is eventually entitled to the money</w:t>
      </w:r>
      <w:r>
        <w:rPr>
          <w:rFonts w:ascii="arial" w:eastAsia="arial" w:hAnsi="arial" w:cs="arial"/>
          <w:color w:val="000000"/>
          <w:sz w:val="20"/>
          <w:lang w:val="en-US" w:eastAsia="en-US" w:bidi="ar-SA"/>
        </w:rPr>
        <w:t>, Scotiabank could not simply take the money from their accounts and send it off to the Royal Bank. By doing so Scotiabank breached its contract with the plaintiff and is in debt to the plaintiffs for the amounts taken from their account.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Madam Justice Humphries concluded that it was appropriate to deal with the "very narrow" issue that was before her; namely, could the bank transfer the funds in the plaintiffs' account to RBC. She stated her conclusions with respect to this issue at paras. 35-38: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may be that the plaintiffs have suffered consequential damage through the manner in which the defendants dealt with their accounts; that issue is not before me and will go to the trial list. However, the plaintiffs have suffered no damage by having the money, which was never real and never theirs, taken from their accounts. To ignore the fact that there was no underlying transaction through which the plaintiffs had any valid or legally enforceable expectation of money, were owed any money, or were put at risk by not receiving the money, would indeed be to sanction a windfall, created through "legal legerdemain".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result, I find that the bank did breach the contract when it transferred the funds out of the plaintiffs' account to the Royal Bank, but the plaintiff did not suffer a loss by the transfer of those funds, other than whatever consequential damages might be proven at trial. That issue is referred to the trial list. Although I am not seized, I will hear it if counsel can arrange a convenient time through the registry.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other considerations and other arguments to be made in respect of entitlement to the money which is the subject of the action by the Royal Bank; that action is not based upon the contract in issue here. As well, there may be different evidence before the court on that action. Obviously, I can make no finding in this action which is relevant to the sorts of losses or claims that may or may not have occurred in that context.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has succeeded in proving a breach, but the defendant has succeeded in their position that there has been no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plaintiffs appealed and BNS cross-appealed. The plaintiffs took the position at the appeal that "this is simply a question of breach of contract and that that issue proceeds on undisputed facts." The Court of Appeal, in </w:t>
      </w:r>
      <w:r>
        <w:rPr>
          <w:rFonts w:ascii="arial" w:eastAsia="arial" w:hAnsi="arial" w:cs="arial"/>
          <w:b/>
          <w:i/>
          <w:color w:val="000000"/>
          <w:sz w:val="20"/>
          <w:lang w:val="en-US" w:eastAsia="en-US" w:bidi="ar-SA"/>
        </w:rPr>
        <w:t>B.M.P. Global et al. v. Bank of Nova Scotia</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2003 BCCA 534</w:t>
        </w:r>
      </w:hyperlink>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19 B.C.L.R. (4th) 347</w:t>
        </w:r>
      </w:hyperlink>
      <w:r>
        <w:rPr>
          <w:rFonts w:ascii="arial" w:eastAsia="arial" w:hAnsi="arial" w:cs="arial"/>
          <w:color w:val="000000"/>
          <w:sz w:val="20"/>
          <w:lang w:val="en-US" w:eastAsia="en-US" w:bidi="ar-SA"/>
        </w:rPr>
        <w:t>, concluded that the issue should not have been decided pursuant to rule 18A, set aside the order and remitted the matter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reasons of the Court of Appeal were pronounced on September 30, 2003. The BNS Action was at that point set down for trial commencing January 12, 2004. By letter dated October 10, 2003, Douglas G.S. Rae, Q.C., counsel for both BNS and RBC, wrote to Paul E. Jaffe, counsel for the plaintiffs in the BNS Action, and to Dean T. Fox, counsel for the defendants in the RBC Action. The letter sought consent to an order that the BNS and RBC Actions be heard together. Mr. Rae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clients wish the BNS Action and the RBC Action to be heard together. The two actions arise from the same facts and involve common questions of both law and fact. On this basis, it is our position that it is desirable to dispose of both actions at the same time. Proceeding in this manner will save time and expense and will be more convenient for all parties and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Related to the issue of the hearing of the two actions together, is the matter of discovery evidence. We suggest that the parties agree that the examinations for discovery and exchange of documents that has taken place to date be available for use by the parties in both actions. This will ensure that both matters can proceed to trial on the scheduled trial date and will save the parties the time and expense of conducting further discoveries that would be largely duplicative of the discoveries which have already occurred. We have previously raised this issue for your consideration in respect of documents in our correspondence to Mr. Fox (copied to Mr. Jaffe) dated January 28, 2003 and March 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Jaffe responded by letter of the same date. He was opposed to having the matters heard together, in part because of a concern that the effect of such an order would be to compromise the trial date. Mr. Jaffe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essence of the counterclaim as yet to be filed in the RBC action is that RBC induced Scotiabank to breach its contracts with my clients. That decision, we say, was based on legal advice received by RBC between November 16, 2001 and December 6, 2001, leading to an agreement between the banks to circumvent the court regarding transfer of the subject funds. It is my clients' intention to proceed with that trial via a 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above counterclaim is unnecessary and potentially embarrassing if, at the Scotiabank trial, the court finds Scotiabank's actions to not be in breath of contract. Ideally, such counterclaim which may intrude upon the dealings between the banks and their counsel should not be launched until such time as the contract issues with Scotiabank have been adjudicated. I trust you agree that this is a responsible approach to take.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as earlier communicated (eg. see my letters to Jennifer Francis), given the restrictions upon a party's use of documents and information generated through discovery in the Scotiabank case (along with Scotiabank's common law and contractual duties to safeguard the privacy of my clients' banking, personal and business affairs), your law firm remains precluded from disclosing such confidential information to RBC.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respectful view, I believe your law firm is in a disqualifying conflict if both actions are to proceed together. However, until now, the RBC action has been held in abeyance pending the outcome of the Scotiabank case. This was a course all parties accepted in order that my clients' claim against Scotiabank can be dealt with. If the RBC action is now to be activated, and if your firm now intends to proceed with discoveries of my clients in that action, your law firm's dual role in this matter is unacceptable to my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result, no application to have the two actions heard together was brought and the BNS Action proceeded to trial before Cohen J. On November 3, 2003, the plaintiffs filed an amended statement of claim in the BNS Action. Included in the amendment was a change to paragraph 18. The original pleading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Defendant's conduct herein the Plaintiffs have suffered damages including loss of funds belonging to the Plaintiffs, losses arising from the Defendants interference with the Plaintiffs' businesses and damage to the reputation of each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amended paragraph now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Defendant's conduct herein the Plaintiffs have suffered damages including </w:t>
      </w:r>
      <w:r>
        <w:rPr>
          <w:rFonts w:ascii="arial" w:eastAsia="arial" w:hAnsi="arial" w:cs="arial"/>
          <w:color w:val="000000"/>
          <w:sz w:val="20"/>
          <w:u w:val="single"/>
          <w:lang w:val="en-US" w:eastAsia="en-US" w:bidi="ar-SA"/>
        </w:rPr>
        <w:t>loss of credit in their respective bank accounts</w:t>
      </w:r>
      <w:r>
        <w:rPr>
          <w:rFonts w:ascii="arial" w:eastAsia="arial" w:hAnsi="arial" w:cs="arial"/>
          <w:color w:val="000000"/>
          <w:sz w:val="20"/>
          <w:lang w:val="en-US" w:eastAsia="en-US" w:bidi="ar-SA"/>
        </w:rPr>
        <w:t>, // losses arising from the Defendants interference with the Plaintiffs' businesses and damage to the reputation of each of the Plaintiffs.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addition, in the amended statement of claim, the declaration with respect to ownership of the funds was deleted from the prayer for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Justice Cohen concluded that BNS had acted in breach of its contract with the plaintiffs and in breach of the law which governs banker/customer relations. At para. 306 of his reasons,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I find that by October 30, 2001, final settlement on the deposit of the Counterfeit Cheque had been reached between the BNS and the RBC within the meaning of the terms of the Agreement. Therefore, the RBC lost recourse against the BNS. The Funds went from being a "provisional" credit to being a "final" credit. At that stage the relationship between the BNS and the plaintiffs was that of debtor/creditor. The law provides that a bank may not pay out of a customer's account when it does not have permission to do so: See </w:t>
      </w:r>
      <w:r>
        <w:rPr>
          <w:rFonts w:ascii="arial" w:eastAsia="arial" w:hAnsi="arial" w:cs="arial"/>
          <w:b/>
          <w:i/>
          <w:color w:val="000000"/>
          <w:sz w:val="20"/>
          <w:lang w:val="en-US" w:eastAsia="en-US" w:bidi="ar-SA"/>
        </w:rPr>
        <w:t xml:space="preserve">Clansmen Resources Ltd., </w:t>
      </w:r>
      <w:hyperlink r:id="rId253" w:history="1">
        <w:r>
          <w:rPr>
            <w:rFonts w:ascii="arial" w:eastAsia="arial" w:hAnsi="arial" w:cs="arial"/>
            <w:b/>
            <w:i/>
            <w:color w:val="0077CC"/>
            <w:sz w:val="20"/>
            <w:u w:val="single"/>
            <w:shd w:val="clear" w:color="auto" w:fill="FFFFFF"/>
            <w:lang w:val="en-US" w:eastAsia="en-US" w:bidi="ar-SA"/>
          </w:rPr>
          <w:t>[1990] B.C.J. No. 549</w:t>
        </w:r>
      </w:hyperlink>
      <w:r>
        <w:rPr>
          <w:rFonts w:ascii="arial" w:eastAsia="arial" w:hAnsi="arial" w:cs="arial"/>
          <w:b/>
          <w:i/>
          <w:color w:val="000000"/>
          <w:sz w:val="20"/>
          <w:lang w:val="en-US" w:eastAsia="en-US" w:bidi="ar-SA"/>
        </w:rPr>
        <w:t>, White</w:t>
      </w:r>
      <w:r>
        <w:rPr>
          <w:rFonts w:ascii="arial" w:eastAsia="arial" w:hAnsi="arial" w:cs="arial"/>
          <w:b/>
          <w:color w:val="000000"/>
          <w:sz w:val="20"/>
          <w:lang w:val="en-US" w:eastAsia="en-US" w:bidi="ar-SA"/>
        </w:rPr>
        <w:t xml:space="preserve">, </w:t>
      </w:r>
      <w:hyperlink r:id="rId254" w:history="1">
        <w:r>
          <w:rPr>
            <w:rFonts w:ascii="arial" w:eastAsia="arial" w:hAnsi="arial" w:cs="arial"/>
            <w:b/>
            <w:i/>
            <w:color w:val="0077CC"/>
            <w:sz w:val="20"/>
            <w:u w:val="single"/>
            <w:shd w:val="clear" w:color="auto" w:fill="FFFFFF"/>
            <w:lang w:val="en-US" w:eastAsia="en-US" w:bidi="ar-SA"/>
          </w:rPr>
          <w:t>[1923] O.J. No. 91</w:t>
        </w:r>
      </w:hyperlink>
      <w:r>
        <w:rPr>
          <w:rFonts w:ascii="arial" w:eastAsia="arial" w:hAnsi="arial" w:cs="arial"/>
          <w:b/>
          <w:color w:val="000000"/>
          <w:sz w:val="20"/>
          <w:lang w:val="en-US" w:eastAsia="en-US" w:bidi="ar-SA"/>
        </w:rPr>
        <w:t>. Accordingly, when the BNS froze, retained and later remitted the Recovered Amount to the RBC without the plaintiff's permission, it acted in breach of its contractual obligations to the plaintiffs and contrary to the law which governs banker/customer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Cohen J. held that the plaintiffs were entitled to recover damages equal to the Recovered Funds, a $13.50 late charge payable to Mr. Backman, $7,500.00 for wrongful disclosure of information and defamation, and court order interest. He declined to make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BNS appealed and the plaintiffs crossed-appealed on the issue of punitive damages. BNS filed a notice of motion seeking a stay of execution. BNS reached an agreement with the plaintiffs to resolve the stay of execution issue, which was documented in a letter dated November 10, 2005. The terms were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BNS will make payment within a reasonable time of $80,000.00 to Paul Jaffe in trust;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payment shall be credited to BNS in the following order until the funds are exhausted: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the heads of damages awarded which are not appealed from;</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the costs awarded at trial;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the outstanding damages should BNS not succeed on appeal;</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execution on the judgment in the captioned matter, including the order for costs, will be stayed by consent until final disposition of the appeal;</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 judgment interest shall continue to accrue on unsatisfied amounts ultimately found to be owing by BNS to the plaintiffs, if any;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agree jointly and severally, to repay the part of the payment from BNS to which the plaintiffs are ultimately found not to be entitled, if any;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BNS will file a </w:t>
      </w:r>
      <w:r>
        <w:rPr>
          <w:rFonts w:ascii="arial" w:eastAsia="arial" w:hAnsi="arial" w:cs="arial"/>
          <w:i/>
          <w:color w:val="000000"/>
          <w:sz w:val="20"/>
          <w:lang w:val="en-US" w:eastAsia="en-US" w:bidi="ar-SA"/>
        </w:rPr>
        <w:t>Praecipe</w:t>
      </w:r>
      <w:r>
        <w:rPr>
          <w:rFonts w:ascii="arial" w:eastAsia="arial" w:hAnsi="arial" w:cs="arial"/>
          <w:color w:val="000000"/>
          <w:sz w:val="20"/>
          <w:lang w:val="en-US" w:eastAsia="en-US" w:bidi="ar-SA"/>
        </w:rPr>
        <w:t xml:space="preserve"> adjourning, generally, by consent, the application set for November 16,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reasons of the Court of Appeal in the BNS Action were given in </w:t>
      </w:r>
      <w:r>
        <w:rPr>
          <w:rFonts w:ascii="arial" w:eastAsia="arial" w:hAnsi="arial" w:cs="arial"/>
          <w:b/>
          <w:i/>
          <w:color w:val="000000"/>
          <w:sz w:val="20"/>
          <w:lang w:val="en-US" w:eastAsia="en-US" w:bidi="ar-SA"/>
        </w:rPr>
        <w:t>B.M.P. Global Distribution Inc. v. Bank of Nova Scotia (c.o.b. Scotiabank)</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2007 BCCA 52</w:t>
        </w:r>
      </w:hyperlink>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63 B.C.L.R. (4th) 214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BNS Appeal</w:t>
      </w:r>
      <w:r>
        <w:rPr>
          <w:rFonts w:ascii="arial" w:eastAsia="arial" w:hAnsi="arial" w:cs="arial"/>
          <w:color w:val="000000"/>
          <w:sz w:val="20"/>
          <w:lang w:val="en-US" w:eastAsia="en-US" w:bidi="ar-SA"/>
        </w:rPr>
        <w:t>]. The court was clearly alive to the existence of the RBC Action. At para. 31 of the reasons Madam Justice Saunders, for the court,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unravel the issue one must first recognize that the case has come to court in an unorthodox fashion. While in the usual course, a case of a credit generated by a fraudulent instrument is likely to be commenced by the bank that is out of pocket, (here the Royal Bank of Canada), seeking restitution on the basis of mistake of fact, in this case that bank recovered its monies through the actions of BMP's bank, the Bank of Nova Scotia. Instead the plaintiff here is BMP, the customer, suing a bank that did not itself have a loss. There is a separate action commenced by the Royal Bank of Canada against the respondents, seeking to recover the funds attributable to the counterfeit cheque. The Bank of Nova Scotia and the Royal Bank of Canada proposed that the actions be heard together, but that proposal did not prevail. Although not all the parties to the events were before the court in this case, the case still requires an examination of the asset that BMP claims was wrongly appropriated from it, in order that one may know whether it was capable of bearing the value placed upon it by the 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Court of Appeal allowed the appeal with respect to BMP, substituting an order for damages in the amount of $101.00, representing nominal damages for breach of contract and $100.00 that was not attributable to the Cheque. The Court of Appeal based its conclusion on the application of equitable principles, concluding at para. 44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conscience did not give BMP a claim to windfall money derived from the counterfeit cheque. One may say that the plaintiff BMP lost nothing because it had nothing in the account - all that was there was a credit created by BMP's unwitting deposit of a fraudulent instrument.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appeal with respect to the transfers to other accounts of the respondents was dismissed for the following reasons given at paras. 53-56: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respondents say that the Bank of Nova Scotia breached their banking contracts by tracing, and debiting, sums originating with the counterfeit cheque. They say that the Bank forgot their separate identities in its zeal to prevent dissipation of the credits created by the counterfeit cheque.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of these respondents, some of the "funds" were transferred from BMP's account to the others' accounts, and some were by cheque given by BMP and deposited in their separate accounts.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to the amounts that derived from cheques issued by BMP, these cheques, unlike the counterfeit cheque, held the character of bills of exchange. They did not have the frailty, for example, which engages s. 48 of the </w:t>
      </w:r>
      <w:r>
        <w:rPr>
          <w:rFonts w:ascii="arial" w:eastAsia="arial" w:hAnsi="arial" w:cs="arial"/>
          <w:b/>
          <w:i/>
          <w:color w:val="000000"/>
          <w:sz w:val="20"/>
          <w:lang w:val="en-US" w:eastAsia="en-US" w:bidi="ar-SA"/>
        </w:rPr>
        <w:t>Bills of Exchange Act</w:t>
      </w:r>
      <w:r>
        <w:rPr>
          <w:rFonts w:ascii="arial" w:eastAsia="arial" w:hAnsi="arial" w:cs="arial"/>
          <w:color w:val="000000"/>
          <w:sz w:val="20"/>
          <w:lang w:val="en-US" w:eastAsia="en-US" w:bidi="ar-SA"/>
        </w:rPr>
        <w:t>. As against BMP, those cheques were effective in the absence of fraud. Although the trial judge did not find the reason that the transfers or cheques were made by BMP, he also did not find fraud or bad faith in their creation.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these cheques and transfers bear a character quite different from the counterfeit cheque and different from BMP's transfer to and from its own account at the Bank of Montreal. Absent a finding that they were improperly created, I do not consider that the Bank of Nova Scotia was entitled to debit these accounts in these circumstances, as it did. Any remedy here lies as a remedy of tracing, or an enquiry into the true ownership of the accounts as contemplated in </w:t>
      </w:r>
      <w:r>
        <w:rPr>
          <w:rFonts w:ascii="arial" w:eastAsia="arial" w:hAnsi="arial" w:cs="arial"/>
          <w:b/>
          <w:i/>
          <w:color w:val="000000"/>
          <w:sz w:val="20"/>
          <w:lang w:val="en-US" w:eastAsia="en-US" w:bidi="ar-SA"/>
        </w:rPr>
        <w:t>Bhogal</w:t>
      </w:r>
      <w:r>
        <w:rPr>
          <w:rFonts w:ascii="arial" w:eastAsia="arial" w:hAnsi="arial" w:cs="arial"/>
          <w:color w:val="000000"/>
          <w:sz w:val="20"/>
          <w:lang w:val="en-US" w:eastAsia="en-US" w:bidi="ar-SA"/>
        </w:rPr>
        <w:t>, [1988] 2 All E.R. 296. Those remedies must be pursued through the proper channels and not, as here, by self-help.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Rule 19(24) provides: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19(24)(a)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No Reasonable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RBC submits that it is the victim, indeed the only victim, of a fraudulent scheme involving the counterfeit Cheque. It submits that it has a superior moral and equitable right to property and funds traceable to the defendants' participation in the fraudulent scheme (the "Disputed Property"), whether it be the Funds, the cause of action of the BMP parties against BNS, the judgment held by the BMP parties against BNS, or any other assets. RBC asserts that the amended statement of claim pleads facts necessary to support a cause of action for damages, equitable relief for breach of trust, knowing receipt and to assert a proprietary and tracing claim with respect to the Disputed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defendants submit that the pleadings do not disclose a cause of action because RBC's own misconduct and delay should preclude it from equitable relief and because the loss arises, not from the counterfeit Cheque, but from the indemnity agreement with BNS. The defendants submit that whatever enrichment of the defendants has taken place is by reason of a juristic reason, that is, their judgments against BNS, and RBC has no corresponding deprivation as whatever amount RBC may pay under the Indemnity Agreement, it is going to BNS, not the defendants and is not the cause of the "enrichment"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defendants further submit that if RBC decided to indemnify BNS, that was RBC's decision. However, it did so voluntarily as BNS was in no position to have the agreement enforced by the court. The defendants rely upon G.H.L. Fridman &amp; James G. McLeod, </w:t>
      </w:r>
      <w:r>
        <w:rPr>
          <w:rFonts w:ascii="arial" w:eastAsia="arial" w:hAnsi="arial" w:cs="arial"/>
          <w:i/>
          <w:color w:val="000000"/>
          <w:sz w:val="20"/>
          <w:lang w:val="en-US" w:eastAsia="en-US" w:bidi="ar-SA"/>
        </w:rPr>
        <w:t>Restitution</w:t>
      </w:r>
      <w:r>
        <w:rPr>
          <w:rFonts w:ascii="arial" w:eastAsia="arial" w:hAnsi="arial" w:cs="arial"/>
          <w:color w:val="000000"/>
          <w:sz w:val="20"/>
          <w:lang w:val="en-US" w:eastAsia="en-US" w:bidi="ar-SA"/>
        </w:rPr>
        <w:t xml:space="preserve"> (Toronto: The Carswell Company Ltd., 1982) at 294: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reasons for this attitude of the law relate to the public interest, or public policy. It is manifestly contrary to the public interest that unlawful bargains or transactions should be accepted as being of equal status and value as those which are lawful; or that such arrangements should be accorded recognition in and by courts that determine and apply the law; </w:t>
      </w:r>
      <w:r>
        <w:rPr>
          <w:rFonts w:ascii="arial" w:eastAsia="arial" w:hAnsi="arial" w:cs="arial"/>
          <w:color w:val="000000"/>
          <w:sz w:val="20"/>
          <w:u w:val="single"/>
          <w:lang w:val="en-US" w:eastAsia="en-US" w:bidi="ar-SA"/>
        </w:rPr>
        <w:t>or that a party who has voluntarily engaged in some form of illegality should be permitted to seek the protection and aid of those courts in the event that the transaction is not performed as originally intended, with the result that he is out of pocket and the other party has derived some monetary advantage at his expense. In such circumstances the policy of the law is that the loss should lie where it falls. It would be improper, and contradictory to the nature and functions of courts, to allow their jurisdiction to be invoked</w:t>
      </w:r>
      <w:r>
        <w:rPr>
          <w:rFonts w:ascii="arial" w:eastAsia="arial" w:hAnsi="arial" w:cs="arial"/>
          <w:color w:val="000000"/>
          <w:sz w:val="20"/>
          <w:lang w:val="en-US" w:eastAsia="en-US" w:bidi="ar-SA"/>
        </w:rPr>
        <w:t>. [emphasis added;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test for establishing that a statement of claim discloses no reasonable claim is that set out by Wilson J. in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74 D.L.R. (4th) 321</w:t>
      </w:r>
      <w:r>
        <w:rPr>
          <w:rFonts w:ascii="arial" w:eastAsia="arial" w:hAnsi="arial" w:cs="arial"/>
          <w:color w:val="000000"/>
          <w:sz w:val="20"/>
          <w:lang w:val="en-US" w:eastAsia="en-US" w:bidi="ar-SA"/>
        </w:rPr>
        <w:t xml:space="preserve"> [cited to S.C.R.] at 980: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 test in Canada governing the application of provisions like Rule 19(24)(a) of the British Columbia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is the same as the one that governs an application under R.S.C. 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case law cited by RBC is authority for the propositions that:</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proceeds of fraud are held by recipients subject to a constructive trust in favour of a victim of the fraud and subject to tracing claims. This is so whether the recipient is the perpetrator of the fraud or received the proceeds as a volunteer. An exception to this rule applies to those who receive the proceeds as part of a bona fide transaction, for value, without notice of the trust, see </w:t>
      </w:r>
      <w:r>
        <w:rPr>
          <w:rFonts w:ascii="arial" w:eastAsia="arial" w:hAnsi="arial" w:cs="arial"/>
          <w:b/>
          <w:i/>
          <w:color w:val="000000"/>
          <w:sz w:val="20"/>
          <w:lang w:val="en-US" w:eastAsia="en-US" w:bidi="ar-SA"/>
        </w:rPr>
        <w:t>ICBC v. Lo</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2006 BCCA 584</w:t>
        </w:r>
      </w:hyperlink>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63 B.C.L.R. (4th) 71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ICBC v. Dragon Driving School</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2007 BCSC 389</w:t>
        </w:r>
      </w:hyperlink>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156 A.C.W.S. (3d) 456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British Columbia Teachers Credit Union v. Betterly</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(1975), 61 D.L.R. (3d) 755</w:t>
        </w:r>
      </w:hyperlink>
      <w:r>
        <w:rPr>
          <w:rFonts w:ascii="arial" w:eastAsia="arial" w:hAnsi="arial" w:cs="arial"/>
          <w:color w:val="000000"/>
          <w:sz w:val="20"/>
          <w:lang w:val="en-US" w:eastAsia="en-US" w:bidi="ar-SA"/>
        </w:rPr>
        <w: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right to demand payment of funds on account with one's banker is a claim in debt; it is a chose in action and, therefore, property over which a trust may be imposed. Similarly, a judgment which entitles one to enforce or recover damages against ones' bank for refusing to honour a demand for payment of funds on account is property that may be subject to a constructive trust; see </w:t>
      </w:r>
      <w:r>
        <w:rPr>
          <w:rFonts w:ascii="arial" w:eastAsia="arial" w:hAnsi="arial" w:cs="arial"/>
          <w:b/>
          <w:i/>
          <w:color w:val="000000"/>
          <w:sz w:val="20"/>
          <w:lang w:val="en-US" w:eastAsia="en-US" w:bidi="ar-SA"/>
        </w:rPr>
        <w:t>Citadel General Assurance Co. v. Lloyds Bank Canada</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[1997] 3 S.C.R. 805</w:t>
        </w:r>
      </w:hyperlink>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152 D.L.R. (4th) 411</w:t>
        </w:r>
      </w:hyperlink>
      <w:r>
        <w:rPr>
          <w:rFonts w:ascii="arial" w:eastAsia="arial" w:hAnsi="arial" w:cs="arial"/>
          <w:color w:val="000000"/>
          <w:sz w:val="20"/>
          <w:lang w:val="en-US" w:eastAsia="en-US" w:bidi="ar-SA"/>
        </w:rPr>
        <w: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be liable for knowing receipt of trust funds where: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receives trust property for their own use and benefit;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has knowledge of the breach of trust; actual knowledge, wilful blindness, recklessness, or constructive knowledge will suffice;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will be found to have constructive knowledge of a breach of trust where they are aware of suspicious circumstances which put the recipient on notice that they may be receiving the funds in breach of trust and the party receiving the funds fails to make adequate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my view, the defendants' arguments go to the merits of RBC's claim. However, these submissions do not establish that it is plain and obvious that the action is certain to fail. RBC has pleaded the facts necessary to support a cause of action for damages, equitable relief for breach of trust, knowing receipt and to assert proprietary and tracing claims with respect to the Disputed Property. It is not for the Court in the context of the present application to delve further into an evaluation of the prospects for success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result, the defendants have not established that the action should be struck pursuant to rule 19(24)(a) as disclosing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Counsel for the defendants conceded that the defendant's application for summary judgment pursuant to rule 18(6) is to be determined on the same basis. Accordingly, the defendants have failed to establish that there is no merit in the plaintiffs claim and the application pursuant to rule 18(6)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19(24)(b)</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Scandalous, Frivolous, Vexatious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submit that the claim should be struck pursuant to rule 19(24)(b). They submit that the matters raised with respect to the conduct of RBC that were addressed with respect to rule 19(24)(a) are relevant to the considerations under this sub-section as well. They submit in addition that RBC has persisted with allegations known to be untrue, that it is attempting to re-litigate matters already determined. The defendants have many complaints with respect to the conduct of RBC in the litigation, generally to the effect that RBC is seeking to add the costs, stress and economic burdens of the litigation with procedural steps it has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91 A.C.W.S. (3d) 362</w:t>
        </w:r>
      </w:hyperlink>
      <w:r>
        <w:rPr>
          <w:rFonts w:ascii="arial" w:eastAsia="arial" w:hAnsi="arial" w:cs="arial"/>
          <w:color w:val="000000"/>
          <w:sz w:val="20"/>
          <w:lang w:val="en-US" w:eastAsia="en-US" w:bidi="ar-SA"/>
        </w:rPr>
        <w:t xml:space="preserve"> (B.C.S.C.), Romilly J. discussed the requirements for the application of rule 19(24)(b) at paras 46-47: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authorities provide little guidance as to what constitutes pleadings that are "unnecessary", "scandalous", "frivolous" or "embarrassing". However some principles do emerge.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Irrelevancy and embarrassment are both established when pleadings are so confusing that it is difficult to understand what is being pleaded: </w:t>
      </w:r>
      <w:r>
        <w:rPr>
          <w:rFonts w:ascii="arial" w:eastAsia="arial" w:hAnsi="arial" w:cs="arial"/>
          <w:b/>
          <w:i/>
          <w:color w:val="000000"/>
          <w:sz w:val="20"/>
          <w:lang w:val="en-US" w:eastAsia="en-US" w:bidi="ar-SA"/>
        </w:rPr>
        <w:t>Gittings v. Caneco Audio-Publishers Inc</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(1987), 17 B.C.L.R. (2d) 38</w:t>
        </w:r>
      </w:hyperlink>
      <w:r>
        <w:rPr>
          <w:rFonts w:ascii="arial" w:eastAsia="arial" w:hAnsi="arial" w:cs="arial"/>
          <w:color w:val="000000"/>
          <w:sz w:val="20"/>
          <w:lang w:val="en-US" w:eastAsia="en-US" w:bidi="ar-SA"/>
        </w:rPr>
        <w:t xml:space="preserve"> (B.C.S.C.). An "embarrassing" and "scandalous" pleading is one that is so irrelevant that it will involve the parties in useless expense and will prejudice the trial of the action by involving them in a dispute apart from the issues: </w:t>
      </w:r>
      <w:r>
        <w:rPr>
          <w:rFonts w:ascii="arial" w:eastAsia="arial" w:hAnsi="arial" w:cs="arial"/>
          <w:b/>
          <w:i/>
          <w:color w:val="000000"/>
          <w:sz w:val="20"/>
          <w:lang w:val="en-US" w:eastAsia="en-US" w:bidi="ar-SA"/>
        </w:rPr>
        <w:t>Keddie v. Dumas Hotels Ltd.</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Cariboo Trail Hotel</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(1985), 62 B.C.L.R. 145</w:t>
        </w:r>
      </w:hyperlink>
      <w:r>
        <w:rPr>
          <w:rFonts w:ascii="arial" w:eastAsia="arial" w:hAnsi="arial" w:cs="arial"/>
          <w:color w:val="000000"/>
          <w:sz w:val="20"/>
          <w:lang w:val="en-US" w:eastAsia="en-US" w:bidi="ar-SA"/>
        </w:rPr>
        <w:t xml:space="preserve"> (B.C.C.A) at 147. An allegation which is scandalous will not be struck if it is relevant to the proceedings. It will only be struck if irrelevant as well as scandalous: </w:t>
      </w:r>
      <w:r>
        <w:rPr>
          <w:rFonts w:ascii="arial" w:eastAsia="arial" w:hAnsi="arial" w:cs="arial"/>
          <w:b/>
          <w:i/>
          <w:color w:val="000000"/>
          <w:sz w:val="20"/>
          <w:lang w:val="en-US" w:eastAsia="en-US" w:bidi="ar-SA"/>
        </w:rPr>
        <w:t>College of Dental Surgeons of British Columbia v. Cleland</w:t>
      </w:r>
      <w:r>
        <w:rPr>
          <w:rFonts w:ascii="arial" w:eastAsia="arial" w:hAnsi="arial" w:cs="arial"/>
          <w:color w:val="000000"/>
          <w:sz w:val="20"/>
          <w:lang w:val="en-US" w:eastAsia="en-US" w:bidi="ar-SA"/>
        </w:rPr>
        <w:t xml:space="preserve"> (1968), 66 W.W.R. 499 (B.C.C.A.). A pleading is "unnecessary" or "vexatious" if it does not go to establishing the plaintiff's cause of action or does not advance any claim known in law: </w:t>
      </w:r>
      <w:r>
        <w:rPr>
          <w:rFonts w:ascii="arial" w:eastAsia="arial" w:hAnsi="arial" w:cs="arial"/>
          <w:b/>
          <w:i/>
          <w:color w:val="000000"/>
          <w:sz w:val="20"/>
          <w:lang w:val="en-US" w:eastAsia="en-US" w:bidi="ar-SA"/>
        </w:rPr>
        <w:t>Strauts v. Harrigan</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[1992] B.C.J. No. 86</w:t>
        </w:r>
      </w:hyperlink>
      <w:r>
        <w:rPr>
          <w:rFonts w:ascii="arial" w:eastAsia="arial" w:hAnsi="arial" w:cs="arial"/>
          <w:color w:val="000000"/>
          <w:sz w:val="20"/>
          <w:lang w:val="en-US" w:eastAsia="en-US" w:bidi="ar-SA"/>
        </w:rPr>
        <w:t xml:space="preserve">, (December 2, 1991), Doc. Vancouver C913631 (B.C.S.C.). A pleading that is superfluous will not be struck out if it is not necessarily unnecessary or otherwise objectionable: </w:t>
      </w:r>
      <w:r>
        <w:rPr>
          <w:rFonts w:ascii="arial" w:eastAsia="arial" w:hAnsi="arial" w:cs="arial"/>
          <w:b/>
          <w:i/>
          <w:color w:val="000000"/>
          <w:sz w:val="20"/>
          <w:lang w:val="en-US" w:eastAsia="en-US" w:bidi="ar-SA"/>
        </w:rPr>
        <w:t>Lutz v. Canadian Puget Sound Lumber and Timber Co.</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(1920), 28 B.C.R. 39</w:t>
        </w:r>
      </w:hyperlink>
      <w:r>
        <w:rPr>
          <w:rFonts w:ascii="arial" w:eastAsia="arial" w:hAnsi="arial" w:cs="arial"/>
          <w:color w:val="000000"/>
          <w:sz w:val="20"/>
          <w:lang w:val="en-US" w:eastAsia="en-US" w:bidi="ar-SA"/>
        </w:rPr>
        <w:t xml:space="preserve"> (C.A.). A pleading is "frivolous" if it is obviously unsustainable, not in the sense that it lacks an evidentiary basis, but because of the doctrine of estoppel: </w:t>
      </w:r>
      <w:r>
        <w:rPr>
          <w:rFonts w:ascii="arial" w:eastAsia="arial" w:hAnsi="arial" w:cs="arial"/>
          <w:b/>
          <w:i/>
          <w:color w:val="000000"/>
          <w:sz w:val="20"/>
          <w:lang w:val="en-US" w:eastAsia="en-US" w:bidi="ar-SA"/>
        </w:rPr>
        <w:t>Chrisgian v. B.C. Rail Ltd. et al.</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[1992] B.C.J. No. 1567</w:t>
        </w:r>
      </w:hyperlink>
      <w:r>
        <w:rPr>
          <w:rFonts w:ascii="arial" w:eastAsia="arial" w:hAnsi="arial" w:cs="arial"/>
          <w:color w:val="000000"/>
          <w:sz w:val="20"/>
          <w:lang w:val="en-US" w:eastAsia="en-US" w:bidi="ar-SA"/>
        </w:rPr>
        <w:t xml:space="preserve"> (July 3, 1992), Doc. Prince George 20714 (B.C.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RBC pleadings do not meet the test for matters which are unnecessary, scandalous or frivolous. The pleadings disclose a cause of action. The allegations in the pleadings advance the causes of action that are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Ebrahim v. Ebrahim</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2002 BCSC 466</w:t>
        </w:r>
      </w:hyperlink>
      <w:r>
        <w:rPr>
          <w:rFonts w:ascii="arial" w:eastAsia="arial" w:hAnsi="arial" w:cs="arial"/>
          <w:color w:val="000000"/>
          <w:sz w:val="20"/>
          <w:lang w:val="en-US" w:eastAsia="en-US" w:bidi="ar-SA"/>
        </w:rPr>
        <w:t xml:space="preserve">, aff'd </w:t>
      </w:r>
      <w:hyperlink r:id="rId267" w:history="1">
        <w:r>
          <w:rPr>
            <w:rFonts w:ascii="arial" w:eastAsia="arial" w:hAnsi="arial" w:cs="arial"/>
            <w:i/>
            <w:color w:val="0077CC"/>
            <w:sz w:val="20"/>
            <w:u w:val="single"/>
            <w:shd w:val="clear" w:color="auto" w:fill="FFFFFF"/>
            <w:lang w:val="en-US" w:eastAsia="en-US" w:bidi="ar-SA"/>
          </w:rPr>
          <w:t>2003 BCCA 94</w:t>
        </w:r>
      </w:hyperlink>
      <w:r>
        <w:rPr>
          <w:rFonts w:ascii="arial" w:eastAsia="arial" w:hAnsi="arial" w:cs="arial"/>
          <w:color w:val="000000"/>
          <w:sz w:val="20"/>
          <w:lang w:val="en-US" w:eastAsia="en-US" w:bidi="ar-SA"/>
        </w:rPr>
        <w:t>, Madam Justice Gill provided the following explanation of the term vexatious in relation to rule 19(24)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Law Society of Upper Canada v. Chavali</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(1998), 21 C.P.C. (4th) 20</w:t>
        </w:r>
      </w:hyperlink>
      <w:r>
        <w:rPr>
          <w:rFonts w:ascii="arial" w:eastAsia="arial" w:hAnsi="arial" w:cs="arial"/>
          <w:color w:val="000000"/>
          <w:sz w:val="20"/>
          <w:lang w:val="en-US" w:eastAsia="en-US" w:bidi="ar-SA"/>
        </w:rPr>
        <w:t xml:space="preserve"> (Ont. Gen. Div.) aff'd </w:t>
      </w:r>
      <w:hyperlink r:id="rId269" w:history="1">
        <w:r>
          <w:rPr>
            <w:rFonts w:ascii="arial" w:eastAsia="arial" w:hAnsi="arial" w:cs="arial"/>
            <w:i/>
            <w:color w:val="0077CC"/>
            <w:sz w:val="20"/>
            <w:u w:val="single"/>
            <w:shd w:val="clear" w:color="auto" w:fill="FFFFFF"/>
            <w:lang w:val="en-US" w:eastAsia="en-US" w:bidi="ar-SA"/>
          </w:rPr>
          <w:t>(1998), 31 C.P.C. (4th) 221</w:t>
        </w:r>
      </w:hyperlink>
      <w:r>
        <w:rPr>
          <w:rFonts w:ascii="arial" w:eastAsia="arial" w:hAnsi="arial" w:cs="arial"/>
          <w:color w:val="000000"/>
          <w:sz w:val="20"/>
          <w:lang w:val="en-US" w:eastAsia="en-US" w:bidi="ar-SA"/>
        </w:rPr>
        <w:t xml:space="preserve"> (Ont. C.A.), Cummings J., considered the meaning of vexatious. He stated, at 20-21: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adjective "vexatious" is defined by the </w:t>
      </w:r>
      <w:r>
        <w:rPr>
          <w:rFonts w:ascii="arial" w:eastAsia="arial" w:hAnsi="arial" w:cs="arial"/>
          <w:i/>
          <w:color w:val="000000"/>
          <w:sz w:val="20"/>
          <w:lang w:val="en-US" w:eastAsia="en-US" w:bidi="ar-SA"/>
        </w:rPr>
        <w:t>Concise Oxford Dictionary</w:t>
      </w:r>
      <w:r>
        <w:rPr>
          <w:rFonts w:ascii="arial" w:eastAsia="arial" w:hAnsi="arial" w:cs="arial"/>
          <w:color w:val="000000"/>
          <w:sz w:val="20"/>
          <w:lang w:val="en-US" w:eastAsia="en-US" w:bidi="ar-SA"/>
        </w:rPr>
        <w:t>, 9th ed. (Oxford: Clarendon Press, 1995) as: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as to cause vexation.</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Law not having sufficient grounds for action and seeking only to annoy the defendant.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"vex" is defined as "to anger by a slight or a petty annoyance; irritate".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Lang Michener Lash Johnston v. Fabian</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(1987), 59 O.R. (2d) 353</w:t>
        </w:r>
      </w:hyperlink>
      <w:r>
        <w:rPr>
          <w:rFonts w:ascii="arial" w:eastAsia="arial" w:hAnsi="arial" w:cs="arial"/>
          <w:color w:val="000000"/>
          <w:sz w:val="20"/>
          <w:lang w:val="en-US" w:eastAsia="en-US" w:bidi="ar-SA"/>
        </w:rPr>
        <w:t xml:space="preserve"> (Ont. H.C.), the Honourable Mr. Justice Henry summarized the salient characteristics and principles relating to vexatious proceedings and conduct as follows (at 358-359):</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bringing of one or more actions to determine an issue which has already been determined by a court of competent jurisdiction constitutes a vexatious proceeding;</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is obvious that an action cannot succeed, or if the action would lead to no possible good, or if no reasonable person can reasonably expect to obtain relief, the action is vexatious;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vexatious actions include those brought for an improper purpose, including the harassment and oppression of other parties by multifarious proceedings brought for purposes other than the assertion of legitimate rights;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general characteristic of vexatious proceedings that grounds and issues raised tend to be rolled forward into subsequent actions and repeated and supplemented, often with actions brought against the lawyers who have acted for or against the litigant in earlier proceedings;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proceedings are vexatious, the court must look at the whole history of the matter and not just whether there was originally a good cause of action;</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person instituting the proceedings to pay the costs of unsuccessful proceedings is one factor to be considered in determining whether proceedings are vexatious;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conduct in persistently taking unsuccessful appeals from judicial decisions can be considered vexatious conduct of legal proceedings.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matter of "vexatious" must be determined by an objective standard. See, for example: </w:t>
      </w:r>
      <w:r>
        <w:rPr>
          <w:rFonts w:ascii="arial" w:eastAsia="arial" w:hAnsi="arial" w:cs="arial"/>
          <w:b/>
          <w:i/>
          <w:color w:val="000000"/>
          <w:sz w:val="20"/>
          <w:lang w:val="en-US" w:eastAsia="en-US" w:bidi="ar-SA"/>
        </w:rPr>
        <w:t>Mascan Corp. v. French</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(1988), 64 O.R. (2d) 1</w:t>
        </w:r>
      </w:hyperlink>
      <w:r>
        <w:rPr>
          <w:rFonts w:ascii="arial" w:eastAsia="arial" w:hAnsi="arial" w:cs="arial"/>
          <w:color w:val="000000"/>
          <w:sz w:val="20"/>
          <w:lang w:val="en-US" w:eastAsia="en-US" w:bidi="ar-SA"/>
        </w:rPr>
        <w:t xml:space="preserve"> (C.A.) at 7; </w:t>
      </w:r>
      <w:r>
        <w:rPr>
          <w:rFonts w:ascii="arial" w:eastAsia="arial" w:hAnsi="arial" w:cs="arial"/>
          <w:b/>
          <w:i/>
          <w:color w:val="000000"/>
          <w:sz w:val="20"/>
          <w:lang w:val="en-US" w:eastAsia="en-US" w:bidi="ar-SA"/>
        </w:rPr>
        <w:t>Children's Aid Society of Ottawa-Carleton v. M.B.</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[1997] O.J. No. 1964</w:t>
        </w:r>
      </w:hyperlink>
      <w:r>
        <w:rPr>
          <w:rFonts w:ascii="arial" w:eastAsia="arial" w:hAnsi="arial" w:cs="arial"/>
          <w:color w:val="000000"/>
          <w:sz w:val="20"/>
          <w:lang w:val="en-US" w:eastAsia="en-US" w:bidi="ar-SA"/>
        </w:rPr>
        <w:t xml:space="preserve"> (Ont. Ct. (Gen. Div.))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question of whether this litigation concerns a matter that has already been determined is a variant of the submission that the action constitutes a collateral attack upon or an attempt to re-litigate the BNS Action and will be addressed in relation to the submissions concerning rule 19(24)(d). Leaving that issue to one side, it is not obvious that the action as constituted cannot succeed or that RBC could not have a reasonable expectation that it could obtain relief. There is in my view no evidence that this action has been brought for an improper purpose. While the defendants have many complaints about the conduct of the litigation, I have seen no evidence of impropriety. There is no history of RBC rolling matters forward or taking unsuccessful appeal. Indeed, RBC was not a party to the BNS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have not established that the claim by RBC is unnecessary, scandalous, frivolous or vexatious pursuant to rule 19(24)(b).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Rule 19(24)(d)</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Abuse of Process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defendants submit that the essence of the BNS Action was the determination of who owned or was entitled to the Funds. Moreover, at all times BNS, having itself no interest in the Funds, was acting as the proxy of RBC. Throughout the BNS Action, BNS asserted the equitable principles relevant to RBC interest in the Funds to justify and defend its conduct. Accordingly, the defendants submit RBC Action is precluded by the doctrines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collateral attack and the claim should be struck pursuant to rule 18(24)(d).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defendants submit further that RBC, having a sufficient interest in the BNS Action, and having chosen not to intervene, is bound by the results of that action. The defendants cite </w:t>
      </w:r>
      <w:r>
        <w:rPr>
          <w:rFonts w:ascii="arial" w:eastAsia="arial" w:hAnsi="arial" w:cs="arial"/>
          <w:b/>
          <w:i/>
          <w:color w:val="000000"/>
          <w:sz w:val="20"/>
          <w:lang w:val="en-US" w:eastAsia="en-US" w:bidi="ar-SA"/>
        </w:rPr>
        <w:t>Banque Nationale de Paris (Canada) v. Canadian Imperial Bank of Commerce</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(2001), 195 D.L.R. (4th) 308</w:t>
        </w:r>
      </w:hyperlink>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52 O.R. (3d) 161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two main branches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were described by Dickson J., as he then was, in </w:t>
      </w:r>
      <w:r>
        <w:rPr>
          <w:rFonts w:ascii="arial" w:eastAsia="arial" w:hAnsi="arial" w:cs="arial"/>
          <w:b/>
          <w:i/>
          <w:color w:val="000000"/>
          <w:sz w:val="20"/>
          <w:lang w:val="en-US" w:eastAsia="en-US" w:bidi="ar-SA"/>
        </w:rPr>
        <w:t>Angle v. M.N.R.</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[1975] 2 S.C.R. 248</w:t>
        </w:r>
      </w:hyperlink>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47 D.L.R. (3d) 544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Angle</w:t>
      </w:r>
      <w:r>
        <w:rPr>
          <w:rFonts w:ascii="arial" w:eastAsia="arial" w:hAnsi="arial" w:cs="arial"/>
          <w:color w:val="000000"/>
          <w:sz w:val="20"/>
          <w:lang w:val="en-US" w:eastAsia="en-US" w:bidi="ar-SA"/>
        </w:rPr>
        <w:t xml:space="preserve"> cited to S.C.R.] at 254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cause of action estoppel', precludes a person from bringing an action against another when that same cause of action has been determined in earlier proceedings by a court of competent jurisdiction ... The second species of estoppel </w:t>
      </w:r>
      <w:r>
        <w:rPr>
          <w:rFonts w:ascii="arial" w:eastAsia="arial" w:hAnsi="arial" w:cs="arial"/>
          <w:i/>
          <w:color w:val="000000"/>
          <w:sz w:val="20"/>
          <w:lang w:val="en-US" w:eastAsia="en-US" w:bidi="ar-SA"/>
        </w:rPr>
        <w:t>per rem judicatam</w:t>
      </w:r>
      <w:r>
        <w:rPr>
          <w:rFonts w:ascii="arial" w:eastAsia="arial" w:hAnsi="arial" w:cs="arial"/>
          <w:color w:val="000000"/>
          <w:sz w:val="20"/>
          <w:lang w:val="en-US" w:eastAsia="en-US" w:bidi="ar-SA"/>
        </w:rPr>
        <w:t xml:space="preserve"> is known as "issue estoppel"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Lord Guest in </w:t>
      </w:r>
      <w:r>
        <w:rPr>
          <w:rFonts w:ascii="arial" w:eastAsia="arial" w:hAnsi="arial" w:cs="arial"/>
          <w:b/>
          <w:i/>
          <w:color w:val="000000"/>
          <w:sz w:val="20"/>
          <w:lang w:val="en-US" w:eastAsia="en-US" w:bidi="ar-SA"/>
        </w:rPr>
        <w:t>Carl Zeiss Stiftung v. Rayner &amp; Keeler Ltd. (No. 2)</w:t>
      </w:r>
      <w:r>
        <w:rPr>
          <w:rFonts w:ascii="arial" w:eastAsia="arial" w:hAnsi="arial" w:cs="arial"/>
          <w:color w:val="000000"/>
          <w:sz w:val="20"/>
          <w:lang w:val="en-US" w:eastAsia="en-US" w:bidi="ar-SA"/>
        </w:rPr>
        <w:t>, [1966] 2 All E.R. 536, at p. 935, defined the requirements of issue estoppel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(1) that the same question has been decided; (2) that the judicial decision which is said to create the estoppel was final; and, (3) that the parties to the judicial decision or their privies were the same persons as the parties to the proceedings in which the estoppel is raised or their privies ... ..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It is clear that the BNS Action resulted in a final judicial decision. It is also not disputed by RBC that, for purposes of consideration of those issues, RBC was a privy of BNS. The question is whether the same question or cause of action that was determined in the BNS Action is alleged in the present action. In my view, neither the causes of action nor the questions are the same and, accordingly, the present action is not barred by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BNS Action was a claim in which the plaintiffs (defendants in this action) asserted that BNS had breached its contractual and statutory obligations. In the result, BNS was found to have been in breach of its obligations and was ordered to pay damages. It is the case that the equities of RBC that are the subject of the present action were raised by BNS and considered by the court in the BNS Action. That was, however, in the context of determining whether those equities created a defence for BNS to the plaintiffs' claims. In my view, the Court in the BNS appeal was not adjudicating the "ownership of the Funds" as the defendants in the present case now characterize it, nor was it addressing the equities as between RBC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my view, circumstances in the case at bar are similar to those in </w:t>
      </w:r>
      <w:r>
        <w:rPr>
          <w:rFonts w:ascii="arial" w:eastAsia="arial" w:hAnsi="arial" w:cs="arial"/>
          <w:b/>
          <w:i/>
          <w:color w:val="000000"/>
          <w:sz w:val="20"/>
          <w:lang w:val="en-US" w:eastAsia="en-US" w:bidi="ar-SA"/>
        </w:rPr>
        <w:t>Angle</w:t>
      </w:r>
      <w:r>
        <w:rPr>
          <w:rFonts w:ascii="arial" w:eastAsia="arial" w:hAnsi="arial" w:cs="arial"/>
          <w:color w:val="000000"/>
          <w:sz w:val="20"/>
          <w:lang w:val="en-US" w:eastAsia="en-US" w:bidi="ar-SA"/>
        </w:rPr>
        <w:t>. The facts of that case as set out in the headnote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Appellant, president and controlling shareholder of Transworld Explorations Limited, caused the company to construct a pool house, with furniture and fixtures, at the rear of her property. Six months after the foundations were in, appellant purported to lease to the company the whole of her property for five years at one dollar per year. After construction was complete, appellant leased the property to the company by a second lease for one year, at a rental of $6,000 payable in monthly instalments of $500. In order to create the impression that the pool house had been paid for, the husband of appellant arranged a bank loan of $50,000 to appellant. This sum was deposited to the credit of the company, which could not withdraw it until the loan was paid. The husband then gave the appellant a cheque drawn on the company's account and signed by him as agent for the company in order that she could repay the bank loan, which she did.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Appellant was assessed under s. 8(1)(c) of the </w:t>
      </w:r>
      <w:r>
        <w:rPr>
          <w:rFonts w:ascii="arial" w:eastAsia="arial" w:hAnsi="arial" w:cs="arial"/>
          <w:b/>
          <w:i/>
          <w:color w:val="000000"/>
          <w:sz w:val="20"/>
          <w:lang w:val="en-US" w:eastAsia="en-US" w:bidi="ar-SA"/>
        </w:rPr>
        <w:t>Income Tax Act</w:t>
      </w:r>
      <w:r>
        <w:rPr>
          <w:rFonts w:ascii="arial" w:eastAsia="arial" w:hAnsi="arial" w:cs="arial"/>
          <w:color w:val="000000"/>
          <w:sz w:val="20"/>
          <w:lang w:val="en-US" w:eastAsia="en-US" w:bidi="ar-SA"/>
        </w:rPr>
        <w:t>, R.S.C. 1952, c. 148, $52,243.58 for benefits from construction of the pool house, and $5,995.82 for furniture and fixtures. On appeal the Exchequer Court concluded that appellant had received the house as owner of the freehold and that the procedure employed by appellant did not constitute payment for the house, and it affirmed the assessment except for the furniture and fixtures.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time after these proceedings the Minister of National Revenue, in an effort to collect arrears of taxes from another company, obtained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an order for a writ of extent in the second degree, against Transworld as debtor of the other company; a writ of extent in the third degree was also issued against appellant as debtor of Transworld. Other writs of extent were also issued, but set aside following a motion to set aside; however, the writ issued against appellant was upheld. The latter appealed this decision, on the ground that the judgment of the Exchequer Court rendered the matter of appellant's alleged indebtedness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Justice Dickson, for the majority, described the requirements for the matters to be the same question at 254-255: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question to be decided in these proceedings, namely the indebtedness of Mrs. Angle to Transworld Explorations Limited, the same as was contested in the earlier proceedings? If it is not, there is no estoppel. It will not suffice if the question arose collaterally or incidentally in the earlier proceedings or is one which must be inferred by argument from the judgment. That is plain from the words of De Grey C.J. in the </w:t>
      </w:r>
      <w:r>
        <w:rPr>
          <w:rFonts w:ascii="arial" w:eastAsia="arial" w:hAnsi="arial" w:cs="arial"/>
          <w:b/>
          <w:i/>
          <w:color w:val="000000"/>
          <w:sz w:val="20"/>
          <w:lang w:val="en-US" w:eastAsia="en-US" w:bidi="ar-SA"/>
        </w:rPr>
        <w:t>Duchess of Kingston's</w:t>
      </w:r>
      <w:r>
        <w:rPr>
          <w:rFonts w:ascii="arial" w:eastAsia="arial" w:hAnsi="arial" w:cs="arial"/>
          <w:b/>
          <w:i/>
          <w:color w:val="000000"/>
          <w:sz w:val="20"/>
          <w:lang w:val="en-US" w:eastAsia="en-US" w:bidi="ar-SA"/>
        </w:rPr>
        <w:t>case</w:t>
      </w:r>
      <w:r>
        <w:rPr>
          <w:rFonts w:ascii="arial" w:eastAsia="arial" w:hAnsi="arial" w:cs="arial"/>
          <w:color w:val="000000"/>
          <w:sz w:val="20"/>
          <w:lang w:val="en-US" w:eastAsia="en-US" w:bidi="ar-SA"/>
        </w:rPr>
        <w:t xml:space="preserve"> [(1776), 20 St. Tr. 355, 538n.], quoted by Lord Selborne L.J. in </w:t>
      </w:r>
      <w:r>
        <w:rPr>
          <w:rFonts w:ascii="arial" w:eastAsia="arial" w:hAnsi="arial" w:cs="arial"/>
          <w:b/>
          <w:i/>
          <w:color w:val="000000"/>
          <w:sz w:val="20"/>
          <w:lang w:val="en-US" w:eastAsia="en-US" w:bidi="ar-SA"/>
        </w:rPr>
        <w:t>R. v. Hutchings</w:t>
      </w:r>
      <w:r>
        <w:rPr>
          <w:rFonts w:ascii="arial" w:eastAsia="arial" w:hAnsi="arial" w:cs="arial"/>
          <w:color w:val="000000"/>
          <w:sz w:val="20"/>
          <w:lang w:val="en-US" w:eastAsia="en-US" w:bidi="ar-SA"/>
        </w:rPr>
        <w:t xml:space="preserve"> [(1881), 6 Q.B.D. 300.], at p. 304, and by Lord Radcliffe in </w:t>
      </w:r>
      <w:r>
        <w:rPr>
          <w:rFonts w:ascii="arial" w:eastAsia="arial" w:hAnsi="arial" w:cs="arial"/>
          <w:b/>
          <w:i/>
          <w:color w:val="000000"/>
          <w:sz w:val="20"/>
          <w:lang w:val="en-US" w:eastAsia="en-US" w:bidi="ar-SA"/>
        </w:rPr>
        <w:t>Society of Medical Officers of Health v. Hope</w:t>
      </w:r>
      <w:r>
        <w:rPr>
          <w:rFonts w:ascii="arial" w:eastAsia="arial" w:hAnsi="arial" w:cs="arial"/>
          <w:color w:val="000000"/>
          <w:sz w:val="20"/>
          <w:lang w:val="en-US" w:eastAsia="en-US" w:bidi="ar-SA"/>
        </w:rPr>
        <w:t xml:space="preserve"> [[1960] A.C. 551.]. The question out of which the estoppel is said to arise must have been "fundamental to the decision arrived at" in the earlier proceedings: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Lord Shaw in </w:t>
      </w:r>
      <w:r>
        <w:rPr>
          <w:rFonts w:ascii="arial" w:eastAsia="arial" w:hAnsi="arial" w:cs="arial"/>
          <w:b/>
          <w:i/>
          <w:color w:val="000000"/>
          <w:sz w:val="20"/>
          <w:lang w:val="en-US" w:eastAsia="en-US" w:bidi="ar-SA"/>
        </w:rPr>
        <w:t>Hoystead v. Commissioner of Taxation</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[1926] A.C. 155</w:t>
        </w:r>
      </w:hyperlink>
      <w:r>
        <w:rPr>
          <w:rFonts w:ascii="arial" w:eastAsia="arial" w:hAnsi="arial" w:cs="arial"/>
          <w:color w:val="000000"/>
          <w:sz w:val="20"/>
          <w:lang w:val="en-US" w:eastAsia="en-US" w:bidi="ar-SA"/>
        </w:rPr>
        <w:t xml:space="preserve">.]. The authors of Spencer Bower and Turner, </w:t>
      </w:r>
      <w:r>
        <w:rPr>
          <w:rFonts w:ascii="arial" w:eastAsia="arial" w:hAnsi="arial" w:cs="arial"/>
          <w:i/>
          <w:color w:val="000000"/>
          <w:sz w:val="20"/>
          <w:lang w:val="en-US" w:eastAsia="en-US" w:bidi="ar-SA"/>
        </w:rPr>
        <w:t>Doctrine of Res Judicata</w:t>
      </w:r>
      <w:r>
        <w:rPr>
          <w:rFonts w:ascii="arial" w:eastAsia="arial" w:hAnsi="arial" w:cs="arial"/>
          <w:color w:val="000000"/>
          <w:sz w:val="20"/>
          <w:lang w:val="en-US" w:eastAsia="en-US" w:bidi="ar-SA"/>
        </w:rPr>
        <w:t xml:space="preserve">, 2nd ed. pp. 181, 182, quoted by Megarry J. in </w:t>
      </w:r>
      <w:r>
        <w:rPr>
          <w:rFonts w:ascii="arial" w:eastAsia="arial" w:hAnsi="arial" w:cs="arial"/>
          <w:b/>
          <w:i/>
          <w:color w:val="000000"/>
          <w:sz w:val="20"/>
          <w:lang w:val="en-US" w:eastAsia="en-US" w:bidi="ar-SA"/>
        </w:rPr>
        <w:t>Spens v. I.R.C.</w:t>
      </w:r>
      <w:r>
        <w:rPr>
          <w:rFonts w:ascii="arial" w:eastAsia="arial" w:hAnsi="arial" w:cs="arial"/>
          <w:color w:val="000000"/>
          <w:sz w:val="20"/>
          <w:lang w:val="en-US" w:eastAsia="en-US" w:bidi="ar-SA"/>
        </w:rPr>
        <w:t xml:space="preserve"> [[1970] 3 All. E.R. 295.], at p. 301, set forth in these words the nature of the enquiry which must be made: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whether the determination on which it is sought to found the estoppel is "so fundamental" to the substantive decision that the latter </w:t>
      </w:r>
      <w:r>
        <w:rPr>
          <w:rFonts w:ascii="arial" w:eastAsia="arial" w:hAnsi="arial" w:cs="arial"/>
          <w:i/>
          <w:color w:val="000000"/>
          <w:sz w:val="20"/>
          <w:lang w:val="en-US" w:eastAsia="en-US" w:bidi="ar-SA"/>
        </w:rPr>
        <w:t>cannot stand</w:t>
      </w:r>
      <w:r>
        <w:rPr>
          <w:rFonts w:ascii="arial" w:eastAsia="arial" w:hAnsi="arial" w:cs="arial"/>
          <w:color w:val="000000"/>
          <w:sz w:val="20"/>
          <w:lang w:val="en-US" w:eastAsia="en-US" w:bidi="ar-SA"/>
        </w:rPr>
        <w:t xml:space="preserve"> without the former. Nothing less than this will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 at 247: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long ago as 1893, Lord Hobhouse said in the Privy Council in </w:t>
      </w:r>
      <w:r>
        <w:rPr>
          <w:rFonts w:ascii="arial" w:eastAsia="arial" w:hAnsi="arial" w:cs="arial"/>
          <w:b/>
          <w:i/>
          <w:color w:val="000000"/>
          <w:sz w:val="20"/>
          <w:lang w:val="en-US" w:eastAsia="en-US" w:bidi="ar-SA"/>
        </w:rPr>
        <w:t>Attorney General for Trinidad and Tobago v. Eriché</w:t>
      </w:r>
      <w:r>
        <w:rPr>
          <w:rFonts w:ascii="arial" w:eastAsia="arial" w:hAnsi="arial" w:cs="arial"/>
          <w:color w:val="000000"/>
          <w:sz w:val="20"/>
          <w:lang w:val="en-US" w:eastAsia="en-US" w:bidi="ar-SA"/>
        </w:rPr>
        <w:t xml:space="preserve"> [[1893] A.C. 518.], at p. 522: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hardly necessary to refer at length to authorities for the elementary principle that in order to establish the plea of res judicata the judgment relied on must have been pronounced by a Court having concurrent or exclusive jurisdiction directly upon the point. In the </w:t>
      </w:r>
      <w:r>
        <w:rPr>
          <w:rFonts w:ascii="arial" w:eastAsia="arial" w:hAnsi="arial" w:cs="arial"/>
          <w:b/>
          <w:i/>
          <w:color w:val="000000"/>
          <w:sz w:val="20"/>
          <w:lang w:val="en-US" w:eastAsia="en-US" w:bidi="ar-SA"/>
        </w:rPr>
        <w:t>Duchess of Kingston's Case</w:t>
      </w:r>
      <w:r>
        <w:rPr>
          <w:rFonts w:ascii="arial" w:eastAsia="arial" w:hAnsi="arial" w:cs="arial"/>
          <w:color w:val="000000"/>
          <w:sz w:val="20"/>
          <w:lang w:val="en-US" w:eastAsia="en-US" w:bidi="ar-SA"/>
        </w:rPr>
        <w:t>, Sm. L.C. vol. ii. p. 642, which is constantly referred to for the law on this subject, it is laid down that in order to establish the plea of res judicata the Court whose judgment is invoked must have had jurisdiction and have given judgment directly upon the matter in question; but that if the matter came collaterally into question in the first Court, or were only incidentally cognizable by it, or merely to be inferred by argument from the judgment, the judgment is not conclusive.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not being </w:t>
      </w:r>
      <w:r>
        <w:rPr>
          <w:rFonts w:ascii="arial" w:eastAsia="arial" w:hAnsi="arial" w:cs="arial"/>
          <w:i/>
          <w:color w:val="000000"/>
          <w:sz w:val="20"/>
          <w:lang w:val="en-US" w:eastAsia="en-US" w:bidi="ar-SA"/>
        </w:rPr>
        <w:t>eadem questio</w:t>
      </w:r>
      <w:r>
        <w:rPr>
          <w:rFonts w:ascii="arial" w:eastAsia="arial" w:hAnsi="arial" w:cs="arial"/>
          <w:color w:val="000000"/>
          <w:sz w:val="20"/>
          <w:lang w:val="en-US" w:eastAsia="en-US" w:bidi="ar-SA"/>
        </w:rPr>
        <w:t>, I am of the opinion that this is not a case for application of the principle of issue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the case at bar, while the issue of RBC's equities came collaterally into question, in my view, the Court of Appeal did not give judgment on that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doctrine of collateral attack is a separate, but related doctrine. This doctrine was described in </w:t>
      </w:r>
      <w:r>
        <w:rPr>
          <w:rFonts w:ascii="arial" w:eastAsia="arial" w:hAnsi="arial" w:cs="arial"/>
          <w:b/>
          <w:i/>
          <w:color w:val="000000"/>
          <w:sz w:val="20"/>
          <w:lang w:val="en-US" w:eastAsia="en-US" w:bidi="ar-SA"/>
        </w:rPr>
        <w:t>Chapman v. Canada (Minister of Indian and Northern Affairs)</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2003 BCCA 665</w:t>
        </w:r>
      </w:hyperlink>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21 B.C.L.R. (4th) 272</w:t>
        </w:r>
      </w:hyperlink>
      <w:r>
        <w:rPr>
          <w:rFonts w:ascii="arial" w:eastAsia="arial" w:hAnsi="arial" w:cs="arial"/>
          <w:color w:val="000000"/>
          <w:sz w:val="20"/>
          <w:lang w:val="en-US" w:eastAsia="en-US" w:bidi="ar-SA"/>
        </w:rPr>
        <w:t>, by Madam Justice Saunders, speaking for the court at para. 20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Separate from the notion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but related in the sense that it also is encompassed by the term abuse of process, is the rule against collateral attack described by McIntyre J. in </w:t>
      </w:r>
      <w:r>
        <w:rPr>
          <w:rFonts w:ascii="arial" w:eastAsia="arial" w:hAnsi="arial" w:cs="arial"/>
          <w:b/>
          <w:i/>
          <w:color w:val="000000"/>
          <w:sz w:val="20"/>
          <w:lang w:val="en-US" w:eastAsia="en-US" w:bidi="ar-SA"/>
        </w:rPr>
        <w:t>R. v. Wilson</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[1983] 2 S.C.R. 594</w:t>
        </w:r>
      </w:hyperlink>
      <w:r>
        <w:rPr>
          <w:rFonts w:ascii="arial" w:eastAsia="arial" w:hAnsi="arial" w:cs="arial"/>
          <w:color w:val="000000"/>
          <w:sz w:val="20"/>
          <w:lang w:val="en-US" w:eastAsia="en-US" w:bidi="ar-SA"/>
        </w:rPr>
        <w:t>, (S.C.C.) at 599, also cited by the chambers judge: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has long been a fundamental rule that a court order, made by a court having jurisdiction to make it, stands and is binding and conclusive unless it is set aside on appeal or lawfully quashed. It is also well settled in the authorities that such an order may not be attacked collaterally and a collateral attack may be described as an attack made in proceedings other than those whose specific object is the reversal, variation, or nullification of the order or judgment. Where appeals have been exhausted and other means of direct attack upon a judgment or order, such as proceedings by prerogative writs or proceedings for judicial review, have been unavailing, the only recourse open to one who seeks to set aside a court order is an action for review in the High Court where grounds for such a proceeding exist. Without attempting a complete list, such grounds would include fraud or the discovery of new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question with respect to the doctrine of collateral attack is therefore whether RBC seeks in the present action to reverse, vary or nullify the judgment in the BNS Action. In my view, the RBC Action does not seek to do so and does not constitute a collateral attack on the BNS judgment. The judgment in the BNS Action was that BNS was in breach of obligations it owed to the plaintiffs in that action and as a consequence, it was ordered to pay damages to the plaintiffs. What the defendants are asserting in the present application is that if RBC succeeds in this action, the defendants will not be able to keep the proceeds of the BNS litigation but will be forced to give them over to RBC. However, RBC is no different from any other creditor in that circumstance. Because the BNS Action did not determine entitlement to the Funds as between RBC and the defendants, the present action is not an attempt to vary, nullify or reverse the BNS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Finally, the defendants contend that the claim should be struck as an abuse of process because RBC did not take steps to have this action heard at the same time as the BNS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Counsel for BNS, who was at the time also counsel for RBC, raised the issue that the matters should be heard together in advance of the rule 18A application. Counsel for the BNS plaintiffs in the BNS Action, wanting to proceed with the 18A application, objected. Then, after the first Court of Appeal decision in the BNS Action, counsel for the banks sought the plaintiffs' consent to have the matters heard together. Counsel objected and the matter was not pursued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An action is to be struck pursuant to rule 19(24) only in clear cases. In my view, with the benefit of hindsight, one can say that the matters should have been heard together. It would certainly have been a more efficient use of the court's time. However, at the time each party, for their own reasons, reasons that on the materials before me appeared to be not unreasonable, decided to proceed with the BNS Action first. I am not prepared in these circumstances to say that it is an abuse of process for RBC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Accordingly, the defendants'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1"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Selaive v. Meyer Estate, [2005] B.C.J. No. 1210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23 and 24,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C924633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1210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787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 E.T.R. (3d) 273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139 A.C.W.S. (3d) 639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1278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Mario Selaive and Helen Vannicola, plaintiffs, and The Estate of Dieter Meyer, deceased, by his Representative Ad Litem, R. Charles Bryfogle and Helga Kaiser,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2"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9" w:name="Keywords_12"/>
      <w:bookmarkEnd w:id="89"/>
      <w:r>
        <w:rPr>
          <w:rFonts w:ascii="arial" w:eastAsia="arial" w:hAnsi="arial" w:cs="arial"/>
          <w:b/>
          <w:color w:val="000000"/>
          <w:sz w:val="20"/>
          <w:lang w:val="en-US" w:eastAsia="en-US" w:bidi="ar-SA"/>
        </w:rPr>
        <w:t>Civil procedure — Pleadings — Striking out pleadings or allegations — Grounds — Failure to disclose cause of action or defence — Parties — Representation of — By non-lawyer — Standing — Death of a party.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0" w:name="Case Summary_10"/>
            <w:bookmarkEnd w:id="9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Selaive and Vannicola, to dismiss the defence and counterclaim filed by the defendant, Meyer Estate. They applied for an order declaring that Meyer Estate's representative, Bryfogle, had no standing to participate or oppose the fraudulent preference action, and an order prohibiting Bryfogle from acting as agent for the Meyer Estate. Selaive leased a restaurant from the deceased, Meyer. They brought an action against Meyer for breach of covenant and in tort. They were successful in their action and received $85,544 in damages. Meyer died and Kaiser was appointed as the personal representative Ad Litem of the Meyer Estate. The plaintiff, Vannicola, also died and a representative was appointed. Her estate brought an application to substitute the representative. After the litigation but prior to the judgment, Meyer's interest in the property was transmitted to surviving joint tenants. Selaive applied to have the transfer set aside pursuant to the Fraudulent Preference Act. Bryfogle took over as Representative Ad Litem for Meyer's Estate. Bryfogle filed a counterclaim and statement of defence in the fraudulent preference action. Selaive claimed that the Meyer Estate no longer had an interest in the fraudulent preference claim because Meyer's interest in the property transferred to two other individuals upon his death. Bryfogle also brought a number of applications.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1" w:name="Holdings of Court_8"/>
            <w:bookmarkEnd w:id="91"/>
            <w:r>
              <w:rPr>
                <w:rFonts w:ascii="arial" w:eastAsia="arial" w:hAnsi="arial" w:cs="arial"/>
                <w:color w:val="000000"/>
                <w:sz w:val="20"/>
                <w:lang w:val="en-US" w:eastAsia="en-US" w:bidi="ar-SA"/>
              </w:rPr>
              <w:t>HELD: Applications by Bryfogle were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application to substitute the representative for Vannicola's estate was allowed and the resulting amendment to the pleadings was allowed. The statement of defence and counterclaim were not struck on the basis that the Meyer Estate had no standing. However, they were struck on the basis that it disclosed no reasonable claim or defence. It was plain and obvious that nothing in the Meyer Estate's pleadings served as a defence or as a counterclaim. The pleadings were unsupported. There were claims that were wholly unrelated to this matter and there were factually unsupported allegations. Although Bryfogle had standing in the past, the court declared that Bryfogle no longer had standing. He had misled the court; filed voluminous materials; and filed pleadings that disclosed no reasonable counterclaim or defence. He attempted to litigate issues that had already been decided and was of no assistance to the court. Bryfogle was discharged as representative for the Meyer Estate. Kaiser was reappointed as representative of the Meyer Estate, if she consented.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2" w:name="Legislation Cited_10"/>
      <w:bookmarkEnd w:id="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3"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2.4, Rule 15, Rule 15(3), Rule 15(8), Rule 18A, Rule 19(24), Rule 19(24)(a), Rule 41(24), Rule 66(8)(c)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Enforcement Act, </w:t>
      </w:r>
      <w:r>
        <w:rPr>
          <w:rFonts w:ascii="arial" w:eastAsia="arial" w:hAnsi="arial" w:cs="arial"/>
          <w:i/>
          <w:color w:val="000000"/>
          <w:sz w:val="20"/>
          <w:lang w:val="en-US" w:eastAsia="en-US" w:bidi="ar-SA"/>
        </w:rPr>
        <w:t>R.S.B.C. 1996, c.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Estate Administration Act, </w:t>
      </w:r>
      <w:hyperlink r:id="rId285" w:history="1">
        <w:r>
          <w:rPr>
            <w:rFonts w:ascii="arial" w:eastAsia="arial" w:hAnsi="arial" w:cs="arial"/>
            <w:i/>
            <w:color w:val="0077CC"/>
            <w:sz w:val="20"/>
            <w:u w:val="single"/>
            <w:shd w:val="clear" w:color="auto" w:fill="FFFFFF"/>
            <w:lang w:val="en-US" w:eastAsia="en-US" w:bidi="ar-SA"/>
          </w:rPr>
          <w:t>R.S.B.C. 1996, c. 122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Fraudulent Preference Act, </w:t>
      </w:r>
      <w:r>
        <w:rPr>
          <w:rFonts w:ascii="arial" w:eastAsia="arial" w:hAnsi="arial" w:cs="arial"/>
          <w:i/>
          <w:color w:val="000000"/>
          <w:sz w:val="20"/>
          <w:lang w:val="en-US" w:eastAsia="en-US" w:bidi="ar-SA"/>
        </w:rPr>
        <w:t>R.S.B.C. 1996, c. 164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3" w:name="Counsel_12"/>
      <w:bookmarkEnd w:id="9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4"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Vannicola: S.D. Orstad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 the Estate of Dieter Meyer: R.C. Bryfogle as Representative Ad Litem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 Helga Kaiser: No one appeared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4" w:name="Judgment_12"/>
      <w:bookmarkEnd w:id="94"/>
      <w:r>
        <w:pict>
          <v:line id="_x0000_s1095" style="position:absolute;z-index:2518251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5" w:name="BENNETT J."/>
            <w:bookmarkEnd w:id="95"/>
            <w:r>
              <w:rPr>
                <w:rFonts w:ascii="arial" w:eastAsia="arial" w:hAnsi="arial" w:cs="arial"/>
                <w:b/>
                <w:color w:val="000000"/>
                <w:sz w:val="30"/>
                <w:lang w:val="en-US" w:eastAsia="en-US" w:bidi="ar-SA"/>
              </w:rPr>
              <w:t>BENNETT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litigation has a long history. The initial proceedings were commenced on July 22, 1992. The plaintiffs leased restaurant premises from the defendants in Bella Coola, B.C. on June 3, 1992. Things went badly from the outset. The defendants were sued for breach of a covenant and in tort. The plaintiffs were successful in their claim after a trial before Gill J. (see Selaive v. Meyer, </w:t>
      </w:r>
      <w:hyperlink r:id="rId286" w:history="1">
        <w:r>
          <w:rPr>
            <w:rFonts w:ascii="arial" w:eastAsia="arial" w:hAnsi="arial" w:cs="arial"/>
            <w:i/>
            <w:color w:val="0077CC"/>
            <w:sz w:val="20"/>
            <w:u w:val="single"/>
            <w:shd w:val="clear" w:color="auto" w:fill="FFFFFF"/>
            <w:lang w:val="en-US" w:eastAsia="en-US" w:bidi="ar-SA"/>
          </w:rPr>
          <w:t>[1998] B.C.J. No. 2629</w:t>
        </w:r>
      </w:hyperlink>
      <w:r>
        <w:rPr>
          <w:rFonts w:ascii="arial" w:eastAsia="arial" w:hAnsi="arial" w:cs="arial"/>
          <w:color w:val="000000"/>
          <w:sz w:val="20"/>
          <w:lang w:val="en-US" w:eastAsia="en-US" w:bidi="ar-SA"/>
        </w:rPr>
        <w:t xml:space="preserve"> (S.C.)). Gill J. found that there was a breach of the covenant of quiet enjoyment and the tort of intentional interference with economic relations. Punitive damages were also awarded. The total award was $85,544.47 plus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chronology of events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3, 1992</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leased the premises in Bella Coola, B.C. which was owned by the defendants.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22, 1992</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sued the defendants for breach and interference.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23, 1992</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obtained an injunction against the defendants.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17, 1994</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Meyer and Ms. Kaiser transferred a one-third interest in the Bella Coola property to David Meyer in joint tenancy.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24, 1997</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Dieter Meyer died.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29, 1997</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Helga Kaiser was appointed as the personal Representative Ad Litem of the Estate of Dieter Meyer.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20, 1997</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Dieter Meyer's interest in the property is transmitted to the surviving joint tenants.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12, 1998</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Judgment for the plaintiffs by Gill J.</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1999</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Gill J. awarded the plaintiffs increased costs.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12, 2001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applied to have the transfer of an interest in the property be set aside under the Fraudulent Preference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29, 2002</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 Helen Vannicola died.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August 28, 2003</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Gill J. ordered a trial of the issues pursuant to the Fraudulent Preference Act.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20, 2003</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Joanne Vannicola was appointed Estate Trustee without a Will for the plaintiff, Helen Vannicola's estate.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5, 2004</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Bryfogle is appointed to replace Ms. Kaiser as the Representative Ad Litem for the Estate of Dieter Meyer.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22, 2004</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Bryfogle filed a counterclaim and statement of defence.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19, 2004</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Joanne Vannicola was removed and Dino Vannicola was appointed as Succeeding Estate Trustee. Dino Vannicola is the son of Helen Vannicola.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Nothing has been paid on the judgment or costs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Since his appointment as Representative Ad Litem of the Estate of Dieter Meyer, Mr. Bryfogle has filed a number of motions in this matter. These are documented in the affidavit of Christopher Bacon. The Estate of Dieter Meyer has no assets in British Columbia. It has passed to Helga Kaiser.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trial under the Fraudulent Preference Act, </w:t>
      </w:r>
      <w:r>
        <w:rPr>
          <w:rFonts w:ascii="arial" w:eastAsia="arial" w:hAnsi="arial" w:cs="arial"/>
          <w:i/>
          <w:color w:val="000000"/>
          <w:sz w:val="20"/>
          <w:lang w:val="en-US" w:eastAsia="en-US" w:bidi="ar-SA"/>
        </w:rPr>
        <w:t>R.S.B.C. 1996, c. 164</w:t>
      </w:r>
      <w:r>
        <w:rPr>
          <w:rFonts w:ascii="arial" w:eastAsia="arial" w:hAnsi="arial" w:cs="arial"/>
          <w:color w:val="000000"/>
          <w:sz w:val="20"/>
          <w:lang w:val="en-US" w:eastAsia="en-US" w:bidi="ar-SA"/>
        </w:rPr>
        <w:t xml:space="preserve"> is scheduled for September 12, 2005 for five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filed a considerable number of documents relating to Mr. Bryfogle being a vexatious litigant in Arizona, U.S.A. Mr. Bryfogle submitted that he has not had time to respond to these documents. I advised him during the hearing that if I relied on the documents, I would give him an opportunity to respond. I have not found it necessary to rely on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makes the following applications, and I add parenthetically, Ms. Kaiser was served with the application:</w:t>
      </w:r>
      <w:r>
        <w:rPr>
          <w:rFonts w:ascii="arial" w:eastAsia="arial" w:hAnsi="arial" w:cs="arial"/>
          <w:sz w:val="20"/>
          <w:lang w:val="en-US" w:eastAsia="en-US" w:bidi="ar-SA"/>
        </w:rPr>
        <w:cr/>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Dino Vannicola, Succeeding Estate Trustee without a Will of the Estate of Helen Vannicola be substituted as the plaintiff in the place of Helen Vannicola;</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be amended in accordance with the above substitution;</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counterclaim and statement of defence filed on behalf of the Estate of Dieter Meyer be dismissed;</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 the Estate of Dieter Meyer, Deceased, by his Representative Ad Litem, R. Charles Bryfogle has no standing to oppose or participate in the plaintiffs' fraudulent preference claim brought by notice of motion dated January 12, 2001 and currently set for a five day trial commencing September 12, 2005;</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defendant, the Estate of Dieter Meyer, Deceased, by his Representative Ad Litem, R. Charles Bryfogle, post security for costs in the amount of $7,000.00 forthwith;</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R. Charles Bryfogle be prohibited from acting as agent for the defendant, Helga Kaiser, or the Interested Party, David Winston James Meyer; and</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submit that the Estate of Dieter Meyer no longer has an interest in the fraudulent preference claim because Mr. Meyer's interest in the property transferred to Helga Kaiser and David Meyer upon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Bryfogle makes a number of applications and submissions. His arguments and written material are not always coherent. I address the issues, more or less, in the order they were raised. I will address his applications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Mr. Bryfogle submitted that the order appointing Ms. Kaiser as the Representative Ad Litem was under a different action. He submits that, as a result, the Estate was not represented at the trial before Gill J. He submits that the trial before Gill J. was a nullity and I should set aside the judgment. This argument, amongst others to which I will refer shortly, was unsuccessfully made before Barrow J.: see Selaive v. Meyer Estate, </w:t>
      </w:r>
      <w:hyperlink r:id="rId287" w:history="1">
        <w:r>
          <w:rPr>
            <w:rFonts w:ascii="arial" w:eastAsia="arial" w:hAnsi="arial" w:cs="arial"/>
            <w:i/>
            <w:color w:val="0077CC"/>
            <w:sz w:val="20"/>
            <w:u w:val="single"/>
            <w:shd w:val="clear" w:color="auto" w:fill="FFFFFF"/>
            <w:lang w:val="en-US" w:eastAsia="en-US" w:bidi="ar-SA"/>
          </w:rPr>
          <w:t>[2004] B.C.J. No. 2142</w:t>
        </w:r>
      </w:hyperlink>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2004 BCSC 1322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problems arise because there were two actions involving these parties: This action, which is Vancouver Registry No. C924633 and Coblenz Holdings Ltd. v. Meyer, which is Vancouver Registry No. C941461.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May 29, 1997, Master Barber ordered that Helga Kaiser be appointed Representative Ad Litem. The order is the style of cause of the within proceedings, however, the Registry number is that of the Coblenz Holdings Ltd. action (C941461). The order was prepared by counsel for the defendants. The Coblenz Holdings action was dealt with while Mr. Meyer was alive: see Coblenz Holdings Ltd. v. Meyer, </w:t>
      </w:r>
      <w:hyperlink r:id="rId288" w:history="1">
        <w:r>
          <w:rPr>
            <w:rFonts w:ascii="arial" w:eastAsia="arial" w:hAnsi="arial" w:cs="arial"/>
            <w:i/>
            <w:color w:val="0077CC"/>
            <w:sz w:val="20"/>
            <w:u w:val="single"/>
            <w:shd w:val="clear" w:color="auto" w:fill="FFFFFF"/>
            <w:lang w:val="en-US" w:eastAsia="en-US" w:bidi="ar-SA"/>
          </w:rPr>
          <w:t>[1994] B.C.J. No. 855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patently obvious from the material before me that the order made by Master Barber was in this action, that is, C924633. To put this argument to rest, I apply the "slip rule" pursuant to Supreme Court Rule 41(24) and amend Master Barber's order to read the correct registry number. That order is made nunc pro tunc.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Next, Mr. Bryfogle submits that I also must "strike" Gill J.'s ruling on the fraudulent preference action because filing fees of $62.00 were not paid and the lawyers involved committed a fraud on the Court. He claims Gill J. had no jurisdiction. He relies on Bonnevie v. K.I.M. Professional Management Services Ltd. </w:t>
      </w:r>
      <w:hyperlink r:id="rId289" w:history="1">
        <w:r>
          <w:rPr>
            <w:rFonts w:ascii="arial" w:eastAsia="arial" w:hAnsi="arial" w:cs="arial"/>
            <w:i/>
            <w:color w:val="0077CC"/>
            <w:sz w:val="20"/>
            <w:u w:val="single"/>
            <w:shd w:val="clear" w:color="auto" w:fill="FFFFFF"/>
            <w:lang w:val="en-US" w:eastAsia="en-US" w:bidi="ar-SA"/>
          </w:rPr>
          <w:t>(1982), 38 B.C.L.R. 364</w:t>
        </w:r>
      </w:hyperlink>
      <w:r>
        <w:rPr>
          <w:rFonts w:ascii="arial" w:eastAsia="arial" w:hAnsi="arial" w:cs="arial"/>
          <w:color w:val="000000"/>
          <w:sz w:val="20"/>
          <w:lang w:val="en-US" w:eastAsia="en-US" w:bidi="ar-SA"/>
        </w:rPr>
        <w:t xml:space="preserve"> (Co. Ct.). He submitted that if he had been shown the receipt for the fees (which was produced by the plaintiffs' counsel in Court) he would have stopped making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This is one of several examples where Mr. Bryfogle misled the Court during this application. This argument was raised and dismissed before Barrow J. in 2004 on the basis that the Bonnevie case had no application. Further, Barrow J. found that the fees had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Next, Mr. Bryfogle told me Barrow J. awarded him costs in the above-mentioned application. He did not grant such 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Bryfogle also appeared before Cohen J. recently and told me that Cohen J. instructed him to amend his pleadings to add Mr. Kerfoot (who had been the lawyer for Ms. Kaiser and the Estate before Gill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Bryfogle objected to the fact that he was not notified of the applications in Ontario to have Joanne Vannicola and then Dino Vannicola be appointed as Estate Trustee for their mother's estate. There is no merit to this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Mr. Bryfogle also complained that he had not received certain documents. He relied on a decision of mine in Padgett v. Saxena, </w:t>
      </w:r>
      <w:hyperlink r:id="rId290" w:history="1">
        <w:r>
          <w:rPr>
            <w:rFonts w:ascii="arial" w:eastAsia="arial" w:hAnsi="arial" w:cs="arial"/>
            <w:i/>
            <w:color w:val="0077CC"/>
            <w:sz w:val="20"/>
            <w:u w:val="single"/>
            <w:shd w:val="clear" w:color="auto" w:fill="FFFFFF"/>
            <w:lang w:val="en-US" w:eastAsia="en-US" w:bidi="ar-SA"/>
          </w:rPr>
          <w:t>[2003] B.C.J. No. 1329</w:t>
        </w:r>
      </w:hyperlink>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2003 BCSC 872</w:t>
        </w:r>
      </w:hyperlink>
      <w:r>
        <w:rPr>
          <w:rFonts w:ascii="arial" w:eastAsia="arial" w:hAnsi="arial" w:cs="arial"/>
          <w:color w:val="000000"/>
          <w:sz w:val="20"/>
          <w:lang w:val="en-US" w:eastAsia="en-US" w:bidi="ar-SA"/>
        </w:rPr>
        <w:t>, however, that case involved an application pursuant to Rule 18A, and has no relevance to this application. Mr. Bryfogle made a demand for documents and has been provided with a list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Bryfogle also seeks to set aside the appearance by a representative of Helen Vannicola. He submits that Mr. McAllister (then counsel for the plaintiffs) had no instructions to act, when in fact, Mr. McAllister's affidavit makes clear that he did have instructions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Mr. Bryfogle seeks security for costs as he says Mr. Dino Vannicola is a "foreign" litigant and, if the Estate is successful in its counterclaim, the Estate may have trouble collecting. Mr. Vannicola lives in Ontario. The reciprocal Court Order Enforcement Act, </w:t>
      </w:r>
      <w:r>
        <w:rPr>
          <w:rFonts w:ascii="arial" w:eastAsia="arial" w:hAnsi="arial" w:cs="arial"/>
          <w:i/>
          <w:color w:val="000000"/>
          <w:sz w:val="20"/>
          <w:lang w:val="en-US" w:eastAsia="en-US" w:bidi="ar-SA"/>
        </w:rPr>
        <w:t>R.S.B.C. 1996, c. 78</w:t>
      </w:r>
      <w:r>
        <w:rPr>
          <w:rFonts w:ascii="arial" w:eastAsia="arial" w:hAnsi="arial" w:cs="arial"/>
          <w:color w:val="000000"/>
          <w:sz w:val="20"/>
          <w:lang w:val="en-US" w:eastAsia="en-US" w:bidi="ar-SA"/>
        </w:rPr>
        <w:t xml:space="preserve"> addresses this, and therefore, there is no need for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Bryfogle has also raised other points, but does not seem to seek relief in respect of those in his notice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also seeks a "determination of the status of Selaive and rights to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Selaive (the other plaintiff) has not taken part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Bryfogle also sought to cross-examine Mr. Bacon on the affidavit filed in this application. Mr. Bacon is counsel for the plaintiffs. His affidavit sets out the chronology of events with supporting material. It is in my discretion whether to order cross-examination. Nothing would be gained by permitting such a cross-examination, therefore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Bryfogle's applications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Turning then to the plaintiffs' applications: There was no obligation for Mr. Bryfogle to be notified of any proceeding in Ontario in relation to Mrs. Vannicola's Estate. This argument has no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Bryfogle submits that the application to substitute Dino Vannicola, in these proceedings is too late. He raised this in his application before Barrow J. and Barrow J. held that there was no merit in this argument because there is no specified time in the Rules (see paras. 15-16).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application to substitute Dino Vannicola Succeeding Estate Trustee without a Will of the Estate of Helen Vannicola, Deceased as the plaintiff in these proceedings is granted. The application to amend the pleadings accordingly is also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application to strike the statement of defence and counterclaim is made on two bases: first, that the estate no longer has an interest in the property, and second, that the statement of defence and counterclaim "discloses no reasonable claim or defence" pursuant to Supreme Court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submit that the Estate no longer has an interest in the property, since the interest was transferred when Mr. Meyer died, and if the plaintiffs are successful in having the transfer to David Meyer set aside, the property goes to Ms. Kaiser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Rule 15(3)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Assignment or conveyance of interest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by assignment, conveyance or death, an estate, interest or title devolves or is transferred, a proceeding relating thereto may be continued by or against the person upon whom or to whom that estate, interest or title has devolved or been transferred.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was not given any authorities relating to the application of this Rule. I do not see how the Estate could be removed from defending this action. The application to declare that the Estate have no standing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turn to the application to strike the statement of defence and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Rule 19(24)(a)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Scandalous, frivolous or vexatious matters</w:t>
      </w:r>
      <w:r>
        <w:rPr>
          <w:rFonts w:ascii="arial" w:eastAsia="arial" w:hAnsi="arial" w:cs="arial"/>
          <w:sz w:val="20"/>
          <w:lang w:val="en-US" w:eastAsia="en-US" w:bidi="ar-SA"/>
        </w:rPr>
        <w:cr/>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leading case on the scope of Rule 19(24)(a) is 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74 D.L.R. (4th) 321</w:t>
      </w:r>
      <w:r>
        <w:rPr>
          <w:rFonts w:ascii="arial" w:eastAsia="arial" w:hAnsi="arial" w:cs="arial"/>
          <w:color w:val="000000"/>
          <w:sz w:val="20"/>
          <w:lang w:val="en-US" w:eastAsia="en-US" w:bidi="ar-SA"/>
        </w:rPr>
        <w:t>. The court set out the following test, at 980: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Rules of Court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similar standard applies to the statement of defence and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pleadings are organized in "categories", for want of a better word, and I will address the pleadings by category. I note that some of the pleadings address issues from the trial on the merits before Gill J., perhaps because of Mr. Bryfogle's claim that that trial was a nullity.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first category of pleading is "Abandonment of Proceedings by plaintiff Mario Selaive." The pleadings refer to either false evidence by Mr. Selaive at the trial before Gill J. or an agreement between the plaintiffs "that was suppressed from and kept secret from the trial court and defendants." The pleadings refer further to the submission that Mr. McAllister has been acting without instructions and, if so, has engaged in an abuse of process and caused injury to the Estate and other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"plain and obvious" that nothing in this category serves as a defence to the claim under the Fraudulent Preference Act or as a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next category is the "Absence of Lawful Agent for Plaintiff Vannicola."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Paragraphs 10-14 refer to the fact that no representative plaintiff was appointed when Helen Vannicola died. The answer lies in Rule 15. There is no time limit for the substitution of a plaintiff. Further, as was pointed out by Barrow J., the defendants could apply for the matter to proceed pursuant to Rule 15(8), and did not. This category does not present a valid statement of defence or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next category is "Notice of Death of Dieter Meyer."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This pleading raises alleged non-compliance with the Estate Administration Act, </w:t>
      </w:r>
      <w:hyperlink r:id="rId285" w:history="1">
        <w:r>
          <w:rPr>
            <w:rFonts w:ascii="arial" w:eastAsia="arial" w:hAnsi="arial" w:cs="arial"/>
            <w:i/>
            <w:color w:val="0077CC"/>
            <w:sz w:val="20"/>
            <w:u w:val="single"/>
            <w:shd w:val="clear" w:color="auto" w:fill="FFFFFF"/>
            <w:lang w:val="en-US" w:eastAsia="en-US" w:bidi="ar-SA"/>
          </w:rPr>
          <w:t>R.S.B.C. 1996, c. 122</w:t>
        </w:r>
      </w:hyperlink>
      <w:r>
        <w:rPr>
          <w:rFonts w:ascii="arial" w:eastAsia="arial" w:hAnsi="arial" w:cs="arial"/>
          <w:color w:val="000000"/>
          <w:sz w:val="20"/>
          <w:lang w:val="en-US" w:eastAsia="en-US" w:bidi="ar-SA"/>
        </w:rPr>
        <w:t xml:space="preserve"> and pleads that the claim had to be made against the Estate under these provisions. This pleading raises abuse of process and attempted theft of property. The judgments were rendered against the Estate in 1998 and 1999. This Court has no jurisdiction to consider the arguments raised. They are for the Court of Appeal. Further, the action was commenced in 1992, five years before Mr. Meyer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next category is "Injuries Caused by Wilful Intent 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1994 through January 10, 2001." This category pleads that the plaintiffs should have known about the transfer of property to David Meyer and should have made a claim under the Estate Administration Act. It also claims counsel for the plaintiffs at the time made a "misleading, material false statement and affidavit", but there is no pleading to support this allegation. The pleading also states that the plaintiffs were not informed of the transfer of title to David Meyer, which is an admission. Again, there appears to be no reasonable defence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next category is "The Voidable Judgment I: Absence of Jurisdiction Over Claims [In Rem]." These pleadings make serious allegations against counsel, again unsupported by any pleading, and attempt to cast doubt on the jurisdiction of Gill J. in 1998. This was a matter for appeal, which the defendants did not pursue.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next category is "The Voidable Judgment II: Absence of Jurisdiction Over Decedent [Semi In Rem]." This pleading claims the trial before Gill J. was a nullity. Again, this was a matter for appeal, not for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next category is "The Voidable Judgment III: Limitations of Jurisdiction Over Kaiser." These pleadings claim that the trial was conducted under the "false presumption" that Ms. Kaiser was not the common law wife of Dieter Meyer. Further, the judgment of Gill J. was "voidable" because the judgment was not apportioned between the defendants. Other matters are also pleaded. None have any substance and disclose no reasonable defence or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Next is "The Voidable Judgment IV: Absence of Jurisdiction Over Dieter Meyer." This aspect of the pleading relates to the earlier discussion regarding the wrong action number on Master Barber's order. I have already dealt with this issue. Paragraphs 47 and 48 plead a claim against the counsel for the defendants at trial. Mr. Bryfogle told me Cohen J. advised him to amend these pleadings to add counsel, Mr. Kerfoot. Subject to an order from Cohen J. stating otherwise (which I have not seen), I do not think that counsel can be brought into this action simply by an amendment of pleadings. This appears to be a separate claim altogether. In any event, it has nothing to do with the fraudulent preference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next category is "The 2001 Notice of Motion through 16 December 2002." These pleadings refer to the non-payment of fees for the notice of motion, which has already been addressed. Further, the pleadings attack the ruling by Gill J. on August 28, 2003 referring the fraudulent preference claim to trial. Other complaints are made, again none of which present either a reasonable defence or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next category is "Current Proceedings 17 December 2002 to 23 March 2004." This pleading raises a mortgage placed on the property by the defendants' counsel, which is irrelevant to this action. It claims Gill J. denied limitation issues but did not deliver reasons. Again, this is irrelevant to this claim. The pleading also says that setting aside the property transfer would recreate Mr. Meyer's Estate to the detriment of the Estate. This is contradictory to earlier statements and, in any event, presents no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next category is "Application for a Rule 2.4 Setting Aside of a Judgment and Stay of Proceedings." This pleading seeks to set aside all of Gill J.'s prior judgments. There is no merit to this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next category is "Application to Stay Proceedings for Failure to Comply with Rule 66(8)(c)." Rule 66 relates to "Fast Track Litigation" and is not applicable to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next category is "Application to Set Aside Judgment for Irregularities." This pleading is so nonsensical it is not worth comment. Similarly, for the next category "Application to Dismiss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next category is "Application to Dismiss Based Upon Statutory Limitations." This pleading, which I set out below as illustrative of this document, makes no sense: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required by law, upon setting for trial by Plaintiff, and appearance of a substitute party, limitation defences need be restated. Previously stated limitation defences found in Exh 4, and statutory claims found herein, are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next category is "Rule 19(24) Motion to Strike." Paragraphs 77 and 78 are incomprehensible.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Paragraphs 80-83 (a-j) purport to set out a counterclaim. I set out the claim in paragraph 83 in its entirety: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2001 notice of motion is not accompanied by a writ or statement of claim, or amended 1992 statement of claim, to give jurisdiction to any court to address a fraudulent preference since that charge is not within the 4 corners of the 1992 complaint, or a subject matter set for trial in 1998.</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WHEREFORE THE COUNTERCLAIMANT ESTATE OF DIETER MEYER BY AND THROUGH HIS REPRESENTATIVE AD LITEM CLAIMS AS FOLLOWS AGAINST THE PLAINTIFFS, THEIR SUCCESSORS AND ASSIGNS, AND AGENTS, AND EACH OF THEM:</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attempted conversion of and theft of property and theft; and entering into conspiracy to give credence and equal standing to a fraudulent conveyance, while leaving the charge in place before the court.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an Order for the sum of the 1998 judgement plus interest as aggravated, special and punitive damages;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injunction restraining McAllister QC or any other attorney alleging agency for Plaintiffs to further file pleadings or motions without first establishing the [1] had a lawful client 29 March 2003-23 March 2004; and/or [2] have a lawful client at the time of filing any papers.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Kerfoot mortgage done in 1998 is fraudulent, and void.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either that portion of the 2001 "no fee paid" notice of motion is stricken which addresses the 1998 Kerfoot mortgage; or reasons for judgement be set aside until such time as Justice Gill remedies the deficiency in her order; that accession by Kaiser [and now the estate] that the Kerfoot mortgage was a fraudulent preference compels that the mortgage be voided by execution of law.</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arising from abuse of process in having no client, yet proceeding against the estate and others;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arising from abuse of process,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willful legal malpractice in seeking trial and post judgement proceedings barred by time limits set by the Estates Administration Act;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arising from trial and subsequent proceedings where decedent was not lawfully represented;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arising from having to defend against a matter where Plaintiff was deleterious in pursuing claims; and then did so knowing or should have known claims were time barred, or otherwise deficient;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arising from undertaking judicial proceedings not paying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entire pleading is unsupported.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There are claims wholly unrelated to this matter and there are factually unsupported allegations. No one reading this would understand the issues of fact and law that are to be determined by the Court: see Homalco Indian Band v. British Columbia </w:t>
      </w:r>
      <w:hyperlink r:id="rId291" w:history="1">
        <w:r>
          <w:rPr>
            <w:rFonts w:ascii="arial" w:eastAsia="arial" w:hAnsi="arial" w:cs="arial"/>
            <w:i/>
            <w:color w:val="0077CC"/>
            <w:sz w:val="20"/>
            <w:u w:val="single"/>
            <w:shd w:val="clear" w:color="auto" w:fill="FFFFFF"/>
            <w:lang w:val="en-US" w:eastAsia="en-US" w:bidi="ar-SA"/>
          </w:rPr>
          <w:t>(1998), 25 C.P.C. (4th) 107</w:t>
        </w:r>
      </w:hyperlink>
      <w:r>
        <w:rPr>
          <w:rFonts w:ascii="arial" w:eastAsia="arial" w:hAnsi="arial" w:cs="arial"/>
          <w:color w:val="000000"/>
          <w:sz w:val="20"/>
          <w:lang w:val="en-US" w:eastAsia="en-US" w:bidi="ar-SA"/>
        </w:rPr>
        <w:t xml:space="preserve"> at 109, </w:t>
      </w:r>
      <w:hyperlink r:id="rId291"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Therefore, the entire statement of defence and counterclaim are struck as being plain and obvious that they disclose no reasonable statement of defence or counterclaim: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next application is for a declaration that Mr. Bryfogle has no standing in the fraudulent preference claim and for a declaration that Mr. Bryfogle is prohibited from acting as agent for Helga Kaiser or the Interested Party, David Meyer.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Mr. Bryfogle says that he has had standing in the past. The fact that he has previously been given an audience before the Court does not mean he is entitled to make future appearances: see Great West Life Assurance Co. v. Royal Anne Hotel Co. </w:t>
      </w:r>
      <w:hyperlink r:id="rId292" w:history="1">
        <w:r>
          <w:rPr>
            <w:rFonts w:ascii="arial" w:eastAsia="arial" w:hAnsi="arial" w:cs="arial"/>
            <w:i/>
            <w:color w:val="0077CC"/>
            <w:sz w:val="20"/>
            <w:u w:val="single"/>
            <w:shd w:val="clear" w:color="auto" w:fill="FFFFFF"/>
            <w:lang w:val="en-US" w:eastAsia="en-US" w:bidi="ar-SA"/>
          </w:rPr>
          <w:t>(1986), 31 D.L.R. (4th) 37</w:t>
        </w:r>
      </w:hyperlink>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6 B.C.L.R. (2d) 175</w:t>
        </w:r>
      </w:hyperlink>
      <w:r>
        <w:rPr>
          <w:rFonts w:ascii="arial" w:eastAsia="arial" w:hAnsi="arial" w:cs="arial"/>
          <w:color w:val="000000"/>
          <w:sz w:val="20"/>
          <w:lang w:val="en-US" w:eastAsia="en-US" w:bidi="ar-SA"/>
        </w:rPr>
        <w:t xml:space="preserve"> at para. 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test to be applied when a person, who is not a member of the Law Society, seeks to represent someone is "whether it is necessary or proper that he or she do so": see Fast Trac Bobcat Excavating Service, a Division of Fast Trac Enterprises Ltd. v. Riverfront Corp. Centre Ltd., </w:t>
      </w:r>
      <w:hyperlink r:id="rId293" w:history="1">
        <w:r>
          <w:rPr>
            <w:rFonts w:ascii="arial" w:eastAsia="arial" w:hAnsi="arial" w:cs="arial"/>
            <w:i/>
            <w:color w:val="0077CC"/>
            <w:sz w:val="20"/>
            <w:u w:val="single"/>
            <w:shd w:val="clear" w:color="auto" w:fill="FFFFFF"/>
            <w:lang w:val="en-US" w:eastAsia="en-US" w:bidi="ar-SA"/>
          </w:rPr>
          <w:t>[2002] B.C.J. No. 2356</w:t>
        </w:r>
      </w:hyperlink>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2002 BCSC 1399</w:t>
        </w:r>
      </w:hyperlink>
      <w:r>
        <w:rPr>
          <w:rFonts w:ascii="arial" w:eastAsia="arial" w:hAnsi="arial" w:cs="arial"/>
          <w:color w:val="000000"/>
          <w:sz w:val="20"/>
          <w:lang w:val="en-US" w:eastAsia="en-US" w:bidi="ar-SA"/>
        </w:rPr>
        <w:t xml:space="preserve"> at paras. 74-75.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this case, Mr. Bryfogle has misled the Court as noted in the above reasons. He has filed voluminous material and pleadings that disclose no reasonable counterclaim or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continues to attempt to litigate issues which have already been decided. He is of no assistance whatsoever to the Court or to the defendant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Bryfogle has acted contrary to the interests of the Estate. I further declare that Mr. Bryfogle has no standing before this Court on anything relating to this claim, including representing either Helga Kaiser or David Meyer. I discharge him as the Representative Ad Litem.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on the material before me, prepared to reappoint Helga Kaiser as the Representative Ad Litem, as her interests in this action appear to be identical to those of the Estate. If she does not consent to such an appointment, I suggest the plaintiffs contact the Public Guardian and Trustee to see if that office will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seek costs against Mr. Bryfogle personally, no doubt because the Estate has no assets. However, problematic as Mr. Bryfogle's involvement has been, this is not a case, at this point, to order costs payable against him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plaintiffs will have their costs for this application on Scale 3 against the Estate. I have not ordered costs in the cause as the plaintiffs should not have had to bring either a contested application to appoint Mr. Vannicola, nor should they have been required to address the pleadings as filed by Mr. Bryfogle.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6"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Sohal Estate v. Argitos, [2010] B.C.J. No. 1288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and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P. Keighley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M117100, M080788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1288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916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190 A.C.W.S. (3d) 693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1720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Resham Kaur Sohal on behalf of the Estate of her Husband, Ranjit Singh Sohal, Deceased, Resham Kaur Sohal and Victor Sohal by his Litigation Guardian, Resham Kaur Sohal, Baldev Singh Sohal and Nirmal Kaur Sohal as the personal representatives of the Estate of Ranjit Singh Sohal (deceased), Plaintiffs, and Christopher Ryan Argitos also known as Christopher Argitos, Beck Drilling and Environmental Services Ltd., and CCS Inc., Defendants, and Argo Road Maintenance (North Okanagan) Inc. and Her Majesty the Queen in Right of the Province of British Columbia, Third Parties And between Baljit Singh Sandhu, Plaintiff, and Christopher Ryan Argitos, Beck Drilling and Environment Services Ltd., Defendants, and Argo Road Maintenance (North Okanagan) Inc. and Her Majesty the Queen in Right of the Province of British Columbia,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7"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6" w:name="Keywords_13"/>
      <w:bookmarkEnd w:id="96"/>
      <w:r>
        <w:rPr>
          <w:rFonts w:ascii="arial" w:eastAsia="arial" w:hAnsi="arial" w:cs="arial"/>
          <w:b/>
          <w:color w:val="000000"/>
          <w:sz w:val="20"/>
          <w:lang w:val="en-US" w:eastAsia="en-US" w:bidi="ar-SA"/>
        </w:rPr>
        <w:t>Civil litigation — Civil procedure — Actions — Causes of action — Joinder and consolidation — Trials — Conduct of — Adjournments — Application by the defendants for two actions that resulted from the same motor vehicle accident to be tried together allowed — Application by the plaintiffs in one action for an adjournment of the scheduled trial date allowed — Application by the plaintiff in the other action for an advance payment of damages dismissed — Concurrent trial was ordered because the actions were very interwoven — Adjournment was granted because counsel of choice of the plaintiffs and one of the defendants were unavailable on the scheduled date — No advance payment would be made because liability was in dispute.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7" w:name="Case Summary_11"/>
            <w:bookmarkEnd w:id="9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in two actions for the actions to be tried together on the trial date presently scheduled for one of the actions, known as the Sandhu action. That trial was scheduled to commence on November 22, 2010. The plaintiffs in the second action, known as the Sohal action, sought an adjournment of the trial date. If the trial was adjourned the plaintiff Sandhu sought an order for an advance payment of damages due to dire financial circumstances. In January 2007 Sohal and Sandhu travelled in a car when they were involved in a collision with a commercial vehicle that was driven by the defendant Argitos and that was owned by the defendant Beck Drilling and Environmental Services Ltd. Sohal, who was the driver, died at the scene and Sandhu and Argitos were uninjured. In the months prior to the accident Sohal and Sandhu had formed a trucking company and the claims that arose from the accident would focus on the anticipated earnings of that enterprise. Sandhu sued Argitos and Beck and they filed a defence. They also issued a third party notice naming Argo Maintenance (North Okanagan) Inc. and the Province of British Columbia as third parties. The defendants denied liability and claimed that the third parties failed to adequately maintain the highway and to warn about hazardous conditions. The third parties also denied liability. The Sohal action consisted of two Family Compensation Act claims that were commenced by Sohal's wife and his parents and which were consolidated. The defendants and third parties in this action were the same as in the Sandhu action. A consolidated Statement of Claim had not yet been filed and the matter was not set for trial. In the Sandhu action examinations for discovery had not yet been completed. No discoveries had been conducted in the Sohal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8" w:name="Holdings of Court_9"/>
            <w:bookmarkEnd w:id="98"/>
            <w:r>
              <w:rPr>
                <w:rFonts w:ascii="arial" w:eastAsia="arial" w:hAnsi="arial" w:cs="arial"/>
                <w:color w:val="000000"/>
                <w:sz w:val="20"/>
                <w:lang w:val="en-US" w:eastAsia="en-US" w:bidi="ar-SA"/>
              </w:rPr>
              <w:t>HELD: Defendants'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Application by the Sohal plaintiffs allowed. Application by Sandhu dismissed. The two actions would be tried at the same time. It made sense in the circumstances to make this order because of issues that related to liability and the common business enterprise between Sandhu and Sohal. The matters were also so interwoven that separate trials at different times before different judges was undesirable and was fraught with problems and economic expense. The concurrent trial would be adjourned from the presently scheduled date to a date that was convenient for all of the parties. The Sohal plaintiffs were entitled to their counsel of choice who had not been consulted about the November date and who was not available for it. The Province's counsel was also unavailable on that date. Although Sandhu would experience significant hardship from the adjournment the potential prejudice to the Sohal plaintiffs and to the Province overrode Sandhu's potential prejudice. Sandhu was not entitled to an advance payment because liability was disputed in both actions.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9" w:name="Legislation Cited_11"/>
      <w:bookmarkEnd w:id="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8"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CHAPTER 126</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0" w:name="Counsel_13"/>
      <w:bookmarkEnd w:id="10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9"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Resham Sohal Baldev &amp; Nirmal Sohal: J. Chadola.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Baldev Sandhu Action Number M080788: L. Cohen.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Beck Drilling &amp; CCS Inc.: K.A.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Argo Road Maintenance: D. Hendricks.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Her Majesty the Queen in Right of the Province of British Columbia: G. Underwood.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1" w:name="Judgment_13"/>
      <w:bookmarkEnd w:id="101"/>
      <w:r>
        <w:pict>
          <v:line id="_x0000_s1100" style="position:absolute;z-index:2518261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2" w:name="MASTER P. KEIGHLEY"/>
            <w:bookmarkEnd w:id="102"/>
            <w:r>
              <w:rPr>
                <w:rFonts w:ascii="arial" w:eastAsia="arial" w:hAnsi="arial" w:cs="arial"/>
                <w:b/>
                <w:color w:val="000000"/>
                <w:sz w:val="30"/>
                <w:lang w:val="en-US" w:eastAsia="en-US" w:bidi="ar-SA"/>
              </w:rPr>
              <w:t>MASTER P. KEIGHLEY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 wintry afternoon in January 2007, Ranjit Singh Sohal ("Sohal"), together with his friend and business associate, Baldev Singh Sandhu ("Sandhu"), were travelling from their homes in Calgary in a vehicle then being driven by Sohal. In the vicinity of Pritchard, a small community east of Kamloops, the travelled portion of the road was clear, but vision was obscured somewhat by plumes of snow thrown up from the un-travelled by moderate traffic. The defendant Christopher Ryan Argitos ("Argitos"), travelling in the opposite direction and driving a commercial vehicle owned by the defendant, Beck Drilling and Environmental Services Ltd. ("Beck") for reasons which may be clarified at trial, slid into the oncoming lane, striking the Sohal vehicle on the driver's side. Sohal died at the scene. Sandhu and Argitos were essentially uninjured.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months prior to the accident, Sohal and Sandhu had formed a trucking company and the claims arising from the accident will focus to a large degree on the anticipated earnings of that enterprise.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Sandhu issued a Statement of Claim (Vancouver Registry No. M080788 and hereinafter referred to as the "Sandhu action") on February 19, 2008. The defendants Argitos and Beck filed their defence on September 12, 2008, having issued a third party notice naming Argo Maintenance (North Okanagan) Inc. and Her Majesty the Queen in Right of the Province of British Columbia as third parties on September 9, 2008. Argitos and Beck deny liability and, in general terms claim over against the third parties alleging failure to adequately maintain the highway and failure to warn with regards to hazardous conditions. The third parties also deny liability: Argo filing its Statement of Defence on October 2, 2008 and a Defence being filed on behalf of Her Majesty on October 27,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Notice of Trial was filed in the Sandhu action on May 29, 2009 scheduling the trial in the Vancouver Registry for 15 days commencing November 22,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Initially, two Family Compensation Act claims were commenced by Sohal's survivors: one by his wife and on behalf of his infant child, and the other by his parents as his personal representatives. With the consent of all parties, these actions were consolidated by desk order dated Wednesday April 7, 2010, and continue as Action No. M117100 issued out of the New Westminster Registry (hereinafter referred to as the "Sohal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Argitos and Beck are also defendants in the Sohal action and Argo and Her Majesty the Queen are also named as third parties. The defendants filed their defence on July 31, 2009 issuing third party proceedings the same day. A Statement of Defence was filed on behalf of Her Majesty on September 3, 2009 and Argo filed its Statement of Defence on November 10, 2009. A consolidated Statement of Claim has not yet been filed in the Sohal action and the matter has not been set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Sandhu action an examination for discovery has been conducted of the plaintiff, Argitos and a representative of Argo. A discovery of a representative of Her Majesty the Queen is scheduled for this month. No discoveries have yet been conducted in the Sohal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in both actions seek an order that the Sohal action and the Sandhu action be tried together on the date presently scheduled for the commencement of the Sandhu action, namely November 22, 2010 for 15 days, subject to the direction of the trial judge. Sohal seeks the following orders:</w:t>
      </w:r>
      <w:r>
        <w:rPr>
          <w:rFonts w:ascii="arial" w:eastAsia="arial" w:hAnsi="arial" w:cs="arial"/>
          <w:sz w:val="20"/>
          <w:lang w:val="en-US" w:eastAsia="en-US" w:bidi="ar-SA"/>
        </w:rPr>
        <w:cr/>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Adjournment of the November 22, 2010 trial date (anticipating that the order for concurrent trials will be granted);</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concurrent trial be heard in the New Westminster Registry;</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liability be dealt with first and "next the action herein be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Argitos, Beck, and CCS generally oppose the application for adjournment indicating that they are prepared to proceed with the concurrent trial of the two matters should I grant their applications. They also oppose Sohal's application for an order that the trial be heard in New Westminster and the application for severance of the issues of liability and quantum. Sandhu opposes an order for concurrent trials if that means an adjournment of the November date. In the event that the trial is adjourned, he seeks an order for an advance on damages in light of what he says are dire financial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Concurrent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application is brought pursuant to Rule 5(8)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Consolidation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Proceedings may be consolidated at any time by order of the court or may be ordered to be tried at the same time or on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order sought is discretionary.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Exercise of this discretion is governed by the principles set out in the decision of Master Kirkpatrick, as she then was, in the case of </w:t>
      </w:r>
      <w:r>
        <w:rPr>
          <w:rFonts w:ascii="arial" w:eastAsia="arial" w:hAnsi="arial" w:cs="arial"/>
          <w:i/>
          <w:color w:val="000000"/>
          <w:sz w:val="20"/>
          <w:lang w:val="en-US" w:eastAsia="en-US" w:bidi="ar-SA"/>
        </w:rPr>
        <w:t>Merritt v. Imasco Enterprises Inc.</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(1992), 2 C.P.C. (3d) 275</w:t>
        </w:r>
      </w:hyperlink>
      <w:r>
        <w:rPr>
          <w:rFonts w:ascii="arial" w:eastAsia="arial" w:hAnsi="arial" w:cs="arial"/>
          <w:color w:val="000000"/>
          <w:sz w:val="20"/>
          <w:lang w:val="en-US" w:eastAsia="en-US" w:bidi="ar-SA"/>
        </w:rPr>
        <w:t xml:space="preserve"> at para. 18 and 19:</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the submissions of counsel address the real issue to be determined. That is, are the issues raised by the pleadings sufficiently similar to warrant the order sought and will the order make sense in the circumstances? An application to have actions tried at the same time thus requires an examination of circumstances which may be of a more general nature than is made under R. 27 or 19.</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accept that the foundation of an application under R. 5(8) is, indeed, disclosed by the pleadings. The examination of the pleadings will answer the first question to be addressed: do common claims, disputes and relationships exist between the parties? But the next question which one must ask is: are they "so interwoven as to make separate trials at different times before different judges undesirable and fraught with problems and economic expense"? </w:t>
      </w:r>
      <w:r>
        <w:rPr>
          <w:rFonts w:ascii="arial" w:eastAsia="arial" w:hAnsi="arial" w:cs="arial"/>
          <w:i/>
          <w:color w:val="000000"/>
          <w:sz w:val="20"/>
          <w:lang w:val="en-US" w:eastAsia="en-US" w:bidi="ar-SA"/>
        </w:rPr>
        <w:t>Webster v. Webster</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(1979), 12 B.C.L.R. 172</w:t>
        </w:r>
      </w:hyperlink>
      <w:r>
        <w:rPr>
          <w:rFonts w:ascii="arial" w:eastAsia="arial" w:hAnsi="arial" w:cs="arial"/>
          <w:color w:val="000000"/>
          <w:sz w:val="20"/>
          <w:lang w:val="en-US" w:eastAsia="en-US" w:bidi="ar-SA"/>
        </w:rPr>
        <w:t xml:space="preserve"> at 182, </w:t>
      </w:r>
      <w:hyperlink r:id="rId303" w:history="1">
        <w:r>
          <w:rPr>
            <w:rFonts w:ascii="arial" w:eastAsia="arial" w:hAnsi="arial" w:cs="arial"/>
            <w:i/>
            <w:color w:val="0077CC"/>
            <w:sz w:val="20"/>
            <w:u w:val="single"/>
            <w:shd w:val="clear" w:color="auto" w:fill="FFFFFF"/>
            <w:lang w:val="en-US" w:eastAsia="en-US" w:bidi="ar-SA"/>
          </w:rPr>
          <w:t>10 R.F.L. (2d) 148</w:t>
        </w:r>
      </w:hyperlink>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101 D.L.R. (3d) 248</w:t>
        </w:r>
      </w:hyperlink>
      <w:r>
        <w:rPr>
          <w:rFonts w:ascii="arial" w:eastAsia="arial" w:hAnsi="arial" w:cs="arial"/>
          <w:color w:val="000000"/>
          <w:sz w:val="20"/>
          <w:lang w:val="en-US" w:eastAsia="en-US" w:bidi="ar-SA"/>
        </w:rPr>
        <w:t xml:space="preserve"> (C.A.). That second question cannot, in my respectful view, be determined solely by reference to the pleadings. Reference must also be made to matters disclosed outside the pleadings: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order sought create a saving in pre-trial procedures, (in particular, pre-trial conferences)?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there be a real reduction in the number of trial days taken up by the trials being heard at the same time?</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potential for a party to be seriously inconvenienced by being required to attend a trial in which that party may have only a marginal interest? and</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there be a real saving in experts' time and witness fees?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in no way intended to be an exhaustive list. It merely sets out some of the factors which, it seems to me, ought to be weighed before making an order under R.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To these considerations, Master Joyce, as he then was, added two more in the case of </w:t>
      </w:r>
      <w:r>
        <w:rPr>
          <w:rFonts w:ascii="arial" w:eastAsia="arial" w:hAnsi="arial" w:cs="arial"/>
          <w:i/>
          <w:color w:val="000000"/>
          <w:sz w:val="20"/>
          <w:lang w:val="en-US" w:eastAsia="en-US" w:bidi="ar-SA"/>
        </w:rPr>
        <w:t>Shah v. Bakken</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[1996] B.C.J. No. 2836</w:t>
        </w:r>
      </w:hyperlink>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 B.C.L.R. (3d) 393</w:t>
        </w:r>
      </w:hyperlink>
      <w:r>
        <w:rPr>
          <w:rFonts w:ascii="arial" w:eastAsia="arial" w:hAnsi="arial" w:cs="arial"/>
          <w:color w:val="000000"/>
          <w:sz w:val="20"/>
          <w:lang w:val="en-US" w:eastAsia="en-US" w:bidi="ar-SA"/>
        </w:rPr>
        <w:t>,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factors which in my view can be added to the foregoing list are: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one of the actions at a more advanced stage than the other? See: Forestral Automation Ltd. v. RMS Industrial Controls Inc. et al. (No. 2), </w:t>
      </w:r>
      <w:hyperlink r:id="rId305" w:history="1">
        <w:r>
          <w:rPr>
            <w:rFonts w:ascii="arial" w:eastAsia="arial" w:hAnsi="arial" w:cs="arial"/>
            <w:i/>
            <w:color w:val="0077CC"/>
            <w:sz w:val="20"/>
            <w:u w:val="single"/>
            <w:shd w:val="clear" w:color="auto" w:fill="FFFFFF"/>
            <w:lang w:val="en-US" w:eastAsia="en-US" w:bidi="ar-SA"/>
          </w:rPr>
          <w:t>[1978] B.C.J. No. 253</w:t>
        </w:r>
      </w:hyperlink>
      <w:r>
        <w:rPr>
          <w:rFonts w:ascii="arial" w:eastAsia="arial" w:hAnsi="arial" w:cs="arial"/>
          <w:color w:val="000000"/>
          <w:sz w:val="20"/>
          <w:lang w:val="en-US" w:eastAsia="en-US" w:bidi="ar-SA"/>
        </w:rPr>
        <w:t>, March 6, 1978, No. C765633/76, Vancouver (B.C.S.C.).</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order result a delay of the trial of one of the actions and, if so, does any prejudice which a party may suffer as a result of that delay outweigh the potential benefits which a combined trial might otherwise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Obviously, the Sohal and Sandhu matters arise out of the same motor vehicle accident. Liability is denied and evidence with respect to causation and the circumstances of the immediate aftermath will be relevant to both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indicated, Sohal and Sandhu were in business together. Sandhu's claim for compensation and the claims advanced as a result of Sohal's death will focus on the operation of and profitability of the trucking enterprise they had established. To this extent there will be significant common issues with respect to the financial aspects of their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Examinations for discovery have not yet completed in the Sandhu matter and have not yet begun in the Sohal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With respect to the possible savings in pre-trial procedures, there is little evidence on this point but it does seem that there may be some saving in the time required for examinations for discovery by the defendants if a concurrent trial is ordered. It seems unlikely that Sohal's widow has much to offer with respect to the operation of the trucking company and document disclosure may be simplified by virtue of the disclosure which Sandhu has already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to whether there will be real reduction in the number of days required for the trial of the two matters should they be tried together, that seems likely in light of the live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to the potential for a party to be seriously inconvenienced by being required to attend a trial in which that party may have only a marginal interest, such a concern would seem to apply only to the plaintiffs in both actions and their counsel. The Sohal plaintiffs may have little interest in the evidence relating to proof of Sandhu's claim for damages with respect to his medical condition, but will likely be very interested in evidence related to proof of financial claims related to the common business. Arrangements could be made, in any event for the non-attendance of the parties or counsel for portions of the trial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 respect to the cause of the accident, it appears that there may well be a real saving in expert evidence and witness fees with respect to evidence called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most significant issue is that which arises out of the concern that an order for a concurrent trial may result in delay of the resolution of the Sandhu claim. Both Sohal's counsel and counsel for Her Majesty the Queen say that they are unavailable to deal with the trial or a concurrent trial on the November date. Sohal's counsel was not consulted with respect to this date and has numerous conflicts arising from scheduled criminal trials on the material dates. Counsel for Her Majesty the Queen indicated from the outset that he was "double booking" the Sandhu trial and might be obliged to apply for an adjournment. Sandhu says that he scheduled his matter for trial a year ago and will be significantly disadvantaged if the trial is adjourned from its November date. Medical reports indicate that he suffers from major depression, feelings of guilt, post-traumatic stress, chronic pain and other disabling symptoms. He says that he is unable to work, has sold or disposed of all of his assets and has been living on credit. By virtue of his present financial situation he is not only unable to support himself or his family, but is unable to pursue recommended therapies and treatment. For that reason, he seeks an order for an advance which I will deal with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 case of </w:t>
      </w:r>
      <w:r>
        <w:rPr>
          <w:rFonts w:ascii="arial" w:eastAsia="arial" w:hAnsi="arial" w:cs="arial"/>
          <w:i/>
          <w:color w:val="000000"/>
          <w:sz w:val="20"/>
          <w:lang w:val="en-US" w:eastAsia="en-US" w:bidi="ar-SA"/>
        </w:rPr>
        <w:t>Murray v. Morgan</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[1999] B.C.J. No. 2871</w:t>
        </w:r>
      </w:hyperlink>
      <w:r>
        <w:rPr>
          <w:rFonts w:ascii="arial" w:eastAsia="arial" w:hAnsi="arial" w:cs="arial"/>
          <w:color w:val="000000"/>
          <w:sz w:val="20"/>
          <w:lang w:val="en-US" w:eastAsia="en-US" w:bidi="ar-SA"/>
        </w:rPr>
        <w:t xml:space="preserve">, Master McCallum paraphrased Master Kirkpatrick's analysis in </w:t>
      </w:r>
      <w:r>
        <w:rPr>
          <w:rFonts w:ascii="arial" w:eastAsia="arial" w:hAnsi="arial" w:cs="arial"/>
          <w:i/>
          <w:color w:val="000000"/>
          <w:sz w:val="20"/>
          <w:lang w:val="en-US" w:eastAsia="en-US" w:bidi="ar-SA"/>
        </w:rPr>
        <w:t>Merritt</w:t>
      </w:r>
      <w:r>
        <w:rPr>
          <w:rFonts w:ascii="arial" w:eastAsia="arial" w:hAnsi="arial" w:cs="arial"/>
          <w:color w:val="000000"/>
          <w:sz w:val="20"/>
          <w:lang w:val="en-US" w:eastAsia="en-US" w:bidi="ar-SA"/>
        </w:rPr>
        <w:t xml:space="preserve"> as "will the order make sense in the circumstances". I am satisfied that it would and because of issues relating to liability and the common business enterprise, I am also satisfied that the matters are "so interwoven as to make separate trials at different times before different judges undesirable and fraught with problems and economic expense". The order will go. The matters will be tried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Adjournment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am also satisfied that the concurrent trial should be adjourned from the presently scheduled date. Sohal is entitled to his counsel of choice and it appears that the contingency anticipated by counsel for Her Majesty the Queen has arisen. Although adjournment may represent a significant hardship for Sandhu, I am satisfied that the potential prejudice to Sohal and Her Majesty overrides the potential prejudice to him. The trial is adjourned generally to be rescheduled at date convenient to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Sandhu's Application for an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Although this Court, and indeed a Master has jurisdiction to order an advance payment as a term of adjournment, such an order should only be made in special circumstances and only where the court is completely satisfied that there is no possibility that the judgment will be less than the amount advanced: </w:t>
      </w:r>
      <w:r>
        <w:rPr>
          <w:rFonts w:ascii="arial" w:eastAsia="arial" w:hAnsi="arial" w:cs="arial"/>
          <w:i/>
          <w:color w:val="000000"/>
          <w:sz w:val="20"/>
          <w:lang w:val="en-US" w:eastAsia="en-US" w:bidi="ar-SA"/>
        </w:rPr>
        <w:t>Serban v. Casselman</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[1995] B.C.J. No. 254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court should not exercise its discretion to order an advance payment where liability is in dispute. Such an order requires a determination of the issues that are the very subject matter of the action: </w:t>
      </w:r>
      <w:r>
        <w:rPr>
          <w:rFonts w:ascii="arial" w:eastAsia="arial" w:hAnsi="arial" w:cs="arial"/>
          <w:i/>
          <w:color w:val="000000"/>
          <w:sz w:val="20"/>
          <w:lang w:val="en-US" w:eastAsia="en-US" w:bidi="ar-SA"/>
        </w:rPr>
        <w:t>Andruschak v. Helina</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[1993] B.C.J. No. 2678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Liability is very much in dispute in both of these actions. Although the tragedy resulted from what was essentially a head-on collision in the plaintiffs' lane, a number of experts will be called to give evidence with regard to the question of liability. The defendants take the position that they are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 accident in question was either the result of an inevitable accident, caused by road conditions, or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third parties. Although I have no doubt that the adjournment of his trial will have significant financial consequences for Sandhu, I am unable to concede to his request for an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Sohal's application for an order that the concurrent trial be held in New Westminster is not supported by evidence and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recommend that a case management judge or master be appointed at the earliest possible date. The application for severance of the issues of liability and quantum is adjourned for consideration in that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Costs of these applications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P. KEIGHLEY</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1"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Strata Plan LMS 3851 v. Homer Street Developments Limited Partnership, [2008] B.C.J. No. 2207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J.D. 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S76792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2207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1564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 3851, Chong Ping Wong and others, Plaintiffs, and Homer Street Developments Limited Partnership, (formerly Cressey (Homer) Limited Partnership) and others, Defendants, and O'Neill Hotels &amp; Resorts Ltd. and others,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2"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3" w:name="Keywords_14"/>
      <w:bookmarkEnd w:id="103"/>
      <w:r>
        <w:rPr>
          <w:rFonts w:ascii="arial" w:eastAsia="arial" w:hAnsi="arial" w:cs="arial"/>
          <w:b/>
          <w:color w:val="000000"/>
          <w:sz w:val="20"/>
          <w:lang w:val="en-US" w:eastAsia="en-US" w:bidi="ar-SA"/>
        </w:rPr>
        <w:t>Civil litigation — Civil procedure — Pre-trial procedures — Preliminary determinations — Application by the defendants allowed — The plaintiff investors sued the defendants for, among other things, negligent misrepresentation in a disclosure statement — A pre-trial determination decided the issues of duty of care and breach thereof in favour of the plaintiffs — The defendants now applied for judgment on the issue — The court found that it was appropriate to enter judgment on the first stage determination to allow the defendants to proceed to appeal — Any delay ultimately benefited the plaintiffs — British Columbia Supreme Court Rules, Rule 39(29).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Trials — Application by the defendants allowed — The plaintiff investors sued the defendants for, among other things, negligent misrepresentation in a disclosure statement — A pre-trial determination decided the issues of duty of care and breach thereof in favour of the plaintiffs — The defendants now applied for judgment on the issue — The court found that it was appropriate to enter judgment on the first stage determination to allow the defendants to proceed to appeal — Any delay ultimately benefited the plaintiffs — British Columbia Supreme Court Rules, Rule 39(29).</w:t>
      </w:r>
    </w:p>
    <w:p>
      <w:pPr>
        <w:jc w:val="both"/>
        <w:rPr>
          <w:rFonts w:ascii="arial" w:eastAsia="arial" w:hAnsi="arial" w:cs="arial"/>
          <w:sz w:val="20"/>
          <w:lang w:val="en-US" w:eastAsia="en-US" w:bidi="ar-SA"/>
        </w:rPr>
      </w:pPr>
      <w:bookmarkStart w:id="104" w:name="Legislation Cited_12"/>
      <w:bookmarkEnd w:id="1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3"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39(29)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Real Estate Act, RSBC 1996, CHAPTER 397, s. 59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5" w:name="Counsel_14"/>
      <w:bookmarkEnd w:id="10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4"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B.W. Dixon, S.T.C. Warnett.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Homer Street Development Ltd.: D.C. Harbottle, G. Corson.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O'Neill Hotels &amp; Resorts Ltd. and OHR Brand Management and the Third Parties: D.G.S. Rae, Q.C., A.D. Borrell.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MM&amp;R Valuation Services, Inc. DBA HVS Hospitality Valuation Services Canada: G.M. Nijman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6" w:name="Judgment_14"/>
      <w:bookmarkEnd w:id="106"/>
      <w:r>
        <w:pict>
          <v:line id="_x0000_s1105" style="position:absolute;z-index:2518272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7" w:name="J.D. TRUSCOTT J."/>
            <w:bookmarkEnd w:id="107"/>
            <w:r>
              <w:rPr>
                <w:rFonts w:ascii="arial" w:eastAsia="arial" w:hAnsi="arial" w:cs="arial"/>
                <w:b/>
                <w:color w:val="000000"/>
                <w:sz w:val="30"/>
                <w:lang w:val="en-US" w:eastAsia="en-US" w:bidi="ar-SA"/>
              </w:rPr>
              <w:t>J.D. 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apply for an order that I pronounce judgment on the determinations that I made in my reasons for judgment of August 26, 2008, pursuant to Rule 39(29)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Rule 39(29)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order that one or more questions of fact or law arising in an action be tried and determined before the others, and upon the determination a party may move for judgment, and the court, if satisfied that the determination is conclusive of all or some of the issues between the parties, may grant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a pre-trial ruling I ordered that the issues of duties of care and breaches of duty of care of the defendants to the investors through the alleged misrepresentations in the disclosure statement and its amendments, and through the hotel management agreement delivered to the investors for execution in April 1999, as well as the duty of any defendant to disclose to the investors updated financial information before the opening of the hotel, would all be tried and determined before any 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Remaining matters include the issue of reliance by any investor on any misrepresentation in the disclosure statement or in the hotel management agreement and any loss or damage sustained by any investor who did 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Other remaining issues include the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in the construction and operation of the hotel after it 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allowing limited issues to go ahead in the first stage of trial I stated that if the investors were successful at the first stage in proving a negligent misrepresentation by any defendant, then a second stage dealing with any more than the issue of reliance and damages might not be necessary as the investors are claiming they would not have contracted for their purchases in the first place if the negligent misrepresentations had not been made. In addition, of course, chances of settlement after determination of liability are always more likely than before any liability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Alternatively, I said that if the investors were unsuccessful in the first stage in proving a negligent misrepresentation, then the issues of reliance and damages would be irrelevant and any second stage trial would then be confined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in the construction and operation of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time of my ruling the question of the rights of any party to appeal the determinations made in the first stage before proceeding to any second stage were not raised before me and were not considered by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Presently the defendants seek that right by their application asking for a pronouncement of judgment on the determinations made in the first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Of course, the ultimate decision on whether any appeal or leave to appeal these determinations will be allowed to proceed in the Court of Appeal must rest with the Court of Appeal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Led by the submissions of OHR and OHR Grand the defendants submit that my initial reasons for severing the issues remain valid reasons for allowing the entry of judgment on the first stage determinations in order to allow the parties to proceed to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also point out that which defendants may be involved in a second stage trial and how the issues of reliance and damages are treated may well depend upon the result of the appeals in the Court of Appeal. Even if the Court of Appeal only varies some of the determinations, those variations may have significant consequences for the second stage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developers submit that because of my determination of their liability under s. 59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which deems reliance by the wording of the statute itself, they are in an even stronger position than their co-defendants to proceed to appeal now as of right on that determination of statutory liability, and it would not make any sense for a second stage to proceed to determine its additional liability at common law, at the same time as their statutory liability is under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do not really take issue with the merits of the defendants' submissions but submit that there are further common issues in respect of the misrepresentation claims that may conveniently be dealt with at a second stage now before judgment is entered and any appeal taken from the first stage determinations.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particular, the plaintiffs submit that one common issue might be the issue of inferred reliance available to all plaintiffs which could be conveniently determined before any appeal from the first stage, leaving it to the defendants to rebut any inferred reliance for any particular plaintiff at a second stage trial. The plaintiffs also suggest that a common issue might be the proper measure of compensation under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and at common law for misrepresentations found to have been made. The plaintiffs do not have any actual motion before me but simply offer these suggestions for further common issues to be determined before any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also submit that serial appeals should be avoided where possible and an appeal now will further delay the plaintiffs who entered into their contracts twelve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am satisfied that a judgment on the first stage determination should be entered at this time to allow the defendants to proceed to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It appears from the decision of </w:t>
      </w:r>
      <w:r>
        <w:rPr>
          <w:rFonts w:ascii="arial" w:eastAsia="arial" w:hAnsi="arial" w:cs="arial"/>
          <w:b/>
          <w:i/>
          <w:color w:val="000000"/>
          <w:sz w:val="20"/>
          <w:lang w:val="en-US" w:eastAsia="en-US" w:bidi="ar-SA"/>
        </w:rPr>
        <w:t>Hayes Forest Services Ltd. v. Weyerhauser Co. Ltd.,</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2008 BCCA 120</w:t>
        </w:r>
      </w:hyperlink>
      <w:r>
        <w:rPr>
          <w:rFonts w:ascii="arial" w:eastAsia="arial" w:hAnsi="arial" w:cs="arial"/>
          <w:color w:val="000000"/>
          <w:sz w:val="20"/>
          <w:lang w:val="en-US" w:eastAsia="en-US" w:bidi="ar-SA"/>
        </w:rPr>
        <w:t xml:space="preserve">, on application of </w:t>
      </w:r>
      <w:r>
        <w:rPr>
          <w:rFonts w:ascii="arial" w:eastAsia="arial" w:hAnsi="arial" w:cs="arial"/>
          <w:b/>
          <w:i/>
          <w:color w:val="000000"/>
          <w:sz w:val="20"/>
          <w:lang w:val="en-US" w:eastAsia="en-US" w:bidi="ar-SA"/>
        </w:rPr>
        <w:t>Radke v. S.(M.) (Guardian ad litem of)</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2006 BCCA 12</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49 B.C.L.R. (4th) 82</w:t>
        </w:r>
      </w:hyperlink>
      <w:r>
        <w:rPr>
          <w:rFonts w:ascii="arial" w:eastAsia="arial" w:hAnsi="arial" w:cs="arial"/>
          <w:color w:val="000000"/>
          <w:sz w:val="20"/>
          <w:lang w:val="en-US" w:eastAsia="en-US" w:bidi="ar-SA"/>
        </w:rPr>
        <w:t>, that a judgment given on a split trial which decides an issue or issues, but not all issues, will be treated as a final order for which leave to appeal is not required. However I accept that the Court of Appeal will probably require an order to be entered in this court before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do not believe there will be any extensive delay in concluding an appeal of the 1st stage issues because transcripts of the trial evidence on the first stage are already in existence to enable an appeal from the first stage to go ahead in an expedited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Even though there will be some delay, I believe it will benefit the plaintiffs to know if the first stage determinations are upheld or to what extent so that their further involvement in issues of reliance and damages do not become a waste of their time and energies, in whole or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These units in the hotel were investment units for the plaintiffs and were not purchases of principal residences and accordingly any losses are in all likelihood to be measured in loss of investment monies and not in irreparable damage that by their nature should be dealt with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form of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plaintiffs submit that the form of judgment should recite only the decisions ultimately arrived at and not include any reasons for those decisions. In their proposal, for instance, the liability determined of the developers under s. 59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would not specifically mention s. 59 and would not indicate specifically the statements in the disclosure statement found to have been material false statements. Instead the order would simply state that the developers are liable pursuant to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to make compensation to the plaintiffs for any loss or damage those persons may have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Another example offered by the plaintiffs is that the determination of negligent misrepresentation of HVS by its opinion letter of November 8, 1996 would not reference the opinion letter at all but simply say that HVS is liable to the investors for damages for negligent misrepresentation, subject to proof of reliance and loss by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seems to me that as Rule 39(29) authorizes the granting of judgment on one or more issues, that the particular issue should be clearly and fully identified in the judgment itself. Accordingly I generally accede to the form of judgment proposed by the defendants to the extent submitted to me, with slight modifications.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judgment I will sign will include the following as part of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AND DECLARES that: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Homer Street Development Limited Partnership (formerly Cressey (Homer) Limited Partnership), Trilogy Robson Development Limited Partnership and 455322 British Columbia Ltd., carrying on business as The Grand Development Partnership, Cressey Development Corporation and 511953 British Columbia Ltd., formerly Trilogy Pacific Enterprises Corporation (the "Developers") and Norman Cressey, Joan Cressey, Scott Cressey, John deC. Evans, Jonathon Wener and Douglas Pascal (the "Directors") are liable to make compensation to the Plaintiffs (other than The Owners, Strata Plan LMS 3851) pursuant to S. 59 of the Real Estate Act, 1976 R.S.B.C. c. 356, as a result of the material false statement in Note 2(a) of the Notes to Financial Projection in Exhibit M to the Disclosure Statement dated November 8, 1996, that the hotel occupancy rates in the chart are equal to the expected average occupancy rates for downtown Vancouver hotels of similar quality except for 1999 and 2000 which are 92.5% and 97.5% of the average, respectively, recognizing the start-up nature of the operation;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Developers and their Directors are liable to make compensation to the Investors pursuant to s. 59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as a result of the material false statement in s. 6.7 of the Disclosure Statement incorrectly attributing the words "tourism is the number one growth industry in Vancouver" to MM&amp;R Valuation Services, Inc. doing business as HVS Hospitality Valuation Services, Canada ("HVS");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HVS owed the Plaintiffs a duty of care in preparing its opinions and the standard of care was that of reasonable care and skill of a hotel valuator.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projected occupancy rates for the Westin Grand Hotel for the period 1999-2003 were unreasonable, and outside any range of reasonableness and were negligently formulated by HVS;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HVS was negligent in giving its opinion of November 8, 1996 that the annual operating projections were reasonable and achievable because of the negligently overstated occupancy projections;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wording of s. 1.4 of the Disclosure Statement and the Auditors' Report at Exhibit "M" to the Disclosure Statement, the Developers and the Defendant O'Neill Hotels &amp; Resorts Ltd. ("OHR") represented that the financial projections and hypotheses and assumptions set out in Exhibit "A" and "B" to the Auditors' Report, including the Notes at Exhibit "C", were objectively reasonable, and that representation of objective reasonableness was a negligent misrepresentation when the assumed occupancy rates set out at Note 2(a) to Exhibit C were not objectively reasonable;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budget for 1999 accepted by the Developers and the Directors on December 4, 1998 was a proposal within the meaning of s. 56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and the Developers and Directors were required to disclose the budget at that time through an amendment to the Disclosure Statement. An original purchaser after December 4, 1998 would be entitled to have the budget disclosed to them before purchasing. The Developers and the Directors made a false declaration in the Second Amendment in that the budget for 1999 should have been disclosed in the Second Amendment;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delivery of Schedule D with the Hotel Management Agreement to the Investors for execution in 1999 constituted a representation by the Developers and the Defendant OHR Grand Management Ltd. ("OHR Grand") that the first year Operating Plan and Budget remained the same as had been set out originally in Schedule D in 1996;</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OHR is responsible at law for any liability of OHR Grand;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Mr. Justice Truscott will be the trial judge for the remaining issues for trial in this action;</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the evidence previously given at trial in this action will be evidence in the trial of the remaining issues;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all matters relating to costs of this action will be determined at the conclusion of the trial of the remaining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am unable to complete the form of judgment that I am prepared to sign as counsel for the developers wishes an opportunity to consider whether there should be additional provisions put in the judgment identifying issues that I decided against the plaintiffs in my reasons for judgment. I must therefore await Mr. Harbottle's proposals, hoping that the parties can agree on any additions, while noting that any further delay in entry of the judgment may further delay any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J.D. TRUSCOTT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6"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4" w:history="1">
        <w:r>
          <w:rPr>
            <w:rFonts w:ascii="arial" w:eastAsia="arial" w:hAnsi="arial" w:cs="arial"/>
            <w:b/>
            <w:bCs/>
            <w:i/>
            <w:color w:val="0077CC"/>
            <w:kern w:val="32"/>
            <w:sz w:val="28"/>
            <w:szCs w:val="32"/>
            <w:u w:val="single"/>
            <w:shd w:val="clear" w:color="auto" w:fill="FFFFFF"/>
            <w:lang w:val="en-US" w:eastAsia="en-US" w:bidi="ar-SA"/>
          </w:rPr>
          <w:t>Strohmaier v. British Columbia (Attorney General), [2018] B.C.J. No. 3239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30 and 31,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S127416, S170746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3239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1613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38 C.P.C. (8th) 199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2505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Stacie Vanessa Strohmaier and Dawn Sam, Plaintiffs, and Her Majesty the Queen in Right of the Province of British Columbia, as represented by the Attorney General, and Public Guardian and Trustee of British Columbia, Defendants And between K.S., Plaintiff, and Her Majesty the Queen in Right of the Province of British Columbia (Ministry of Children and Family Development), Her Majesty the Queen in Right of the Province of British Columbia (Ministry of Justice), Public Guardian and Trustee and Workers' Compensation Board,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7"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8" w:name="Keywords_15"/>
      <w:bookmarkEnd w:id="108"/>
      <w:r>
        <w:rPr>
          <w:rFonts w:ascii="arial" w:eastAsia="arial" w:hAnsi="arial" w:cs="arial"/>
          <w:b/>
          <w:color w:val="000000"/>
          <w:sz w:val="20"/>
          <w:lang w:val="en-US" w:eastAsia="en-US" w:bidi="ar-SA"/>
        </w:rPr>
        <w:t>Civil litigation — Civil procedure — Parties — Class or representative actions — Class counsel — Procedure — Stay of action due to parallel proceeding — Representative plaintiff — Carriage motion with respect to two proposed class proceedings — Counsel in KS action was granted carriage and S action was stayed — Both proposed actions were against government agencies for alleged failure to pursue compensation on behalf of minors injured while in care of province — KS's counsel was well-established and experienced with similar claims — While S's counsel had more class proceedings experience, courts raised concerns with its conduct in various proceedings with respect to its ability to follow court processes and fidelity to clients — Concerns were compounded by delays in S action and quality of materials filed.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9" w:name="Case Summary_12"/>
            <w:bookmarkEnd w:id="10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Carriage motion with respect to the two proposed class proceedings. Both actions claimed damages against various government agencies for their failure to pursue compensation on behalf of minors injured by criminal or tortious conduct while in the care and custody of the province. The S action was filed first. Its claims against the Public Guardian and Trustee were struck as not properly pleaded. S then filed an amended statement of claim, but it did not plead the basis for duty of care, applicable standard of care or particulars. No further steps were taken to move towards certification. The KS action was filed later and alleged the PGT breached its duty to act in the children's best interests and the Workers' Compensation Board ought to have exercised its powers under the criminal injury compensation legislation. S then filed a further amended notice of civil claim and an application seeking certification.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0" w:name="Holdings of Court_10"/>
            <w:bookmarkEnd w:id="110"/>
            <w:r>
              <w:rPr>
                <w:rFonts w:ascii="arial" w:eastAsia="arial" w:hAnsi="arial" w:cs="arial"/>
                <w:color w:val="000000"/>
                <w:sz w:val="20"/>
                <w:lang w:val="en-US" w:eastAsia="en-US" w:bidi="ar-SA"/>
              </w:rPr>
              <w:t>HELD: Carriage was granted to counsel in the KS action and the S action was stayed.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tended to favour KS as the representative plaintiff because there was evidence of greater involvement in the litigation than the representative plaintiffs in the S action. The S action had been ongoing for a longer period of time, but had not been pursued with any urgency and most steps taken were reactionary in nature. Both parties had now filed certification records, but S's were largely pro forma. The case theories in the actions were quite similar and at this early stage, both appeared adequate to provide class members with access to justice. There was no doubt S's counsel had more experience in class proceedings, but KS's counsel was well-established and experienced with similar claims. In several prior proceedings, the courts had raised concerns with S's counsel's conduct, particularly its willingness to follow court processes and its fidelity to clients. There were grave concerns with S's counsel's ability to act in the best interests of the proposed class, which was likely to be comprised of vulnerable individuals. The concerns were compounded by the manner in which the S action had been conducted to date. There had been considerable delay and concerns with the quality of materials filed.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1" w:name="Legislation Cited_13"/>
      <w:bookmarkEnd w:id="1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8"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27" w:history="1">
        <w:r>
          <w:rPr>
            <w:rFonts w:ascii="arial" w:eastAsia="arial" w:hAnsi="arial" w:cs="arial"/>
            <w:i/>
            <w:color w:val="0077CC"/>
            <w:sz w:val="20"/>
            <w:u w:val="single"/>
            <w:shd w:val="clear" w:color="auto" w:fill="FFFFFF"/>
            <w:lang w:val="en-US" w:eastAsia="en-US" w:bidi="ar-SA"/>
          </w:rPr>
          <w:t>R.S.B.C. 1996, c. 50, s. 4</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of Appeal Rules, </w:t>
      </w:r>
      <w:r>
        <w:rPr>
          <w:rFonts w:ascii="arial" w:eastAsia="arial" w:hAnsi="arial" w:cs="arial"/>
          <w:i/>
          <w:color w:val="000000"/>
          <w:sz w:val="20"/>
          <w:lang w:val="en-US" w:eastAsia="en-US" w:bidi="ar-SA"/>
        </w:rPr>
        <w:t>B.C. Reg. 297/2001</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2" w:name="Counsel_15"/>
      <w:bookmarkEnd w:id="11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9"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Stacie V. Strohmaier and Dawn Sam: E.F.A. Merchant, QC, S.J. Roxborough, I.S. Brar.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K.S.: S. Sweeney, P.W. Dudding.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R.V.A. Doerksen.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Public Guardian and Trustee of British Columbia: L. Brasil, S.M. Precious.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Workers' Compensation Board: N.J. Kovak.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3" w:name="Judgment_15"/>
      <w:bookmarkEnd w:id="113"/>
      <w:r>
        <w:pict>
          <v:line id="_x0000_s1110"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on Carriage</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4" w:name="R.A. SKOLROOD J."/>
            <w:bookmarkEnd w:id="114"/>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Two proposed class proceedings have been commenced advancing similar claims for damages against various government agencies for allegedly failing to pursue compensation on behalf of minors injured, either by way of criminal or tortious conduct, while in the care or custody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application was brought to determine which of the two actions should be permitted to proceed. This question, of necessity, also involves a determination of which counsel will have carriage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two proceedings in issue are:</w:t>
      </w:r>
      <w:r>
        <w:rPr>
          <w:rFonts w:ascii="arial" w:eastAsia="arial" w:hAnsi="arial" w:cs="arial"/>
          <w:sz w:val="20"/>
          <w:lang w:val="en-US" w:eastAsia="en-US" w:bidi="ar-SA"/>
        </w:rPr>
        <w:cr/>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Stacie Vanessa Strohmaier and Dawn Sam v. Her Majesty the Queen in Right of the Province of British Columbia, as represented by the Attorney General, and Public Guardian and Trustee of British Columbia</w:t>
      </w:r>
      <w:r>
        <w:rPr>
          <w:rFonts w:ascii="arial" w:eastAsia="arial" w:hAnsi="arial" w:cs="arial"/>
          <w:color w:val="000000"/>
          <w:sz w:val="20"/>
          <w:lang w:val="en-US" w:eastAsia="en-US" w:bidi="ar-SA"/>
        </w:rPr>
        <w:t>, Vancouver Registry No. S127416 (the "Strohmaier Action");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K.S. v. Her Majesty the Queen in Right of the Province of British Columbia (Ministry of Children and Family Development), Her Majesty the Queen in Right of the Province of British Columbia (Ministry of Justice), Public Guardian and Trustee and Workers' Compensation Board</w:t>
      </w:r>
      <w:r>
        <w:rPr>
          <w:rFonts w:ascii="arial" w:eastAsia="arial" w:hAnsi="arial" w:cs="arial"/>
          <w:color w:val="000000"/>
          <w:sz w:val="20"/>
          <w:lang w:val="en-US" w:eastAsia="en-US" w:bidi="ar-SA"/>
        </w:rPr>
        <w:t>, Victoria Registry No. S170749 (the "K.S.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in the Strohmaier Action are represented by Merchant Law Group LLP ("MLG"). Where it is necessary to refer to the named plaintiffs, I will identify them by their initials V.S. and D.S. The plaintiff in the K.S. Action is represented by Acheson Sweeney Foley Sahota LLP ("ASFS"). I will refer to the plaintiff as K.S. There is also a second proposed representative plaintiff, not currently named in the style of cause, who I will refer to as M.C.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Procedural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following procedural history is taken largely from the written submission of the Attorney General on behalf of Her Majesty the Queen in Right of the Province of British Columbia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On October 23, 2012, the plaintiffs in the Strohmaier Action filed their notice of civil claim. They seek certification of the action pursuant to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Strohmaier Action originally alleged that the Public Guardian and Trustee of British Columbia (the "PGT") and the Province owed the plaintiffs and the class a statutory, fiduciary and common law duty of care. As noted above, the essence of the claim was that the Province and the PGT failed to seek compensation on behalf of the plaintiffs and the class for the injuries they suffered while in care, either by initiating civil actions or by claims under criminal injury compensation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May 30, 2014, the PGT requested that a judicial case management judge be assigned to the case and on June 10, 2014, I was appointed.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September 17, 2014, the PGT advised that it wished to bring an application to strike the claims in the Strohmaier Action against the PGT before any certification motion took place. On September 29, 2014, a sequencing hearing was 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October 14, 2014, counsel in the Strohmaier Action delivered an unfiled application to certify the proceeding as a class proceeding and an unfiled amended notice of civil claim. The certification application was subsequently filed on October 28, 2014, and the amended notice of civil claim was filed on November 12,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October 15, 2014, I ordered that the PGT could proceed with its application to strike the claim prior to certification. The PGT then filed its notice of application on October 21,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application to strike was heard on February 11, 2015. On July 11, 2015, I issued Reasons for Judgment (</w:t>
      </w:r>
      <w:r>
        <w:rPr>
          <w:rFonts w:ascii="arial" w:eastAsia="arial" w:hAnsi="arial" w:cs="arial"/>
          <w:i/>
          <w:color w:val="000000"/>
          <w:sz w:val="20"/>
          <w:lang w:val="en-US" w:eastAsia="en-US" w:bidi="ar-SA"/>
        </w:rPr>
        <w:t>Strohmaier v. British Columbia (Attorney General)</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2015 BCSC 1189</w:t>
        </w:r>
      </w:hyperlink>
      <w:r>
        <w:rPr>
          <w:rFonts w:ascii="arial" w:eastAsia="arial" w:hAnsi="arial" w:cs="arial"/>
          <w:color w:val="000000"/>
          <w:sz w:val="20"/>
          <w:lang w:val="en-US" w:eastAsia="en-US" w:bidi="ar-SA"/>
        </w:rPr>
        <w:t xml:space="preserve">) in which I struck the claims against the PGT for breach of statutory duty, bad faith and misfeasance in public office as they were bound to fail ("Strohmaier #1"). I found that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were not bound to fail but were not properly pleaded. I therefore ordered that the plaintiffs in the Strohmaier Action had 60 days to file a further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respect to the existing amended notice of civil claim, I stated at paras. 83-86: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Here, as noted, the plaintiffs plead generally that the defendants owed them "statutory, fiduciary and common law" duties but they do not specifically plead the basis on which the alleged duty of care is said to arise. Nor do the plaintiffs plead the applicable standard of care, apart from the bald assertion that the PGT had a duty to seek compensation on their behalf. Although the plaintiffs have alleged that the PGT was required to consider the best interests of young persons in care and institute and follow procedures, those procedures are not defined and it is impossible to determine from the pleadings what if any standard of care is said to apply.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[84] These flaws result from the confusion in the current pleadings about the proper focus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Since the amended notice of civil claim focuses on the duty to seek compensation, the plaintiffs have failed to plead particulars regarding a duty of care or standard of care that relate to the alleged duty to consider and implement and follow procedures. As a consequence, the pleadings are vague and imprecise, and must be significantly recast in order to comply with the rules of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The Court of Appeal summarized the essential objective of proper pleadings in </w:t>
      </w:r>
      <w:r>
        <w:rPr>
          <w:rFonts w:ascii="arial" w:eastAsia="arial" w:hAnsi="arial" w:cs="arial"/>
          <w:i/>
          <w:color w:val="000000"/>
          <w:sz w:val="20"/>
          <w:lang w:val="en-US" w:eastAsia="en-US" w:bidi="ar-SA"/>
        </w:rPr>
        <w:t>Canadian Bar Assn. v. British Columbia</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2008 BCCA 92</w:t>
        </w:r>
      </w:hyperlink>
      <w:r>
        <w:rPr>
          <w:rFonts w:ascii="arial" w:eastAsia="arial" w:hAnsi="arial" w:cs="arial"/>
          <w:color w:val="000000"/>
          <w:sz w:val="20"/>
          <w:lang w:val="en-US" w:eastAsia="en-US" w:bidi="ar-SA"/>
        </w:rPr>
        <w:t xml:space="preserve"> where Madam Justice Saunders said as follows at para. 60: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history of pleadings is well described by Parrett J. in </w:t>
      </w:r>
      <w:r>
        <w:rPr>
          <w:rFonts w:ascii="arial" w:eastAsia="arial" w:hAnsi="arial" w:cs="arial"/>
          <w:i/>
          <w:color w:val="000000"/>
          <w:sz w:val="20"/>
          <w:lang w:val="en-US" w:eastAsia="en-US" w:bidi="ar-SA"/>
        </w:rPr>
        <w:t>Keene v. British Columbia (Ministry of Children and Family Development)</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2003 BCSC 1544</w:t>
        </w:r>
      </w:hyperlink>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 B.C.L.R. (4th) 170</w:t>
        </w:r>
      </w:hyperlink>
      <w:r>
        <w:rPr>
          <w:rFonts w:ascii="arial" w:eastAsia="arial" w:hAnsi="arial" w:cs="arial"/>
          <w:color w:val="000000"/>
          <w:sz w:val="20"/>
          <w:lang w:val="en-US" w:eastAsia="en-US" w:bidi="ar-SA"/>
        </w:rPr>
        <w:t xml:space="preserve">. The rules on pleading are not overly technical. Pleadings prevent expansion of the issues, give notice of the case required to be met, and provide certainty of the issues for purposes of appeal. Complexity and confusion that can be created by a moving target is avoided by pleadings correctly drawn, as are subsequent quarrels in this Court as to the issues before the trial court. Pleadings are an elegant solution to issue definition and notice and are well-serving of the ultimate purpose of efficient resolution of a dispute on its merits (Rule 1(5)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Ideally, they avoid the "loose thinking" decried by Lord Denning in his foreward to I.H. Jacob, </w:t>
      </w:r>
      <w:r>
        <w:rPr>
          <w:rFonts w:ascii="arial" w:eastAsia="arial" w:hAnsi="arial" w:cs="arial"/>
          <w:i/>
          <w:color w:val="000000"/>
          <w:sz w:val="20"/>
          <w:lang w:val="en-US" w:eastAsia="en-US" w:bidi="ar-SA"/>
        </w:rPr>
        <w:t>Bullen and Leake and Jacob's Precedents of Pleadings</w:t>
      </w:r>
      <w:r>
        <w:rPr>
          <w:rFonts w:ascii="arial" w:eastAsia="arial" w:hAnsi="arial" w:cs="arial"/>
          <w:color w:val="000000"/>
          <w:sz w:val="20"/>
          <w:lang w:val="en-US" w:eastAsia="en-US" w:bidi="ar-SA"/>
        </w:rPr>
        <w:t>, 12th ed. (London: Sweet &amp; Maxwell, 1975).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 The amended notice of civil claim fails to meet the objectives identified by Madam Justice Saunders. Rather than providing clarity and certainty of the issues, it creates complexity and confusion and effectively leaves the defendants to guess at the case they are called upon to meet. In short, it falls well below an acceptable standard of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September 8, 2015, counsel in the Strohmaier Action filed a further amended notice of civil claim. No steps were taken at that time to move the matter towards a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February 27, 2017, the notice of civil claim was filed in the K.S. Action, which advances claims against the Province for failing to pursue compensation for children injured while in care. The K.S. Action also alleges that the PGT breached its duty to act in the best interests of children in care and that the Workers' Compensation Board (the "WCB") ought to have exercised its powers under criminal injury compensation legislation to afford benefits and compensation to children in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Counsel in the Strohmaier Action, having become aware of the K.S. Action, requested a judicial management conference for the purpose of establishing a schedule for the certification application in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judicial management conference was held on May 8, 2017. Counsel for the parties in the K.S. Action also appeared. At the conference, counsel for Strohmaier submitted that the court should set a schedule for certification in that proceeding whereas counsel for the other parties took the position that the issue of carriage had to be addressed first, given the existence of the two overlapping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May 11, 2017, counsel in the Strohmaier Action filed a further amended notice of civil claim and on May 12, 2017, an amended notice of application seeking certification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Also on May 12, 2017, counsel for the WCB expressed its intention to apply to strike the claims against it in the K.S. Action and submitted that this application should be heard before a carriage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May 31, 2017, I was appointed as the case management judge in the K.S.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June 6, 2017, I directed counsel in both actions to make arrangements for a joint management conference to deal with sequencing issues, including whether a carriage motion should be heard in advance of a certification application in the Strohmaier Action as well as the WCB's proposed application to strike. The management conference was scheduled for October 19,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October 11, 2017, counsel in the K.S. Action filed a carriage application, a certification application, supporting affidavits and a litigation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November 16, 2017, I issued Reasons for Judgment (</w:t>
      </w:r>
      <w:r>
        <w:rPr>
          <w:rFonts w:ascii="arial" w:eastAsia="arial" w:hAnsi="arial" w:cs="arial"/>
          <w:i/>
          <w:color w:val="000000"/>
          <w:sz w:val="20"/>
          <w:lang w:val="en-US" w:eastAsia="en-US" w:bidi="ar-SA"/>
        </w:rPr>
        <w:t>Strohmaier v British Columbia (Attorney General)</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2017 BCSC 2079</w:t>
        </w:r>
      </w:hyperlink>
      <w:r>
        <w:rPr>
          <w:rFonts w:ascii="arial" w:eastAsia="arial" w:hAnsi="arial" w:cs="arial"/>
          <w:color w:val="000000"/>
          <w:sz w:val="20"/>
          <w:lang w:val="en-US" w:eastAsia="en-US" w:bidi="ar-SA"/>
        </w:rPr>
        <w:t>) in which I held that the matter of carriage should be determined before any certification application and before the WCB's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carriage motion was heard on May 30 and 31,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does not deal expressly with carriage disputes but the courts have addressed the issue on numerous occasions and have established a number of factors that will guide the analysis. The overriding criteria are the best interests of the class members and fairness to the defendants, having regard to the prime objectives of class proceedings legislation, which are access to justice for plaintiffs, class members, and defendants, behaviour modification, and judicial economy: see </w:t>
      </w:r>
      <w:r>
        <w:rPr>
          <w:rFonts w:ascii="arial" w:eastAsia="arial" w:hAnsi="arial" w:cs="arial"/>
          <w:i/>
          <w:color w:val="000000"/>
          <w:sz w:val="20"/>
          <w:lang w:val="en-US" w:eastAsia="en-US" w:bidi="ar-SA"/>
        </w:rPr>
        <w:t>Kowalyshyn v. Valeant Pharmaceuticals International Inc.</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2016 ONSC 3819</w:t>
        </w:r>
      </w:hyperlink>
      <w:r>
        <w:rPr>
          <w:rFonts w:ascii="arial" w:eastAsia="arial" w:hAnsi="arial" w:cs="arial"/>
          <w:color w:val="000000"/>
          <w:sz w:val="20"/>
          <w:lang w:val="en-US" w:eastAsia="en-US" w:bidi="ar-SA"/>
        </w:rPr>
        <w:t xml:space="preserve"> at para. 138 [</w:t>
      </w:r>
      <w:r>
        <w:rPr>
          <w:rFonts w:ascii="arial" w:eastAsia="arial" w:hAnsi="arial" w:cs="arial"/>
          <w:i/>
          <w:color w:val="000000"/>
          <w:sz w:val="20"/>
          <w:lang w:val="en-US" w:eastAsia="en-US" w:bidi="ar-SA"/>
        </w:rPr>
        <w:t>Kowalyshyn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Beyond those key criteria, the courts have considered a number of specific factors, including:</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quality of the proposed representative plaintiffs;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Funding;</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Fee and consortium agreements;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quality of proposed class counsel;</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Disqualifying conflicts of interest;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Preparation and readiness of the action;</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Relative priority of commencement of the action;</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Preparation and performance on the carriage motion;</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Case theory;</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Scope of causes of action;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Selection of defendants;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Correlation of plaintiffs and defendants;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definition;</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period;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Prospects of success: leave and certification;</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Prospect of success against the defendants;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Interrelationship of class actions in more than one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Kowalyshyn</w:t>
      </w:r>
      <w:r>
        <w:rPr>
          <w:rFonts w:ascii="arial" w:eastAsia="arial" w:hAnsi="arial" w:cs="arial"/>
          <w:color w:val="000000"/>
          <w:sz w:val="20"/>
          <w:lang w:val="en-US" w:eastAsia="en-US" w:bidi="ar-SA"/>
        </w:rPr>
        <w:t xml:space="preserve"> at para. 143; </w:t>
      </w:r>
      <w:r>
        <w:rPr>
          <w:rFonts w:ascii="arial" w:eastAsia="arial" w:hAnsi="arial" w:cs="arial"/>
          <w:i/>
          <w:color w:val="000000"/>
          <w:sz w:val="20"/>
          <w:lang w:val="en-US" w:eastAsia="en-US" w:bidi="ar-SA"/>
        </w:rPr>
        <w:t>Quenneville v. Audi AG</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2018 ONSC 1530</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This list of factors is not exhaustive and the weight to be applied to any given factor will depend upon the circumstances of the case. It is not a "tick the box" analysis, but rather the analysis must be holistic and directed at the best interests of the class overall: </w:t>
      </w:r>
      <w:r>
        <w:rPr>
          <w:rFonts w:ascii="arial" w:eastAsia="arial" w:hAnsi="arial" w:cs="arial"/>
          <w:i/>
          <w:color w:val="000000"/>
          <w:sz w:val="20"/>
          <w:lang w:val="en-US" w:eastAsia="en-US" w:bidi="ar-SA"/>
        </w:rPr>
        <w:t>Mancinelli v. Barrick Gold Corp.</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2016 ONCA 571</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do not propose to go through all of the factors identified in the authorities, but rather will address those factors most pertinent to the carriage analysis in this case. I will do so relatively briefly because, in my view, the carriage issue in this case turns largely on the experience and quality of proposed class counsel. If I do not refer to a particular factor identified by the courts, it is because I consider that factor to be largely neutral in the circumstances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Quality of the Proposed Representative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Kowalyshyn</w:t>
      </w:r>
      <w:r>
        <w:rPr>
          <w:rFonts w:ascii="arial" w:eastAsia="arial" w:hAnsi="arial" w:cs="arial"/>
          <w:color w:val="000000"/>
          <w:sz w:val="20"/>
          <w:lang w:val="en-US" w:eastAsia="en-US" w:bidi="ar-SA"/>
        </w:rPr>
        <w:t xml:space="preserve">, the Court noted that the quality of the proposed representative plaintiff is typically a minor factor in a carriage contest (at para. 169). The threshold for establishing the suitability of a proposed representative plaintiff is relatively low and a representative plaintiff will only be rejected where he or she clearly will not or cannot represent the class (see </w:t>
      </w:r>
      <w:r>
        <w:rPr>
          <w:rFonts w:ascii="arial" w:eastAsia="arial" w:hAnsi="arial" w:cs="arial"/>
          <w:i/>
          <w:color w:val="000000"/>
          <w:sz w:val="20"/>
          <w:lang w:val="en-US" w:eastAsia="en-US" w:bidi="ar-SA"/>
        </w:rPr>
        <w:t>Pederson v. Saskatchewan (Minister of Social Services)</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2016 SKCA 142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Pederson</w:t>
      </w:r>
      <w:r>
        <w:rPr>
          <w:rFonts w:ascii="arial" w:eastAsia="arial" w:hAnsi="arial" w:cs="arial"/>
          <w:color w:val="000000"/>
          <w:sz w:val="20"/>
          <w:lang w:val="en-US" w:eastAsia="en-US" w:bidi="ar-SA"/>
        </w:rPr>
        <w:t>] at para. 102).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Despite this low threshold, both parties take issue with the other proposed representative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MLG objects to the fact that K.S. has chosen to remain anonymous by using only her initials in the style of cause. MLG submits that it is necessary for members of the class to know who the representative plaintiff is and that maintaining anonymity is inconsistent with the obligation of the representative plaintiff to fairly and fully represent the interests of class members: see </w:t>
      </w:r>
      <w:r>
        <w:rPr>
          <w:rFonts w:ascii="arial" w:eastAsia="arial" w:hAnsi="arial" w:cs="arial"/>
          <w:i/>
          <w:color w:val="000000"/>
          <w:sz w:val="20"/>
          <w:lang w:val="en-US" w:eastAsia="en-US" w:bidi="ar-SA"/>
        </w:rPr>
        <w:t>T.L. v. Alberta (Director of Child Welfare)</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2006 ABQB 104</w:t>
        </w:r>
      </w:hyperlink>
      <w:r>
        <w:rPr>
          <w:rFonts w:ascii="arial" w:eastAsia="arial" w:hAnsi="arial" w:cs="arial"/>
          <w:color w:val="000000"/>
          <w:sz w:val="20"/>
          <w:lang w:val="en-US" w:eastAsia="en-US" w:bidi="ar-SA"/>
        </w:rPr>
        <w:t xml:space="preserve"> at para. 34; </w:t>
      </w:r>
      <w:r>
        <w:rPr>
          <w:rFonts w:ascii="arial" w:eastAsia="arial" w:hAnsi="arial" w:cs="arial"/>
          <w:i/>
          <w:color w:val="000000"/>
          <w:sz w:val="20"/>
          <w:lang w:val="en-US" w:eastAsia="en-US" w:bidi="ar-SA"/>
        </w:rPr>
        <w:t>Canada v. John Doe</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2016 FCA 191</w:t>
        </w:r>
      </w:hyperlink>
      <w:r>
        <w:rPr>
          <w:rFonts w:ascii="arial" w:eastAsia="arial" w:hAnsi="arial" w:cs="arial"/>
          <w:color w:val="000000"/>
          <w:sz w:val="20"/>
          <w:lang w:val="en-US" w:eastAsia="en-US" w:bidi="ar-SA"/>
        </w:rPr>
        <w:t xml:space="preserve"> at paras. 74-76.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K.S. has deposed that she used her initials because of the sensitive nature of the matters underlying her claim, however she is prepared to sacrifice the anonymity if her action is permitted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ASFS submits that past criminal activity on the part of the proposed representative plaintiffs in the Strohmaier Action, along with the absence of evidence about their educational backgrounds and other pursuits, renders them unsuitable as representative plaintiffs. In contrast, ASFS submits that there is considerable evidence establishing the suitability of K.S. and M.C., including evidence that they have been actively involved in discussions around the ongoing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not satisfied that there are circumstances that would warrant rejection of any of the proposed representative plaintiffs, again given the relatively low threshold for suitability. Based on the evidence, it is apparent that all have claims resulting from their childhood circumstances that bring them within the proposed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That said, the evidence tends to favour K.S. and M.C. as representative plaintiffs, for two principal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First, there is evidence that they have been directly involved with ASFS in terms of directing the litigation and moving it forward. In contrast, there is minimal evidence of any meaningful role played by the named plaintiffs in the Strohmaier Action. This is evidenced in part by the considerable delay in the prosecution of the Strohmaier Action, which I will discuss further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Second, D.S.'s affidavit filed in support of MLG's proposed carriage is troubling. Much of the affidavit is stated to be on information and belief, with the information coming from MLG counsel. Much of the "evidence" provided is not in fact evidence but rather opinion and argument, all clearly framed by counsel. While a lay person cannot necessarily be faulted for not knowing or understanding the rules of evidence, the affidavit does not suggest an ability or willingness to apply any critical or independent thought with respect to the conduct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For these reasons, while the quality of the proposed representative plaintiff is a minor factor, it is a factor that favours the K.S.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Preparation and Readiness of the Action/Priority of Commencement of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MLG puts considerable weight on the fact that the Strohmaier Action was commenced in 2012, some four-and-a-half years before the K.S. Action, and that there have already been a number of procedural hearings and rulings such that the Court, and in particular me as the case management judge, is already invested in that action. MLG submits that it would be unfair and unreasonable to permit the K.S. Action to now supplant the Strohmaier Action and to "repeat the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While it is true that the Strohmaier Action has been ongoing for a longer period of time, I do not accept that this gives it priority over the K.S. Action. It is apparent from the procedural history set out above that the Strohmaier Action has not been pursued with any sense of urgency or dispatch. Rather, many of the steps taken in that action have been reactionary in nature, first in response to the PGT's application to strike and, more recently, in response to the filing of the K.S. Action. In the circumstances, I do not consider the Strohmaier Action to be any further advanced than the K.S. Action (</w:t>
      </w:r>
      <w:r>
        <w:rPr>
          <w:rFonts w:ascii="arial" w:eastAsia="arial" w:hAnsi="arial" w:cs="arial"/>
          <w:i/>
          <w:color w:val="000000"/>
          <w:sz w:val="20"/>
          <w:lang w:val="en-US" w:eastAsia="en-US" w:bidi="ar-SA"/>
        </w:rPr>
        <w:t>Thompson v. Minister of Justice of Manitoba</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2016 MBQB 169</w:t>
        </w:r>
      </w:hyperlink>
      <w:r>
        <w:rPr>
          <w:rFonts w:ascii="arial" w:eastAsia="arial" w:hAnsi="arial" w:cs="arial"/>
          <w:color w:val="000000"/>
          <w:sz w:val="20"/>
          <w:lang w:val="en-US" w:eastAsia="en-US" w:bidi="ar-SA"/>
        </w:rPr>
        <w:t xml:space="preserve"> at para. 52, aff'd </w:t>
      </w:r>
      <w:hyperlink r:id="rId336" w:history="1">
        <w:r>
          <w:rPr>
            <w:rFonts w:ascii="arial" w:eastAsia="arial" w:hAnsi="arial" w:cs="arial"/>
            <w:i/>
            <w:color w:val="0077CC"/>
            <w:sz w:val="20"/>
            <w:u w:val="single"/>
            <w:shd w:val="clear" w:color="auto" w:fill="FFFFFF"/>
            <w:lang w:val="en-US" w:eastAsia="en-US" w:bidi="ar-SA"/>
          </w:rPr>
          <w:t>2017 MBCA 71</w:t>
        </w:r>
      </w:hyperlink>
      <w:r>
        <w:rPr>
          <w:rFonts w:ascii="arial" w:eastAsia="arial" w:hAnsi="arial" w:cs="arial"/>
          <w:color w:val="000000"/>
          <w:sz w:val="20"/>
          <w:lang w:val="en-US" w:eastAsia="en-US" w:bidi="ar-SA"/>
        </w:rPr>
        <w:t>). Indeed, the delay in prosecuting the Strohmaier Action is a factor that supports granting carriage to the K.S.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should also be remembered that the court's involvement in the Strohmaier Action came about initially because of that very inaction and because, as I held in Strohmaier #1, the pleadings fell "well below an acceptable standard". That is hardly a basis on which to grant the Strohmaier Action priority.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terms of the current status and the readiness for certification, both parties have now filed certification records, although I agree with ASFS that the Strohmaier materials are largely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For example, the legal basis amounts to little more than an assertion that the requirements of s.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have been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These factors favour the K.S.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Case Theory/Causes of Action/Selection of Defendants/Class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As a carriage motion such as this occurs when a proposed class proceeding is still in its early stages, it is neither possible nor appropriate for the court to embark on a detailed analysis of the merits and case theories of the different proceedings, beyond assessing whether there are "conspicuous or egregious problems" or "readily apparent advantages and disadvantages": </w:t>
      </w:r>
      <w:r>
        <w:rPr>
          <w:rFonts w:ascii="arial" w:eastAsia="arial" w:hAnsi="arial" w:cs="arial"/>
          <w:i/>
          <w:color w:val="000000"/>
          <w:sz w:val="20"/>
          <w:lang w:val="en-US" w:eastAsia="en-US" w:bidi="ar-SA"/>
        </w:rPr>
        <w:t>Kowalyshyn</w:t>
      </w:r>
      <w:r>
        <w:rPr>
          <w:rFonts w:ascii="arial" w:eastAsia="arial" w:hAnsi="arial" w:cs="arial"/>
          <w:color w:val="000000"/>
          <w:sz w:val="20"/>
          <w:lang w:val="en-US" w:eastAsia="en-US" w:bidi="ar-SA"/>
        </w:rPr>
        <w:t xml:space="preserve"> at paras. 150-151. One of the most obvious reasons for this rather narrow assessment is that the defendants have yet to take a position on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two case theories here are very similar in nature and scope, subject to the following exceptions: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K.S. Action seeks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and aggregate damages which the Strohmaier Action does not;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K.S. Action specifically names the Ministry of Children and Family and the Ministry of Justice as defendants, whereas the Strohmaier Action only names the province as represented by the Attorney General, and K.S. also names the WCB.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MLG submits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aggregate damages claims, as well as the claim against the WCB, are unlikely to succeed and add an unnecessary level of complexity. It submits further that the K.S. Action, as initially framed, did not claim damages for loss of chance but later copied the Strohmaier pleadings to add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ASFS responds by submitting that the broader approach reflected in its pleadings enhances the prospects of success for class members by creating maximum exposure across multiple ministries or agencies.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my view, it is beyond the proper scope of this application to examine closely the merits or likely success of the different and additional claims advanced in the K.S. Action. I am satisfied, at least at this early stage, that both case theories are adequate to provide class members with access to justice: see </w:t>
      </w:r>
      <w:r>
        <w:rPr>
          <w:rFonts w:ascii="arial" w:eastAsia="arial" w:hAnsi="arial" w:cs="arial"/>
          <w:i/>
          <w:color w:val="000000"/>
          <w:sz w:val="20"/>
          <w:lang w:val="en-US" w:eastAsia="en-US" w:bidi="ar-SA"/>
        </w:rPr>
        <w:t>Kowalyshyn</w:t>
      </w:r>
      <w:r>
        <w:rPr>
          <w:rFonts w:ascii="arial" w:eastAsia="arial" w:hAnsi="arial" w:cs="arial"/>
          <w:color w:val="000000"/>
          <w:sz w:val="20"/>
          <w:lang w:val="en-US" w:eastAsia="en-US" w:bidi="ar-SA"/>
        </w:rPr>
        <w:t xml:space="preserve"> at para. 199. I note that there are minor differences in the two purposed class definitions, but I do not consider these differences to be material to the carriage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These factors are therefore largely neutral.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Quality and Experience of Class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I indicated at the outset of the Discussion section of these Reasons, this is the most significant factor in the carriage analysis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MLG submits that it has more experience in class proceedings than ASFS by a large margin. It goes so far as to submit that this case is unusual because, in most cases, the contest is between two experienced and well-known class action law firms whereas in this case, ASFS does not fall within that category of firms.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MLG points to the numerous class proceedings that it has conducted throughout Canada, including in particular, </w:t>
      </w:r>
      <w:r>
        <w:rPr>
          <w:rFonts w:ascii="arial" w:eastAsia="arial" w:hAnsi="arial" w:cs="arial"/>
          <w:i/>
          <w:color w:val="000000"/>
          <w:sz w:val="20"/>
          <w:lang w:val="en-US" w:eastAsia="en-US" w:bidi="ar-SA"/>
        </w:rPr>
        <w:t>Pederson</w:t>
      </w:r>
      <w:r>
        <w:rPr>
          <w:rFonts w:ascii="arial" w:eastAsia="arial" w:hAnsi="arial" w:cs="arial"/>
          <w:color w:val="000000"/>
          <w:sz w:val="20"/>
          <w:lang w:val="en-US" w:eastAsia="en-US" w:bidi="ar-SA"/>
        </w:rPr>
        <w:t xml:space="preserve"> in Saskatchewan that involves similar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ASFS submits that it has the experience and capabilities necessary to properly prosecute the K.S. Action. Further, it submits that its lawyers are all resident in BC whereas MLG has only one relatively junior lawyer who resides regularly in the province. With respect to MLG, ASFS submits that its handling of the Strohmaier Action to date and the adverse comments made by many courts concerning MLG's conduct in other proceedings support a finding that MLG should not be granted carriage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Courts have warned against permitting carriage motions to devolve into a "beauty pageant" in which competing law firms extol their respective virtues while at the same time subtly (or not so subtly) undermining the experience and credentials of other counsel: </w:t>
      </w:r>
      <w:r>
        <w:rPr>
          <w:rFonts w:ascii="arial" w:eastAsia="arial" w:hAnsi="arial" w:cs="arial"/>
          <w:i/>
          <w:color w:val="000000"/>
          <w:sz w:val="20"/>
          <w:lang w:val="en-US" w:eastAsia="en-US" w:bidi="ar-SA"/>
        </w:rPr>
        <w:t>Sharma v. Timminco Ltd.</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2009 CarswellOnt 6583</w:t>
        </w:r>
      </w:hyperlink>
      <w:r>
        <w:rPr>
          <w:rFonts w:ascii="arial" w:eastAsia="arial" w:hAnsi="arial" w:cs="arial"/>
          <w:color w:val="000000"/>
          <w:sz w:val="20"/>
          <w:lang w:val="en-US" w:eastAsia="en-US" w:bidi="ar-SA"/>
        </w:rPr>
        <w:t xml:space="preserve"> (S.C.J.)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That said, some degree of comparison between competing firms is inevitable when considering which action, and which counsel, will best advance the central objectives of class proceeding legislation, including the best interests of the class members and fairness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There is no doubt that as between MLG and ASFS, MLG has more experience in class proceedings. That experience includes acting as counsel in </w:t>
      </w:r>
      <w:r>
        <w:rPr>
          <w:rFonts w:ascii="arial" w:eastAsia="arial" w:hAnsi="arial" w:cs="arial"/>
          <w:i/>
          <w:color w:val="000000"/>
          <w:sz w:val="20"/>
          <w:lang w:val="en-US" w:eastAsia="en-US" w:bidi="ar-SA"/>
        </w:rPr>
        <w:t>Pederson</w:t>
      </w:r>
      <w:r>
        <w:rPr>
          <w:rFonts w:ascii="arial" w:eastAsia="arial" w:hAnsi="arial" w:cs="arial"/>
          <w:color w:val="000000"/>
          <w:sz w:val="20"/>
          <w:lang w:val="en-US" w:eastAsia="en-US" w:bidi="ar-SA"/>
        </w:rPr>
        <w:t>, which again involves similar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However, as submitted by ASFS, experience is not merely a question of quantity but also of quality. Moreover, the issue on a carriage motion is less about counsel's experience with class proceeding procedure and more about whether counsel has the experience, resources and capability to properly advance the substantive claims underlying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this regard, ASFS is a well-established BC based firm with extensive experience in litigation involving claims similar to those arising here. I am satisfied that ASFS is fully capable of prosecuting the K.S. Action in the best interests of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my view, a significant issue informing the carriage analysis here is the reputation and past conduct of MLG. In </w:t>
      </w:r>
      <w:r>
        <w:rPr>
          <w:rFonts w:ascii="arial" w:eastAsia="arial" w:hAnsi="arial" w:cs="arial"/>
          <w:i/>
          <w:color w:val="000000"/>
          <w:sz w:val="20"/>
          <w:lang w:val="en-US" w:eastAsia="en-US" w:bidi="ar-SA"/>
        </w:rPr>
        <w:t>Mancinelli</w:t>
      </w:r>
      <w:r>
        <w:rPr>
          <w:rFonts w:ascii="arial" w:eastAsia="arial" w:hAnsi="arial" w:cs="arial"/>
          <w:color w:val="000000"/>
          <w:sz w:val="20"/>
          <w:lang w:val="en-US" w:eastAsia="en-US" w:bidi="ar-SA"/>
        </w:rPr>
        <w:t>, the court observed at para. 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has a duty to protect class members and a broader duty to the administration of justice when approving counsel in a carriage motion. The discharge of this duty may require the exclusion of counsel due to prior misconduct. It may also require the exclusion of counsel with a record of commencing class actions, not pursuing them, and then using them to demand ransom from other counsel in carriage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Mancinelli</w:t>
      </w:r>
      <w:r>
        <w:rPr>
          <w:rFonts w:ascii="arial" w:eastAsia="arial" w:hAnsi="arial" w:cs="arial"/>
          <w:color w:val="000000"/>
          <w:sz w:val="20"/>
          <w:lang w:val="en-US" w:eastAsia="en-US" w:bidi="ar-SA"/>
        </w:rPr>
        <w:t xml:space="preserve">, the Court of Appeal declined an appeal from a decision awarding carriage to a group of law firms that included MLG. Following upon the above quote, the Court of Appeal went on to say "[t]he motion judge was clearly aware of these duties and of Merchant's history and I am not prepared to say that he erred in the exercise of his discretion in awarding carriage to Rochon </w:t>
      </w:r>
      <w:r>
        <w:rPr>
          <w:rFonts w:ascii="arial" w:eastAsia="arial" w:hAnsi="arial" w:cs="arial"/>
          <w:color w:val="000000"/>
          <w:sz w:val="20"/>
          <w:u w:val="single"/>
          <w:lang w:val="en-US" w:eastAsia="en-US" w:bidi="ar-SA"/>
        </w:rPr>
        <w:t>in spite of</w:t>
      </w:r>
      <w:r>
        <w:rPr>
          <w:rFonts w:ascii="arial" w:eastAsia="arial" w:hAnsi="arial" w:cs="arial"/>
          <w:color w:val="000000"/>
          <w:sz w:val="20"/>
          <w:lang w:val="en-US" w:eastAsia="en-US" w:bidi="ar-SA"/>
        </w:rPr>
        <w:t xml:space="preserve"> Merchant's participation in that consortium"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other cases, courts have declined to consider disciplinary or conduct issues when assessing the experience of proposed class counsel: see e.g. </w:t>
      </w:r>
      <w:r>
        <w:rPr>
          <w:rFonts w:ascii="arial" w:eastAsia="arial" w:hAnsi="arial" w:cs="arial"/>
          <w:i/>
          <w:color w:val="000000"/>
          <w:sz w:val="20"/>
          <w:lang w:val="en-US" w:eastAsia="en-US" w:bidi="ar-SA"/>
        </w:rPr>
        <w:t>Joel v. Menu Foods Genpar Limited</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2007 BCSC 1482</w:t>
        </w:r>
      </w:hyperlink>
      <w:r>
        <w:rPr>
          <w:rFonts w:ascii="arial" w:eastAsia="arial" w:hAnsi="arial" w:cs="arial"/>
          <w:color w:val="000000"/>
          <w:sz w:val="20"/>
          <w:lang w:val="en-US" w:eastAsia="en-US" w:bidi="ar-SA"/>
        </w:rPr>
        <w:t xml:space="preserve"> at para. 106; </w:t>
      </w:r>
      <w:r>
        <w:rPr>
          <w:rFonts w:ascii="arial" w:eastAsia="arial" w:hAnsi="arial" w:cs="arial"/>
          <w:i/>
          <w:color w:val="000000"/>
          <w:sz w:val="20"/>
          <w:lang w:val="en-US" w:eastAsia="en-US" w:bidi="ar-SA"/>
        </w:rPr>
        <w:t>Ammazzini v. Anglo American PLC</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2016 SKQB 53</w:t>
        </w:r>
      </w:hyperlink>
      <w:r>
        <w:rPr>
          <w:rFonts w:ascii="arial" w:eastAsia="arial" w:hAnsi="arial" w:cs="arial"/>
          <w:color w:val="000000"/>
          <w:sz w:val="20"/>
          <w:lang w:val="en-US" w:eastAsia="en-US" w:bidi="ar-SA"/>
        </w:rPr>
        <w:t xml:space="preserve"> at paras. 48-50.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agree that isolated disciplinary or conduct issues will not normally be relevant to the carriage analysis unless those issues directly impact the ability of counsel to prosecute the class proceeding in the best interests of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Here however, both the number and the nature of the concerns raised by numerous courts about MLG's conduct of various proceedings, in my view casts considerable doubt on the appropriateness of approving MLG as class counsel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do not intend to review all of the decisions that comment on MLG's conduct however I will highlight two such decisions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Chudy v. Merchant Law Group</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2007 BCSC 279</w:t>
        </w:r>
      </w:hyperlink>
      <w:r>
        <w:rPr>
          <w:rFonts w:ascii="arial" w:eastAsia="arial" w:hAnsi="arial" w:cs="arial"/>
          <w:color w:val="000000"/>
          <w:sz w:val="20"/>
          <w:lang w:val="en-US" w:eastAsia="en-US" w:bidi="ar-SA"/>
        </w:rPr>
        <w:t xml:space="preserve"> involved a claim for breach of fiduciary duty brought against MLG by former clients. The action was successful and the plaintiffs were awarded special costs. In support of that finding, Mr. Justice Davies said at para. 257: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satisfied that the conduct of the Merchant Law Group in this case was reprehensible within the meaning attributed in </w:t>
      </w:r>
      <w:r>
        <w:rPr>
          <w:rFonts w:ascii="arial" w:eastAsia="arial" w:hAnsi="arial" w:cs="arial"/>
          <w:b/>
          <w:i/>
          <w:color w:val="000000"/>
          <w:sz w:val="20"/>
          <w:lang w:val="en-US" w:eastAsia="en-US" w:bidi="ar-SA"/>
        </w:rPr>
        <w:t>Garcia</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[1994] B.C.J. No. 2486</w:t>
        </w:r>
      </w:hyperlink>
      <w:r>
        <w:rPr>
          <w:rFonts w:ascii="arial" w:eastAsia="arial" w:hAnsi="arial" w:cs="arial"/>
          <w:color w:val="000000"/>
          <w:sz w:val="20"/>
          <w:lang w:val="en-US" w:eastAsia="en-US" w:bidi="ar-SA"/>
        </w:rPr>
        <w:t xml:space="preserve"> . The conduct and actions of the Merchant Law Group would be deserving of rebuke in an ordinary commercial transaction. In the context of litigation involving its own clients and the integrity which the Court and the public are entitled to expect from those who are privileged to be members of the legal profession, it was both outrageous and scandalous.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Court of Appeal declined to interfere with the special costs award: </w:t>
      </w:r>
      <w:hyperlink r:id="rId342" w:history="1">
        <w:r>
          <w:rPr>
            <w:rFonts w:ascii="arial" w:eastAsia="arial" w:hAnsi="arial" w:cs="arial"/>
            <w:i/>
            <w:color w:val="0077CC"/>
            <w:sz w:val="20"/>
            <w:u w:val="single"/>
            <w:shd w:val="clear" w:color="auto" w:fill="FFFFFF"/>
            <w:lang w:val="en-US" w:eastAsia="en-US" w:bidi="ar-SA"/>
          </w:rPr>
          <w:t>2009 BCCA 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Drover v. BCE Inc.</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2013 BCSC 1341</w:t>
        </w:r>
      </w:hyperlink>
      <w:r>
        <w:rPr>
          <w:rFonts w:ascii="arial" w:eastAsia="arial" w:hAnsi="arial" w:cs="arial"/>
          <w:color w:val="000000"/>
          <w:sz w:val="20"/>
          <w:lang w:val="en-US" w:eastAsia="en-US" w:bidi="ar-SA"/>
        </w:rPr>
        <w:t>, the court dismissed a proposed class proceeding commenced by MLG as an abuse of process on the basis that it served "no legitimate or proper purpose" (at para. 52). In an earlier decision in the same case (</w:t>
      </w:r>
      <w:hyperlink r:id="rId344" w:history="1">
        <w:r>
          <w:rPr>
            <w:rFonts w:ascii="arial" w:eastAsia="arial" w:hAnsi="arial" w:cs="arial"/>
            <w:i/>
            <w:color w:val="0077CC"/>
            <w:sz w:val="20"/>
            <w:u w:val="single"/>
            <w:shd w:val="clear" w:color="auto" w:fill="FFFFFF"/>
            <w:lang w:val="en-US" w:eastAsia="en-US" w:bidi="ar-SA"/>
          </w:rPr>
          <w:t>2013 BCSC 50</w:t>
        </w:r>
      </w:hyperlink>
      <w:r>
        <w:rPr>
          <w:rFonts w:ascii="arial" w:eastAsia="arial" w:hAnsi="arial" w:cs="arial"/>
          <w:color w:val="000000"/>
          <w:sz w:val="20"/>
          <w:lang w:val="en-US" w:eastAsia="en-US" w:bidi="ar-SA"/>
        </w:rPr>
        <w:t>), that dealt with an application by the plaintiff to renew the writ of summons that had expired before service on certain defendants, Mr. Justice Weatherill dismissed the application and ordered costs payable by Mr. Merchant personally. He said at paras. 62 and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...The conduct of counsel for the plaintiffs has caused costs to be wasted through delay and neglect. Plaintiffs' counsel neglected this action for over 8 years. When he got around to dealing with it by bringing this application, he failed to set out the proper relief. Furthermore, the application was not supported by any evidence explaining either the delay or the failure to comply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regarding the need for an endorsement and proper service. Moreover, the application was brought against defendants against whom there was no basis for the order(s) sought. To say that this was and has from the outset been a shoddy piece of counsel work would be an understatement.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I am ordering that E.F. Anthony Merchant, Q.C. be personally liable for the foregoing awards of costs,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Appeals from both decisions were filed but not pursued within the time limits prescribed by the </w:t>
      </w:r>
      <w:r>
        <w:rPr>
          <w:rFonts w:ascii="arial" w:eastAsia="arial" w:hAnsi="arial" w:cs="arial"/>
          <w:i/>
          <w:color w:val="000000"/>
          <w:sz w:val="20"/>
          <w:lang w:val="en-US" w:eastAsia="en-US" w:bidi="ar-SA"/>
        </w:rPr>
        <w:t>Court of Appeal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297/2001</w:t>
      </w:r>
      <w:r>
        <w:rPr>
          <w:rFonts w:ascii="arial" w:eastAsia="arial" w:hAnsi="arial" w:cs="arial"/>
          <w:color w:val="000000"/>
          <w:sz w:val="20"/>
          <w:lang w:val="en-US" w:eastAsia="en-US" w:bidi="ar-SA"/>
        </w:rPr>
        <w:t>. Applications to reinstate the appeals were dismissed by the Court of Appeal on March 25, 2015 (</w:t>
      </w:r>
      <w:hyperlink r:id="rId345" w:history="1">
        <w:r>
          <w:rPr>
            <w:rFonts w:ascii="arial" w:eastAsia="arial" w:hAnsi="arial" w:cs="arial"/>
            <w:i/>
            <w:color w:val="0077CC"/>
            <w:sz w:val="20"/>
            <w:u w:val="single"/>
            <w:shd w:val="clear" w:color="auto" w:fill="FFFFFF"/>
            <w:lang w:val="en-US" w:eastAsia="en-US" w:bidi="ar-SA"/>
          </w:rPr>
          <w:t>2015 BCCA 132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his decision dismissing the reinstatement applications, Mr. Justice Frankel said the following in respect of Mr. Merchant's purported interpretation of a previous procedural order, at paras. 66-68: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Mr. Merchant's asserted understanding of the effect of that order rings hollow. No lawyer could possibly construe the order as an open-ended exemption from the requirements of this Court's Act and Rules, or as the equivalent of a stay of proceedings pending the determination of a matter not referred to in the order. In addition, the statement in his affidavit that he and others at MLG believed the order allowed the Service Appeal to be held back "pending the readying of the Abuse of Process Appeal for hearing" is belied by the fact that after that order was made nothing was done to "ready" that appeal for hearing. As matters now stand, MLG has filed none of the material required to prosecute the Abuse of Process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In my view, Mr. Merchant's position in regard to the order reflects yet another attempt to camouflage his conscious decision to ignore these appeals until such time as MLG considered it was in its best interests to proceed, with no regard for this Court's processes.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My conclusion that the delay here is inordinate and that failure to prosecute the Service and Abuse of Process Appeals was not an oversight but deliberate is further supported by the approach MLG has taken with respect to this matter in the trial court and with respect to the proceedings it has commenced in other jurisdictions. It is plain and obvious that MLG's litigation strategy is to pick and choose where, when, and how it pursues its various actions and appeals regardless of the rules and processes in place in any particular jurisdiction. To cite but one example, as referred to at paras. 8 and 9 of Weatherill J.'s reasons for judgment on the application for a declaration or service, shortly after faxing its pleadings to the defendants' offices MLG was put on notice by counsel for Rogers that service by fax was disputed. MLG immediately responded by saying "we believe the Court will accept service by Facsimile". It then waited more than eight years to bring its application for a declaration. Of note is that in its Service Appeal factum, MLG does not take issue with Weatherill J.'s finding that service by fax was not proper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these and other cases, the courts have expressed concerns about both MLG's ability or willingness to adhere to court processes and its fidelity to clients as distinct from its own self-interest.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 circumstances, I have grave concerns about the ability of MLG to act in the best interests of the proposed class, which, given the nature of the underlying claims, is likely to be largely composed of vulnerable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My concerns are compounded by the manner in which the Strohmaier Action has been conducted to date. As discussed above, there has been considerable delay in prosecuting that action. MLG seeks to justify the delay by reference to the </w:t>
      </w:r>
      <w:r>
        <w:rPr>
          <w:rFonts w:ascii="arial" w:eastAsia="arial" w:hAnsi="arial" w:cs="arial"/>
          <w:i/>
          <w:color w:val="000000"/>
          <w:sz w:val="20"/>
          <w:lang w:val="en-US" w:eastAsia="en-US" w:bidi="ar-SA"/>
        </w:rPr>
        <w:t>Pederson</w:t>
      </w:r>
      <w:r>
        <w:rPr>
          <w:rFonts w:ascii="arial" w:eastAsia="arial" w:hAnsi="arial" w:cs="arial"/>
          <w:color w:val="000000"/>
          <w:sz w:val="20"/>
          <w:lang w:val="en-US" w:eastAsia="en-US" w:bidi="ar-SA"/>
        </w:rPr>
        <w:t xml:space="preserve"> case. There, certification was initially denied in the Court of Queen's Bench on December 22, 2014 ( </w:t>
      </w:r>
      <w:hyperlink r:id="rId346" w:history="1">
        <w:r>
          <w:rPr>
            <w:rFonts w:ascii="arial" w:eastAsia="arial" w:hAnsi="arial" w:cs="arial"/>
            <w:i/>
            <w:color w:val="0077CC"/>
            <w:sz w:val="20"/>
            <w:u w:val="single"/>
            <w:shd w:val="clear" w:color="auto" w:fill="FFFFFF"/>
            <w:lang w:val="en-US" w:eastAsia="en-US" w:bidi="ar-SA"/>
          </w:rPr>
          <w:t>2014 SKQB 416</w:t>
        </w:r>
      </w:hyperlink>
      <w:r>
        <w:rPr>
          <w:rFonts w:ascii="arial" w:eastAsia="arial" w:hAnsi="arial" w:cs="arial"/>
          <w:color w:val="000000"/>
          <w:sz w:val="20"/>
          <w:lang w:val="en-US" w:eastAsia="en-US" w:bidi="ar-SA"/>
        </w:rPr>
        <w:t>), but the Court of Appeal allowed the plaintiff's appeal on November 7,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MLG submits that it was waiting for </w:t>
      </w:r>
      <w:r>
        <w:rPr>
          <w:rFonts w:ascii="arial" w:eastAsia="arial" w:hAnsi="arial" w:cs="arial"/>
          <w:i/>
          <w:color w:val="000000"/>
          <w:sz w:val="20"/>
          <w:lang w:val="en-US" w:eastAsia="en-US" w:bidi="ar-SA"/>
        </w:rPr>
        <w:t>Pederson</w:t>
      </w:r>
      <w:r>
        <w:rPr>
          <w:rFonts w:ascii="arial" w:eastAsia="arial" w:hAnsi="arial" w:cs="arial"/>
          <w:color w:val="000000"/>
          <w:sz w:val="20"/>
          <w:lang w:val="en-US" w:eastAsia="en-US" w:bidi="ar-SA"/>
        </w:rPr>
        <w:t xml:space="preserve"> to be resolved before pressing ahead with the Strohmaier Action and that it would have been inappropriate to apply for certification of the Strohmaier Action while </w:t>
      </w:r>
      <w:r>
        <w:rPr>
          <w:rFonts w:ascii="arial" w:eastAsia="arial" w:hAnsi="arial" w:cs="arial"/>
          <w:i/>
          <w:color w:val="000000"/>
          <w:sz w:val="20"/>
          <w:lang w:val="en-US" w:eastAsia="en-US" w:bidi="ar-SA"/>
        </w:rPr>
        <w:t>Pederson</w:t>
      </w:r>
      <w:r>
        <w:rPr>
          <w:rFonts w:ascii="arial" w:eastAsia="arial" w:hAnsi="arial" w:cs="arial"/>
          <w:color w:val="000000"/>
          <w:sz w:val="20"/>
          <w:lang w:val="en-US" w:eastAsia="en-US" w:bidi="ar-SA"/>
        </w:rPr>
        <w:t xml:space="preserve"> was under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do not accept this explanation. The delay in prosecuting the Strohmaier Action was apparent in 2014 which is why, in part, I permitted the PGT to proceed with its application to strike. Moreover, while the Saskatchewan Court of Appeal rendered its decision in </w:t>
      </w:r>
      <w:r>
        <w:rPr>
          <w:rFonts w:ascii="arial" w:eastAsia="arial" w:hAnsi="arial" w:cs="arial"/>
          <w:i/>
          <w:color w:val="000000"/>
          <w:sz w:val="20"/>
          <w:lang w:val="en-US" w:eastAsia="en-US" w:bidi="ar-SA"/>
        </w:rPr>
        <w:t>Pederson</w:t>
      </w:r>
      <w:r>
        <w:rPr>
          <w:rFonts w:ascii="arial" w:eastAsia="arial" w:hAnsi="arial" w:cs="arial"/>
          <w:color w:val="000000"/>
          <w:sz w:val="20"/>
          <w:lang w:val="en-US" w:eastAsia="en-US" w:bidi="ar-SA"/>
        </w:rPr>
        <w:t xml:space="preserve"> in December 2016, MLG took no additional steps in the </w:t>
      </w:r>
      <w:r>
        <w:rPr>
          <w:rFonts w:ascii="arial" w:eastAsia="arial" w:hAnsi="arial" w:cs="arial"/>
          <w:i/>
          <w:color w:val="000000"/>
          <w:sz w:val="20"/>
          <w:lang w:val="en-US" w:eastAsia="en-US" w:bidi="ar-SA"/>
        </w:rPr>
        <w:t>Strohmaier</w:t>
      </w:r>
      <w:r>
        <w:rPr>
          <w:rFonts w:ascii="arial" w:eastAsia="arial" w:hAnsi="arial" w:cs="arial"/>
          <w:color w:val="000000"/>
          <w:sz w:val="20"/>
          <w:lang w:val="en-US" w:eastAsia="en-US" w:bidi="ar-SA"/>
        </w:rPr>
        <w:t xml:space="preserve"> Action until April 2017, after the existence of the K.S. Action came to light. Moreover, MLG's position ignores the fact that similar claims were certified in Alberta as far back as 2008 (</w:t>
      </w:r>
      <w:r>
        <w:rPr>
          <w:rFonts w:ascii="arial" w:eastAsia="arial" w:hAnsi="arial" w:cs="arial"/>
          <w:i/>
          <w:color w:val="000000"/>
          <w:sz w:val="20"/>
          <w:lang w:val="en-US" w:eastAsia="en-US" w:bidi="ar-SA"/>
        </w:rPr>
        <w:t>T.L. v. Alberta (Director of Child Welfare</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2008 ABQB 114</w:t>
        </w:r>
      </w:hyperlink>
      <w:r>
        <w:rPr>
          <w:rFonts w:ascii="arial" w:eastAsia="arial" w:hAnsi="arial" w:cs="arial"/>
          <w:color w:val="000000"/>
          <w:sz w:val="20"/>
          <w:lang w:val="en-US" w:eastAsia="en-US" w:bidi="ar-SA"/>
        </w:rPr>
        <w:t xml:space="preserve">, aff'd </w:t>
      </w:r>
      <w:hyperlink r:id="rId348" w:history="1">
        <w:r>
          <w:rPr>
            <w:rFonts w:ascii="arial" w:eastAsia="arial" w:hAnsi="arial" w:cs="arial"/>
            <w:i/>
            <w:color w:val="0077CC"/>
            <w:sz w:val="20"/>
            <w:u w:val="single"/>
            <w:shd w:val="clear" w:color="auto" w:fill="FFFFFF"/>
            <w:lang w:val="en-US" w:eastAsia="en-US" w:bidi="ar-SA"/>
          </w:rPr>
          <w:t>2009 ABCA 182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simple fact is that MLG has not prosecuted the Strohmaier Action with any diligence and has only acted in response to external forces, first the PGT's application to strike and, more recently, the filing of the K.S.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have also commented above on the quality of certain of the materials filed by MLG, notably the initial notice of civil claim and D.S.'s affidavit filed on the carriage application. I agree with ASFS that the obvious flaws in much of the material relied on by MLG suggest a lack of attention to detail and commitment to advancing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This factor favours the K.S. Action by a large margin.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For the reasons set out above, I find that the interests of class members are best served by granting carriage to ASFS in the K.S. Action. The Strohmaier Action is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1"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Stuart v. British Columbia College of Teachers, [2005] B.C.J. No. 989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15 and 16,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L041431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989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645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254 D.L.R. (4th) 154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40 B.C.L.R. (4th) 360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139 A.C.W.S. (3d) 293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1042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Duncan George Stuart, appellant, and British Columbia College of Teachers,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2"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5" w:name="Keywords_16"/>
      <w:bookmarkEnd w:id="115"/>
      <w:r>
        <w:rPr>
          <w:rFonts w:ascii="arial" w:eastAsia="arial" w:hAnsi="arial" w:cs="arial"/>
          <w:b/>
          <w:color w:val="000000"/>
          <w:sz w:val="20"/>
          <w:lang w:val="en-US" w:eastAsia="en-US" w:bidi="ar-SA"/>
        </w:rPr>
        <w:t>Professional responsibility — Professions — Other — Teachers — Discipline — Grounds — Professional misconduct — Administrative law — Judicial review and statutory appeal — When available — Error of law — Standard of review — Correctness.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6" w:name="Case Summary_13"/>
            <w:bookmarkEnd w:id="1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Stuart from two decisions by the respondent, British Columbia College of Teachers, which found him guilty of professional misconduct, and conduct unbecoming a teacher. Stuart was a teacher on stress-related medical leave. He suffered from bipolar disorder that he had managed through medication for a number of years. A change in medication precipitated a manic episode during which he contacted a former student and screamed profanities at her and her boyfriend. This resulted in a citation from the College for conduct unbecoming a teacher. Four months later, Stuart attended his school to retrieve personal belongings. A confrontation ensued with staff, and eventually the police, which led to Stuart being subdued by a tazer. He was given a conditional discharge for the related criminal charges and received a citation from the College for professional misconduct. Following a hearing, Stuart received an indefinite suspension pending the completion of counselling and a favourable psychiatric assessment. Stuart appealed on the basis that the College failed to consider or give adequate weight to the role that his medical condition of bipolar disorder played in his conduct. He submitted that he lacked the necessary mental capacity to commit the offences. The College argued that Stuart did not establish that he was incapable of forming the necessary intent.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7" w:name="Holdings of Court_11"/>
            <w:bookmarkEnd w:id="117"/>
            <w:r>
              <w:rPr>
                <w:rFonts w:ascii="arial" w:eastAsia="arial" w:hAnsi="arial" w:cs="arial"/>
                <w:color w:val="000000"/>
                <w:sz w:val="20"/>
                <w:lang w:val="en-US" w:eastAsia="en-US" w:bidi="ar-SA"/>
              </w:rPr>
              <w:t>HELD: Appeal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determination of whether Stuart's mental capacity was relevant to the decision of whether he engaged in professional misconduct was a preliminary question of law. Thus the decision was reviewable on a standard of correctness. The College erred in concluding that Stuart's mental condition was irrelevant to its determination. The primary cause of Stuart's behaviour was his medical condition, which was exacerbated by a transition in medication. The public interest was not served by a finding of misconduct. Stuart was incompetent due to his medical condition and ordered suspended on the same terms imposed by the College.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8" w:name="Legislation Cited_14"/>
      <w:bookmarkEnd w:id="1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3"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 s. 175(1)(a)(i), s. 730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Human Rights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Teaching Profession Act, R.S.B.C. 1996 c. 449 s. 40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9" w:name="Counsel_16"/>
      <w:bookmarkEnd w:id="11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4"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Appellant: M.L. Smith and L.C. Fong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B. Laughton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0" w:name="Judgment_16"/>
      <w:bookmarkEnd w:id="120"/>
      <w:r>
        <w:pict>
          <v:line id="_x0000_s1115" style="position:absolute;z-index:2518292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1" w:name="POWERS J."/>
            <w:bookmarkEnd w:id="121"/>
            <w:r>
              <w:rPr>
                <w:rFonts w:ascii="arial" w:eastAsia="arial" w:hAnsi="arial" w:cs="arial"/>
                <w:b/>
                <w:color w:val="000000"/>
                <w:sz w:val="30"/>
                <w:lang w:val="en-US" w:eastAsia="en-US" w:bidi="ar-SA"/>
              </w:rPr>
              <w:t>POWERS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Stuart appeals two decisions of the Discipline Sub-Committee and a decision of the Council of the British Columbia Teachers' College (the "College") that found him guilty of professional misconduct, and conduct unbecoming a teacher. He argues that they failed to consider, or give adequate weight, to the role that his medical condition of bipolar disorder, complicated by a change of medication, played in his conduct. In other words, that they treated the offences as absolute liability offences in which the mental element was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Stuart is a teacher who is on a stress-related medical leave. He qualified as a teacher in 1993, and appears to have fulfilled his professional responsibilities without difficulty. He has been on stress leave since January 2002. He was diagnosed with bipolar disorder (type I), when he was approximately 21 years of age. He successfully completed his education and was a teacher for a number of years, being able to manage this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He was suffering from mania characterized by agitation, pressured speech, flight of ideas, poor concentration, anger outbursts, poor impulse control and sleeplessness in February 2002. His medication was changed on February 15, 2002, and within six to eight weeks he still felt agitated, angry, elated and unable to cope with stress. His feelings of mania were treated with Lithium carbonate in May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Stuart tried to telephone a former student a number of times, beginning February 18, and did speak to the student on the telephone on February 24, 2002. He also spoke to her boyfriend on February 24, 2002. Mr. Stuart screamed garbled profanities at her boyfriend. He also screamed profanities at the former student when she took the telephone. This led to the citation for conduct unbecoming a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Stuart attended at the school on June 17, 2002, as the school day was ending. He attended to obtain his personal belongings, but became involved in a verbal confrontation with school staff, including using profanities. He drove his vehicle in an erratic, stop and go manner, in the parking lot, while students and parents were in the lot. He had a verbal and physical confrontation with the police officer and was subdued by the use of a tazer. He was charged with assaulting a peace officer, resisting a peace officer and dangerous driving. He pleaded not guilty to those offences, but guilty to the included offence of causing a disturbance contrary to s. 175(1)(a)(i) of the Criminal Code of Canada. He was given a conditional discharge. These actions resulted in a citation for professional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citation for professional misconduct arising from the June 2002 incident was issued on May 26, 2003.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while on leave from your employment as a teacher at Princess Margaret Secondary School (the "school") in Surrey, British Columbia, and while school was in session, you acted inappropriately by:</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Attending your former classroom at the school, acting unprofessionally and uttering profanities;</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in a publicly confrontational and threatening manner with teachers and administrators of the school;</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your vehicle in the school parking lot in a dangerous and erratic manner;</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Engaging in abusive verbal behaviour with a member of the RCMP on the school grounds;</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Engaging in a physical confrontation with a member of the RCMP on the school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addition, that while on the school grounds: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you caused a criminal disturbance, to which you pleaded guilty and for which you were given a conditional discharge with 18 months of probation and 9 conditions of probation.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citation makes it clear that the College could terminate his membership in the College and cancel his teaching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citation for conduct unbecoming arising from the February telephone call was issued September 11, 2003, and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month of February 2002, while you were a teacher at Princess Margaret Secondary School in Surrey, B.C., you engaged in unprofessional and inappropriate behaviour with MG, a student at that school. Your behaviour included: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Touching of her face in an inappropriate way; [this allegation was dismissed]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Attempting, on numerous occasions, to visit with her and speak to her after school hours;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inappropriate phone calls to her late at night and using profane language with both her and her companion.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citation again makes it clear that the College could terminate his membership in the College and cancel his teaching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hearing of the professional misconduct citation proceeded on December 9, 2003. It proceeded on an agreed statement of facts. The decision was rendered January 13, 2004. Mr. Stuart was found guilty of professional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hearing of the conduct unbecoming citation proceeded on January 15, 2004, on an agreed statement of facts. Mr. Stuart was found guilty on January 15, 2004 of conduct unbecoming. There was no finding of inappropriate touching.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College Council of the British Columbia College of Teachers met on May 7, 2004, and considered the recommendations and reasons of the hearing sub-committee and the submissions of Mr. Stuart dated March 18, 2004. The College adopted the recommendations and reasons of the hearing sub-committee.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Stuart agreed that his actions alone were sufficient to justify a finding of professional misconduct and conduct unbecoming, if there is no requirement for a mental element to these offences. However, he argues that these citations do require a mental element to be proven by the College. He argues that the agreed statement of facts demonstrates that he lacked the necessary mental capacity to commit the offences, or that the necessary mental element has not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Stuart argued that the College should have dealt with the matter as an issue of competency.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Counsel for Mr. Stuart and counsel for the College, who appeared at the College proceedings (different counsel appeared for the College before me), agreed with the disposition whether the matter were treated as a competency issue, or a conduct issue. Mr. Stuart argues, before me, that the matter should have been treated as a competency issue and the disposition should be the same. The disposition was an indefinite suspension on the following conditions: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professional misconduct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Stuart will continue to receive and cooperate in receiving counselling and medical treatment from Dr. Mallavarapu, or from any other appropriate psychiatrist.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Stuart will not attend Princess Margaret Secondary School at 12870 72nd Avenue, Surrey, B.C. unless with prior written permission from the principal of the school.</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Stuart will not initiate contact, directly or indirectly, with the administrators or teachers at the school, including any administrators or teachers at the school who have since left Princess Margaret Secondary School.</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indefinite suspension will end when Mr. Stuart has provided to the College a psychiatric assessment acceptable to the Chair of the Discipline Committee from a psychiatrist approved by the Chair of the Discipline Committee, which includes an opinion that Mr. Stuart is fit to return to the teaching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For conduct unbecoming, conditions a. and d. above, were imposed, and in addition, a condition "that Mr. Stuart have no contact, directly or indirectly," with the former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MEDICAL EVIDENCE AND FINDINGS OF THE PROVINCIAL COURT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Stuart's psychiatrist provided a medical legal report that confirms Mr. Stuart was experiencing serious side effects to his medication, and that it was changed in February 2002. The medical report confirms, that despite the change in medication, Mr. Stuart continued to feel angry, irritable, grandiose and impulsive.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Stuart saw his psychiatrist on June 20, 2002, after the incident at the school and his arrest. He was described as alert and responsive, but also angry, irritable and agitated. He had flight of ideas and his concentration was not good. He was not sleeping well, but appeared to have coped with the stress reasonably well so far. I assume this means the stress of the confrontation and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doctor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acute stress and transition from one group of medications to another could have contributed to recurrence and acute exacerbation of his bipolar disorder type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provincial court judge stated in his reasons for sentence on April 10, 2003: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am satisfied in the circumstances that the primary cause of that disturbance was a medical condition,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also take as a mitigating factor that it is quite clear that this is a medical condition that is in a very real sense beyond your control in the sense that it is not something you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DECISION BY THE SUB-COMMITTEE AND COMMENTS ON THE MENTAL ELEMENT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decision on the incident at the school reviews the agreed statement of facts, and mentions the medical legal opinion. It also indicates that Mr. Stuart had one bottle of beer on the day of the incident at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Under the heading "Submissions and Analysis", the committee reviews the submissions of counsel. Counsel for the College at the hearing, referred to The Regulation of Professions in Canada (2002) at 13-1 defining professional misconduct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conduct which may be deserving of sanction while a teacher is actually engaged in the practice of his profession, and conduct unbecoming relating to conduct outside the course of the practice of his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have not been provided with this document, nor have counsel addressed its application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committee seems to have accepted this, but then decided that this conduct was professional misconduct because it took place at the school where Mr. Stuart formerly taught. They considered this, even though he was on leave at the time, and not engaged in the practice of his profession. This was not argued on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committee referred to the position of college council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reasons for the conduct, which in this case included the Respondent's mental illness, were not relevant to a determination of either professional misconduct or conduct unbecoming and that the conduct itself was the only factor for the Panel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proposition of Mr. Stuart's counsel was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panel must consider the underlying medical reasons for his client's behaviour.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the conduct must be reprehensible to meet the test of professional misconduct, and that the term reprehensible suggests culpable mental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panel mentioned the references to the human rights legislation and the Charter of Rights and Freedoms, but no authorities were cited.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panel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considering the impact of the Respondent's illness in its determination, the Panel concluded that the serious nature of the conduct of the Respondent was sufficient to constitute professional misconduct in and of itself. Whatever the cause of the behaviour, it was dangerous, offensive, intimidating and odious toward staff, students, parents and police and it fell far below the standards of behaviour expected of a member of the teaching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other words, the mental element, that is, the cause of the behaviour, was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panel decision on the February incident, the telephone call, also states the position of the College Council, and refers to the Regulation of Professions in Canada. Counsel argued that it should be characterized as conduct unbecoming. College counsel argued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Respondent's mental illness, which may have been responsible for the conduct, is not a defence and the conduct itself is the only factor for the Panel to consider. Counsel emphasized the public interest and the inappropriate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Counsel for Mr. Stuart argued that the underlying reasons should also be considered, not just the conduct itself. He argued that but for the mental illness, it would not have occurred, and that Mr. Stuart did not have a mind with intent or wrongful motivation. He also argued that to punish someone with a mental illness would be a violation of s. 13 of the Human Rights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panel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considering the impact of the respondent's illness in its determination, the Panel concluded that the serious nature of the respondent's conduct unbecoming for counts 2.b and 2.c of the amended Citation Schedule. Whatever the cause of the behaviour, it fell below the standards of that expected of a member of the teaching profession. Regardless of Mr. Stuart's mental disability that may have been a factor in his conduct, the Panel believes that the public interest and safety of students must be given paramount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other words, the cause of the behaviour, including the mental state of Mr. Stuart are irrelevant. It is not clear how punishing behaviour which is involuntary, or which lacks moral turpitude advances the public interest or the safety of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PARTIES APPROACH THE ISSUES FROM DIFFERENT ANGLES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Stuart says the issues are whether:</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erred in interpreting professional misconduct as an "absolute liability offence" under the Teaching Profession Act, [R.S.B.C. 1996] c. 449 ("TPA");</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erred in interpreting the TPA in a manner inconsistent with the Human Rights Code;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erred in interpreting the TPA in a manner inconsistent with the Charter of Rights and Freedoms;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erred in interpreting the TPA in a manner inconsistent with common law principles of fundamental justice;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erred in failing to treat mental disability as an issue of competence, rather than professional misconduct under the TPA.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College says the issues are: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standard of review applicable to the College's decisions?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appellant established that his admitted conduct was beyond his control?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appellant established discrimination within the meaning of the Charter or the Human Rights Code?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applicability does the Labour Relations Code have to proceedings under the TPA?</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College required to advance a claim of incompetence against 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issues, as stated, are similar or overlapped to a large extent. The question of whether the College erred in interpreting the TPA requires a consideration of the standard of review that is applicable in this appeal. The standard of review depends to some extent on the nature of the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find the issues to be decided are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standard of review to be applied to this appeal?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decision of the College reviewable based on the standard determined?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should I decide the matter, or remit it to the College? Counsel suggested that I should simply make the decision, rather than referring the matter back to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B.C. Supreme Court in the decision Kempling v. British Columbia College of Teachers, </w:t>
      </w:r>
      <w:hyperlink r:id="rId356" w:history="1">
        <w:r>
          <w:rPr>
            <w:rFonts w:ascii="arial" w:eastAsia="arial" w:hAnsi="arial" w:cs="arial"/>
            <w:i/>
            <w:color w:val="0077CC"/>
            <w:sz w:val="20"/>
            <w:u w:val="single"/>
            <w:shd w:val="clear" w:color="auto" w:fill="FFFFFF"/>
            <w:lang w:val="en-US" w:eastAsia="en-US" w:bidi="ar-SA"/>
          </w:rPr>
          <w:t>[2004] B.C.J. No. 173</w:t>
        </w:r>
      </w:hyperlink>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2004 BCSC 133</w:t>
        </w:r>
      </w:hyperlink>
      <w:r>
        <w:rPr>
          <w:rFonts w:ascii="arial" w:eastAsia="arial" w:hAnsi="arial" w:cs="arial"/>
          <w:color w:val="000000"/>
          <w:sz w:val="20"/>
          <w:lang w:val="en-US" w:eastAsia="en-US" w:bidi="ar-SA"/>
        </w:rPr>
        <w:t>, dealt with the issue of standard of review in a case where the College has made findings of professional misconduct, or conduct unbecoming a member of the College. In Kempling,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25 The Supreme Court of Canada's pragmatic and functional approach in Pushpanathan v. Canada (Minister of Citizenship and Immigration), </w:t>
      </w:r>
      <w:hyperlink r:id="rId204" w:history="1">
        <w:r>
          <w:rPr>
            <w:rFonts w:ascii="arial" w:eastAsia="arial" w:hAnsi="arial" w:cs="arial"/>
            <w:i/>
            <w:color w:val="0077CC"/>
            <w:sz w:val="20"/>
            <w:u w:val="single"/>
            <w:shd w:val="clear" w:color="auto" w:fill="FFFFFF"/>
            <w:lang w:val="en-US" w:eastAsia="en-US" w:bidi="ar-SA"/>
          </w:rPr>
          <w:t>[1998] 1 S.C.R. 982</w:t>
        </w:r>
      </w:hyperlink>
      <w:r>
        <w:rPr>
          <w:rFonts w:ascii="arial" w:eastAsia="arial" w:hAnsi="arial" w:cs="arial"/>
          <w:color w:val="000000"/>
          <w:sz w:val="20"/>
          <w:lang w:val="en-US" w:eastAsia="en-US" w:bidi="ar-SA"/>
        </w:rPr>
        <w:t xml:space="preserve">, for determining appropriate standards of judicial review was affirmed in the recent case of Dr. Q v. College of Physicians and Surgeons of British Columbia, </w:t>
      </w:r>
      <w:hyperlink r:id="rId203" w:history="1">
        <w:r>
          <w:rPr>
            <w:rFonts w:ascii="arial" w:eastAsia="arial" w:hAnsi="arial" w:cs="arial"/>
            <w:i/>
            <w:color w:val="0077CC"/>
            <w:sz w:val="20"/>
            <w:u w:val="single"/>
            <w:shd w:val="clear" w:color="auto" w:fill="FFFFFF"/>
            <w:lang w:val="en-US" w:eastAsia="en-US" w:bidi="ar-SA"/>
          </w:rPr>
          <w:t>[2003] 1 S.C.R. 226</w:t>
        </w:r>
      </w:hyperlink>
      <w:r>
        <w:rPr>
          <w:rFonts w:ascii="arial" w:eastAsia="arial" w:hAnsi="arial" w:cs="arial"/>
          <w:color w:val="000000"/>
          <w:sz w:val="20"/>
          <w:lang w:val="en-US" w:eastAsia="en-US" w:bidi="ar-SA"/>
        </w:rPr>
        <w:t xml:space="preserve"> ["Dr. Q"]. The pragmatic and functional approach factors are fourfold:</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or absence of a privative clause, or a statutory right of appeal;</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expertise of the administrative decision-maker vis-à-vis the court's, with regard to the specific issue in question</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statute as a whole and of the provision in particular; and</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problem, i.e. whether it is a question of fact, law, or mixed fact and law</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Determination of Conduct Unbecoming a BCCT Member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Standard of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26 Applying the pragmatic and functional approach to the Hearing Panel's finding of conduct unbecoming a BCCT member, the first factor militates against deference towards the Panel. There is no privative clause, and there is a broad statutory right of appeal to this Court under s. 40 of the Teaching Profession Act, </w:t>
      </w:r>
      <w:hyperlink r:id="rId357" w:history="1">
        <w:r>
          <w:rPr>
            <w:rFonts w:ascii="arial" w:eastAsia="arial" w:hAnsi="arial" w:cs="arial"/>
            <w:i/>
            <w:color w:val="0077CC"/>
            <w:sz w:val="20"/>
            <w:u w:val="single"/>
            <w:shd w:val="clear" w:color="auto" w:fill="FFFFFF"/>
            <w:lang w:val="en-US" w:eastAsia="en-US" w:bidi="ar-SA"/>
          </w:rPr>
          <w:t>R.S.B.C. 1996, c. 449</w:t>
        </w:r>
      </w:hyperlink>
      <w:r>
        <w:rPr>
          <w:rFonts w:ascii="arial" w:eastAsia="arial" w:hAnsi="arial" w:cs="arial"/>
          <w:color w:val="000000"/>
          <w:sz w:val="20"/>
          <w:lang w:val="en-US" w:eastAsia="en-US" w:bidi="ar-SA"/>
        </w:rPr>
        <w:t xml:space="preserve"> ["the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Appeals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member may appeal to the Supreme Court any decision, determination or order of the qualifications committee, discipline committee, a subcommittee of either, or the council that affects the member, and from a decision, determination or order of the Supreme Court, may appeal to the Court of Appeal with leave of a justice of that court.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27 The determination of conduct unbecoming a BCCT member is a decision involving the setting and enforcement of standards of professional responsibility for the teaching profession. This is clearly an area in which the Panel has specialized and greater expertise than the Court; thus the second pragmatic and functional factor militates in favour of greater deference to the Panel's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28 With regard to the third factor, the purpose of the statute as a whole and the provision in particular, the relevant parts of the Act are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Object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the object of the College [i.e. the BCCT] to establish, having regard to the public interest, standards for the education, professional responsibility and competence of its members, persons who hold certificates of qualification and applicants for membership and, consistent with that object, to encourage the professional interest of its members in those matters.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Discipline committee and inquiry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College receives</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a member, a report from a board under section 16 or 166.28 of the School Act,</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a member or other person, a report from an authority under section 7 of the Independent School Act,</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complaint in writing signed by 5 members about the conduct of a member, or</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report from the registrar relating to the conduct of a member,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council or discipline committee may, after considering the report or complaint, make or cause to be made a preliminary investigation into the conduct or competence of the member in respect of whom the report or complaint is made.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Citation</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inquiry under section 28 or 29 must be commenced by a citation issued at the direction of any 3 elected council members or the chair of the discipline committee, and for the purposes of the inquiry the council or the discipline committee must hold a hearing.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Action after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council or the discipline committee, if authorized by the bylaws under section 23, may after a hearing, and for the purpose of determining whether to take action in respect of the member under section 35,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citation</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whether a member has been guilty of professional misconduct or other conduct unbecoming of a member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29 The purpose of the Act as a whole, as stated in s. 4, is that the respondent is to set and enforce its own standards of training, professional conduct, and competence for the teaching profession in British Columbia, having regard to protecting and upholding the public interest. Sections 28, 30, and 34 specifically deal with making individual determinations of whether a particular BCCT member's conduct meets those standards. The remarks of the Supreme Court of Canada in Dr. Q, supra at [paragraph] 37 are apposite here: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the one hand, the legislature's intent for the legislation as a whole was to assign to the College the role of balancing competing interests and multiple policy objectives, like the protection of the public, education and qualification of members, the setting of standards of ethics and practice ... This purpose suggests considerable deference. However, the discrete issue of adjudicating a claim of professional misconduct -- the particular issue that the statute puts before the Committee -- is quasi-judicial in nature, and therefore militates against deference. In the result, the purpose analysis counsels neither for great deference, nor for exacting scrutiny.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30 Finally, with regard to the fourth factor, the appellant suggests that the questions before the Hearing Panel at that stage of the proceedings (i.e. whether the appellant made discriminatory and derogatory statements against homosexuals and whether, in the context and capacity that he made them, that amounts to conduct unbecoming a BCCT member) were purely questions of law. However, it is appropriate instead to characterize the former as a question of fact, and the latter as a question of mixed law and fact, specifically a "fact-intensive" question to use the terminology of Dr. Q (at [paragraph] 34), warranting more deference.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31 As both the appellant and the respondent pointed out correctly, the Act does not define "conduct unbecoming a member". Conduct by a member that may be acceptable in one set of circumstances or done in one capacity may not be acceptable in another -- this determination would necessarily be fact-driven, and depend considerably on a recognition of the public interest and on the teaching profession's specialized expertise and understanding of the role of a teacher. The fourth factor thus calls for considerable deference in this case. Balancing the four factors of the pragmatic and functional approach, the appropriate standard of review for the determination of conduct unbecoming a member is, absent Charter issues, reasonableness simpliciter.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standard of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32 On applying the reasonableness standard of review, the Supreme Court of Canada in Law Society of New Brunswick v. Ryan </w:t>
      </w:r>
      <w:hyperlink r:id="rId358" w:history="1">
        <w:r>
          <w:rPr>
            <w:rFonts w:ascii="arial" w:eastAsia="arial" w:hAnsi="arial" w:cs="arial"/>
            <w:i/>
            <w:color w:val="0077CC"/>
            <w:sz w:val="20"/>
            <w:u w:val="single"/>
            <w:shd w:val="clear" w:color="auto" w:fill="FFFFFF"/>
            <w:lang w:val="en-US" w:eastAsia="en-US" w:bidi="ar-SA"/>
          </w:rPr>
          <w:t>(2003), 223 D.L.R. (4th) 577</w:t>
        </w:r>
      </w:hyperlink>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[2003] S.C.J. No. 17</w:t>
        </w:r>
      </w:hyperlink>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2003 SCC 20</w:t>
        </w:r>
      </w:hyperlink>
      <w:r>
        <w:rPr>
          <w:rFonts w:ascii="arial" w:eastAsia="arial" w:hAnsi="arial" w:cs="arial"/>
          <w:color w:val="000000"/>
          <w:sz w:val="20"/>
          <w:lang w:val="en-US" w:eastAsia="en-US" w:bidi="ar-SA"/>
        </w:rPr>
        <w:t xml:space="preserve"> at [paragraphs] 46-47 and 55-56 ["Ryan"]: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Judicial review of administrative action on a standard of reasonableness involves deferential self-discipline. A court will often be forced to accept that a decision is reasonable even if it is unlikely that the court would have reasoned or decided as the tribunal did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standard of reasonableness basically involves asking "after a somewhat probing examination", can the reasons given, when taken as a whole, support the decision? ... it requires that the reviewing court assess whether a decision is basically supported by the reasoning of the tribunal or decision-maker, rather than inviting the court to engage de novo in its own reasoning on the matter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decision will be unreasonable only if there is no line of analysis within the given reasons that could reasonably lead the tribunal from the evidence before it to the conclusion at which it arrived. If any of the reasons that are sufficient to support the conclusion are tenable in the sense that they can stand up to a somewhat probing examination, then the decision will not be unreasonable and a reviewing court must not interfere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does not mean that every element of the reasoning given must independently pass a test for reasonableness. The question is rather whether the reasons, taken as a whole, are tenable as support for the decision. At all times, a court applying a standard of reasonableness must assess the basic adequacy of a reasoned decision remembering that the issue under review does not compel one specific result. Moreover, a reviewing court should not seize on one or more mistakes or elements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33 I find that applying a "somewhat probing examination" leads to the conclusion that the Hearing Panel's finding of conduct unbecoming is reasonable. Although both the appellant and the respondent agreed that the standard of proof to be applied by the Hearing Panel was that of "clear and cogent evidence" enunciated in Jory v. College of Physicians and Surgeons, </w:t>
      </w:r>
      <w:hyperlink r:id="rId360" w:history="1">
        <w:r>
          <w:rPr>
            <w:rFonts w:ascii="arial" w:eastAsia="arial" w:hAnsi="arial" w:cs="arial"/>
            <w:i/>
            <w:color w:val="0077CC"/>
            <w:sz w:val="20"/>
            <w:u w:val="single"/>
            <w:shd w:val="clear" w:color="auto" w:fill="FFFFFF"/>
            <w:lang w:val="en-US" w:eastAsia="en-US" w:bidi="ar-SA"/>
          </w:rPr>
          <w:t>[1985] B.C.J. No. 320</w:t>
        </w:r>
      </w:hyperlink>
      <w:r>
        <w:rPr>
          <w:rFonts w:ascii="arial" w:eastAsia="arial" w:hAnsi="arial" w:cs="arial"/>
          <w:color w:val="000000"/>
          <w:sz w:val="20"/>
          <w:lang w:val="en-US" w:eastAsia="en-US" w:bidi="ar-SA"/>
        </w:rPr>
        <w:t xml:space="preserve"> (S.C.) and affirmed in Dr. Q, supra, at [paragraph] 11, it is not the task of the Court to re-evaluate the evidence according to that standard (Dr. Q, supra, at [paragraph] 19). The Court's task is strictly to scrutinize the decision according the appropriate standard of judicial review. As the standard here is reasonableness, the Court is to look to see whether the Panel's findings and conclusions had some basis in the evidence (Dr. Q, supra, at [paragraph] 41) and whether the reasons as a whole are tenable as support for the decision (Ryan,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Our Court of Appeal commented on the standard of review in the decision The British Columbia College of Teachers v. Mitchell, </w:t>
      </w:r>
      <w:hyperlink r:id="rId361" w:history="1">
        <w:r>
          <w:rPr>
            <w:rFonts w:ascii="arial" w:eastAsia="arial" w:hAnsi="arial" w:cs="arial"/>
            <w:i/>
            <w:color w:val="0077CC"/>
            <w:sz w:val="20"/>
            <w:u w:val="single"/>
            <w:shd w:val="clear" w:color="auto" w:fill="FFFFFF"/>
            <w:lang w:val="en-US" w:eastAsia="en-US" w:bidi="ar-SA"/>
          </w:rPr>
          <w:t>[2005] B.C.J. No. 269</w:t>
        </w:r>
      </w:hyperlink>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2005 BCCA 76</w:t>
        </w:r>
      </w:hyperlink>
      <w:r>
        <w:rPr>
          <w:rFonts w:ascii="arial" w:eastAsia="arial" w:hAnsi="arial" w:cs="arial"/>
          <w:color w:val="000000"/>
          <w:sz w:val="20"/>
          <w:lang w:val="en-US" w:eastAsia="en-US" w:bidi="ar-SA"/>
        </w:rPr>
        <w:t>. The teacher in that case appealed a penalty imposed by the College. The court said at [paragraph]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dispute that reasonableness simpliciter is the appropriate standard of review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agree that the appropriate standard of review for the determination of conduct unbecoming a member is reasonableness simpliciter. However, in this case the College has decided that a person's mental state is irrelevant in determining whether their conduct amounts to professional misconduct, or conduct unbecoming. I find that is a question of law. I find on that question, that the standard of review is correctness. This is similar to the approach taken by the British Columbia Court of Appeal in the decision Hammond v. Law Society of British Columbia, </w:t>
      </w:r>
      <w:hyperlink r:id="rId362" w:history="1">
        <w:r>
          <w:rPr>
            <w:rFonts w:ascii="arial" w:eastAsia="arial" w:hAnsi="arial" w:cs="arial"/>
            <w:i/>
            <w:color w:val="0077CC"/>
            <w:sz w:val="20"/>
            <w:u w:val="single"/>
            <w:shd w:val="clear" w:color="auto" w:fill="FFFFFF"/>
            <w:lang w:val="en-US" w:eastAsia="en-US" w:bidi="ar-SA"/>
          </w:rPr>
          <w:t>[2004] B.C.J. No. 2278</w:t>
        </w:r>
      </w:hyperlink>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2004 BCCA 560</w:t>
        </w:r>
      </w:hyperlink>
      <w:r>
        <w:rPr>
          <w:rFonts w:ascii="arial" w:eastAsia="arial" w:hAnsi="arial" w:cs="arial"/>
          <w:color w:val="000000"/>
          <w:sz w:val="20"/>
          <w:lang w:val="en-US" w:eastAsia="en-US" w:bidi="ar-SA"/>
        </w:rPr>
        <w:t xml:space="preserve">. The court dealt with an appeal from a decision of the Law Society Discipline Committee. The appeal was allowed by the Legal Profession Act, </w:t>
      </w:r>
      <w:r>
        <w:rPr>
          <w:rFonts w:ascii="arial" w:eastAsia="arial" w:hAnsi="arial" w:cs="arial"/>
          <w:i/>
          <w:color w:val="000000"/>
          <w:sz w:val="20"/>
          <w:lang w:val="en-US" w:eastAsia="en-US" w:bidi="ar-SA"/>
        </w:rPr>
        <w:t>S.B.C. 1998, c. 9</w:t>
      </w:r>
      <w:r>
        <w:rPr>
          <w:rFonts w:ascii="arial" w:eastAsia="arial" w:hAnsi="arial" w:cs="arial"/>
          <w:color w:val="000000"/>
          <w:sz w:val="20"/>
          <w:lang w:val="en-US" w:eastAsia="en-US" w:bidi="ar-SA"/>
        </w:rPr>
        <w:t>. The court found that reasonable simpliciter is the test to be applied to findings of professional misconduct in breaches of undertaking. However, on the question of breach of undertaking, which was a question of mixed fact and law, the court found there was a preliminary question. The preliminary question was whether or not a term can be implied in a lawyer's undertaking. The court characterized that as a question of pure law which must be answered correctly. ([paragraph]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that the College's decision that a person's mental capacity is irrelevant to the decision, whether or not their conduct amounts to professional misconduct, is a preliminary question that is a pure question of law. Therefore, the standard of review on that issue is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Stuart argues that a finding of professional misconduct, or conduct unbecoming, requires a finding of moral turpitude. In his argument, he refers to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Lawyers and Ethics Professional Responsibility and Discipline 3rd Edition 201, Gabin MacKenzie at p. 26-22 comments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Traditionally, professional misconduct has been defined as "conduct which would reasonably be regarded as disgraceful or dishonourable by solicitors of good repute and competency". Moral turpitude was an essential component.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authority cited by MacKenzie in the text is Myers v. Elman, [1940] A.C. 282 at 288-289, in which the House of Lords adopted the definition of professional misconduct enunciated by Mr. Justice Darling in Re A solicitor, [1912] 1 K.B. 302,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solicitor may be struck off the rolls or suspended on the ground of "professional misconduct," words which have been properly defined as conduct which would reasonably be regarded as disgraceful or dishonourable by solicitors of good repute and competency ....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even of a serious character, will not suffice.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This test was adopted by the Supreme Court of Canada in Pearlman v. Manitoba Law Society Judicial Committee, </w:t>
      </w:r>
      <w:hyperlink r:id="rId363" w:history="1">
        <w:r>
          <w:rPr>
            <w:rFonts w:ascii="arial" w:eastAsia="arial" w:hAnsi="arial" w:cs="arial"/>
            <w:i/>
            <w:color w:val="0077CC"/>
            <w:sz w:val="20"/>
            <w:u w:val="single"/>
            <w:shd w:val="clear" w:color="auto" w:fill="FFFFFF"/>
            <w:lang w:val="en-US" w:eastAsia="en-US" w:bidi="ar-SA"/>
          </w:rPr>
          <w:t>[1991] 2 S.C.R. 869</w:t>
        </w:r>
      </w:hyperlink>
      <w:r>
        <w:rPr>
          <w:rFonts w:ascii="arial" w:eastAsia="arial" w:hAnsi="arial" w:cs="arial"/>
          <w:color w:val="000000"/>
          <w:sz w:val="20"/>
          <w:lang w:val="en-US" w:eastAsia="en-US" w:bidi="ar-SA"/>
        </w:rPr>
        <w:t xml:space="preserve">. Citing Monnin C.J. in the decision Re Law Society of Manitoba and Savino, </w:t>
      </w:r>
      <w:hyperlink r:id="rId364" w:history="1">
        <w:r>
          <w:rPr>
            <w:rFonts w:ascii="arial" w:eastAsia="arial" w:hAnsi="arial" w:cs="arial"/>
            <w:i/>
            <w:color w:val="0077CC"/>
            <w:sz w:val="20"/>
            <w:u w:val="single"/>
            <w:shd w:val="clear" w:color="auto" w:fill="FFFFFF"/>
            <w:lang w:val="en-US" w:eastAsia="en-US" w:bidi="ar-SA"/>
          </w:rPr>
          <w:t>1 D.L.R. (4th) 285</w:t>
        </w:r>
      </w:hyperlink>
      <w:r>
        <w:rPr>
          <w:rFonts w:ascii="arial" w:eastAsia="arial" w:hAnsi="arial" w:cs="arial"/>
          <w:color w:val="000000"/>
          <w:sz w:val="20"/>
          <w:lang w:val="en-US" w:eastAsia="en-US" w:bidi="ar-SA"/>
        </w:rPr>
        <w:t>, at pp. 292-93, the court said at p. 891: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Professional misconduct is a wide and general term. It is conduct which would be reasonably regarded as disgraceful, dishonourable or unbecoming of a member of the profession by his well respected brethren in the group - persons of integrity and good reputation amongst the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College does not quarrel with the definitions of misconduct that the appellant's have argued. The College agrees that misconduct must be based on actions which would be regarded as disgraceful, dishonourable or unbecoming a member of the profession by that person's fellow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Mr. Stuart argues that the decision of the Supreme Court of Canada R. v. Sault Ste. Marie (City), </w:t>
      </w:r>
      <w:hyperlink r:id="rId197" w:history="1">
        <w:r>
          <w:rPr>
            <w:rFonts w:ascii="arial" w:eastAsia="arial" w:hAnsi="arial" w:cs="arial"/>
            <w:i/>
            <w:color w:val="0077CC"/>
            <w:sz w:val="20"/>
            <w:u w:val="single"/>
            <w:shd w:val="clear" w:color="auto" w:fill="FFFFFF"/>
            <w:lang w:val="en-US" w:eastAsia="en-US" w:bidi="ar-SA"/>
          </w:rPr>
          <w:t>[1978] 2 S.C.R. 1299</w:t>
        </w:r>
      </w:hyperlink>
      <w:r>
        <w:rPr>
          <w:rFonts w:ascii="arial" w:eastAsia="arial" w:hAnsi="arial" w:cs="arial"/>
          <w:color w:val="000000"/>
          <w:sz w:val="20"/>
          <w:lang w:val="en-US" w:eastAsia="en-US" w:bidi="ar-SA"/>
        </w:rPr>
        <w:t xml:space="preserve">, provides useful direction. This approach was taken in the decision Re Ghilzon and Royal College of Dental Surgeons of Ontario </w:t>
      </w:r>
      <w:hyperlink r:id="rId365" w:history="1">
        <w:r>
          <w:rPr>
            <w:rFonts w:ascii="arial" w:eastAsia="arial" w:hAnsi="arial" w:cs="arial"/>
            <w:i/>
            <w:color w:val="0077CC"/>
            <w:sz w:val="20"/>
            <w:u w:val="single"/>
            <w:shd w:val="clear" w:color="auto" w:fill="FFFFFF"/>
            <w:lang w:val="en-US" w:eastAsia="en-US" w:bidi="ar-SA"/>
          </w:rPr>
          <w:t>(1979), 22 O.R. (2d) 756</w:t>
        </w:r>
      </w:hyperlink>
      <w:r>
        <w:rPr>
          <w:rFonts w:ascii="arial" w:eastAsia="arial" w:hAnsi="arial" w:cs="arial"/>
          <w:color w:val="000000"/>
          <w:sz w:val="20"/>
          <w:lang w:val="en-US" w:eastAsia="en-US" w:bidi="ar-SA"/>
        </w:rPr>
        <w:t xml:space="preserve"> (H.C.). This was an appeal from the decision of the Discipline Committee of the Royal College of Dental Surgeons. The decision dealt with a finding of professional misconduct. The three-judge court referred to the Supreme Court of Canada decision R. v. Sault Ste. Marie (City) at pp. 1325 - 1326, where the court described three categories of offences:</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Offences in which mens rea, consisting of some positive state of mind such as intent, knowledge, or recklessness, must be proved by the prosecution either as an inference from the nature of the act committed, or by additional evidence.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Offences in which there is no necessity for the prosecution to prove the existence of mens rea; the doing of the prohibited act prima facie imports the offence, leaving it open to the accused to avoid liability by proving that he took all reasonable care. This involves consideration of what a reasonable man would have done in the circumstances. The defence will be available if the accused reasonably believed in a mistaken set of facts which, if true, would render the act or omission innocent, or if he took all reasonable steps to avoid the particular event. These offences may properly be called offences of strict liability. Mr. Justice Estey so referred to them in Hickey's case. [R. v. Hickey </w:t>
      </w:r>
      <w:hyperlink r:id="rId366" w:history="1">
        <w:r>
          <w:rPr>
            <w:rFonts w:ascii="arial" w:eastAsia="arial" w:hAnsi="arial" w:cs="arial"/>
            <w:i/>
            <w:color w:val="0077CC"/>
            <w:sz w:val="20"/>
            <w:u w:val="single"/>
            <w:shd w:val="clear" w:color="auto" w:fill="FFFFFF"/>
            <w:lang w:val="en-US" w:eastAsia="en-US" w:bidi="ar-SA"/>
          </w:rPr>
          <w:t>(1976) 12 O.R. (2d) 578</w:t>
        </w:r>
      </w:hyperlink>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68 D.L.R. (3d) 88</w:t>
        </w:r>
      </w:hyperlink>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29 C.C.C. (2d) 23</w:t>
        </w:r>
      </w:hyperlink>
      <w:r>
        <w:rPr>
          <w:rFonts w:ascii="arial" w:eastAsia="arial" w:hAnsi="arial" w:cs="arial"/>
          <w:color w:val="000000"/>
          <w:sz w:val="20"/>
          <w:lang w:val="en-US" w:eastAsia="en-US" w:bidi="ar-SA"/>
        </w:rPr>
        <w:t xml:space="preserve">; R.E.V.D. </w:t>
      </w:r>
      <w:hyperlink r:id="rId367" w:history="1">
        <w:r>
          <w:rPr>
            <w:rFonts w:ascii="arial" w:eastAsia="arial" w:hAnsi="arial" w:cs="arial"/>
            <w:i/>
            <w:color w:val="0077CC"/>
            <w:sz w:val="20"/>
            <w:u w:val="single"/>
            <w:shd w:val="clear" w:color="auto" w:fill="FFFFFF"/>
            <w:lang w:val="en-US" w:eastAsia="en-US" w:bidi="ar-SA"/>
          </w:rPr>
          <w:t>13 O.R. (2d) 228</w:t>
        </w:r>
      </w:hyperlink>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70 D.L.R. (3d) 689</w:t>
        </w:r>
      </w:hyperlink>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30 C.C.C. (2d) 416</w:t>
        </w:r>
      </w:hyperlink>
      <w:r>
        <w:rPr>
          <w:rFonts w:ascii="arial" w:eastAsia="arial" w:hAnsi="arial" w:cs="arial"/>
          <w:color w:val="000000"/>
          <w:sz w:val="20"/>
          <w:lang w:val="en-US" w:eastAsia="en-US" w:bidi="ar-SA"/>
        </w:rPr>
        <w: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Offences of absolute liability where it is not open to the accused to exculpate himself by showing that he was free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Offences which are criminal in the true sense fall in the first category. Public welfare offences would prima facie be in the second category. They are not subject to the presumption of full mens rea. An offence of this type would fall in the first category only if such words as "wilfully," "with intent," "knowingly," or "intentionally" are contained in the statutory provision creating the offence. On the other hand, the principle that punishment should in general not be inflicted on those without fault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Ontario High Court in Re Ghilzon went on to find the offence of professional misconduct under the Dental Surgeons Act was one of strict liability being in the second category. The court found the onus was then on the doctor to avoid liability by proving that he took all reasonable care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same approach was taken by the New Brunswick Court of Queen's Bench Re Mann and New Brunswick Pharmaceutical Society, </w:t>
      </w:r>
      <w:hyperlink r:id="rId368" w:history="1">
        <w:r>
          <w:rPr>
            <w:rFonts w:ascii="arial" w:eastAsia="arial" w:hAnsi="arial" w:cs="arial"/>
            <w:i/>
            <w:color w:val="0077CC"/>
            <w:sz w:val="20"/>
            <w:u w:val="single"/>
            <w:shd w:val="clear" w:color="auto" w:fill="FFFFFF"/>
            <w:lang w:val="en-US" w:eastAsia="en-US" w:bidi="ar-SA"/>
          </w:rPr>
          <w:t>35 D.L.R. (4th) 426</w:t>
        </w:r>
      </w:hyperlink>
      <w:r>
        <w:rPr>
          <w:rFonts w:ascii="arial" w:eastAsia="arial" w:hAnsi="arial" w:cs="arial"/>
          <w:color w:val="000000"/>
          <w:sz w:val="20"/>
          <w:lang w:val="en-US" w:eastAsia="en-US" w:bidi="ar-SA"/>
        </w:rPr>
        <w:t>, where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the offence of professional misconduct in failing to maintain the professional standard set out in s. 13.12 of the regulations, in the circumstances of this case, must be classified as a public welfare or strict liability offence with respect to which an accused person may rely on a defence of due diligence or reasonable care: R. v. City of Sault Ste. Marie </w:t>
      </w:r>
      <w:hyperlink r:id="rId197" w:history="1">
        <w:r>
          <w:rPr>
            <w:rFonts w:ascii="arial" w:eastAsia="arial" w:hAnsi="arial" w:cs="arial"/>
            <w:i/>
            <w:color w:val="0077CC"/>
            <w:sz w:val="20"/>
            <w:u w:val="single"/>
            <w:shd w:val="clear" w:color="auto" w:fill="FFFFFF"/>
            <w:lang w:val="en-US" w:eastAsia="en-US" w:bidi="ar-SA"/>
          </w:rPr>
          <w:t>(1978), 85 D.L.R. (3d) 161</w:t>
        </w:r>
      </w:hyperlink>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40 C.C.C. (2d) 353</w:t>
        </w:r>
      </w:hyperlink>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[1978] 2 S.C.R. 1299</w:t>
        </w:r>
      </w:hyperlink>
      <w:r>
        <w:rPr>
          <w:rFonts w:ascii="arial" w:eastAsia="arial" w:hAnsi="arial" w:cs="arial"/>
          <w:color w:val="000000"/>
          <w:sz w:val="20"/>
          <w:lang w:val="en-US" w:eastAsia="en-US" w:bidi="ar-SA"/>
        </w:rPr>
        <w:t>. Two passages from the judgment delivered for the court by Dickson J. are particularly apt in the present case. I quote from pp. 1322 and 1331 of the report [pp. 179 and 185 D.L.R.]: [page 429] The element of control, particularly by those in charge of business activities which may endanger the public, is vital to promote the observance of regulations designed to avoid that danger. This control may be exercised by "supervision or inspection, by improvement of his business methods or by exhorting those whom he may be expected to influence or control": Lord Evershed in Lim Chin Aik v. The Queen, [1963] A.C. 160 at p. 174. The purpose, Dean Roscoe Pound has said (Spirit of the Common Law (1906)), is to "put pressure upon the thoughtless and inefficient to do their whole duty in the interest public health or safety or morale". As Devlin J., noted in Reynolds v. G.H. Austin &amp; Sons Ltd., [1951] 2 K.B. 135 at p. 149: "a man may be made responsible for the acts of his servants, or even for defects in his business arrangements, because it can fairly be said that by such sanctions citizens are induced to keep themselves and their organizations up to the mark". Devlin J., added, however: "if a man is punished because of an act done by another, whom he cannot reasonably be expected to influence or control, the law is engaged, not in punishing thoughtlessness or inefficiency, and thereby promoting the welfare of the community, but in pouncing on the most convenient victim".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Mr. Stuart also referred to the decision Hanson v. College of Teachers, </w:t>
      </w:r>
      <w:hyperlink r:id="rId369" w:history="1">
        <w:r>
          <w:rPr>
            <w:rFonts w:ascii="arial" w:eastAsia="arial" w:hAnsi="arial" w:cs="arial"/>
            <w:i/>
            <w:color w:val="0077CC"/>
            <w:sz w:val="20"/>
            <w:u w:val="single"/>
            <w:shd w:val="clear" w:color="auto" w:fill="FFFFFF"/>
            <w:lang w:val="en-US" w:eastAsia="en-US" w:bidi="ar-SA"/>
          </w:rPr>
          <w:t>[1993] B.C.J. No. 2890</w:t>
        </w:r>
      </w:hyperlink>
      <w:r>
        <w:rPr>
          <w:rFonts w:ascii="arial" w:eastAsia="arial" w:hAnsi="arial" w:cs="arial"/>
          <w:color w:val="000000"/>
          <w:sz w:val="20"/>
          <w:lang w:val="en-US" w:eastAsia="en-US" w:bidi="ar-SA"/>
        </w:rPr>
        <w:t xml:space="preserve"> (C.A.). In the Hanson case, supra, the teacher had been cited for deliberately and inappropriately touching three students. The defence was one of accident. The court said that the finding of deliberate and improper touching was based on a finding of state of mind, and that the bare facts of the incidents were equally consistent with a guilty or an innocent mind. ([paragraph]25).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Stuart also argues that there is a generally held revulsion against punishment of the morally innocent. (R. v. Sault Ste. Marie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context of labour relations, there are a number of cases where it has been found to be inappropriate to discipline or dismiss somebody, except for reasonable cause, and that a medical condition may lead to a finding that the conduct in question was non-culpable and, therefore, should not be punished. The cases included: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 British Columbia,  </w:t>
      </w:r>
      <w:hyperlink r:id="rId370" w:history="1">
        <w:r>
          <w:rPr>
            <w:rFonts w:ascii="arial" w:eastAsia="arial" w:hAnsi="arial" w:cs="arial"/>
            <w:i/>
            <w:color w:val="0077CC"/>
            <w:sz w:val="20"/>
            <w:u w:val="single"/>
            <w:shd w:val="clear" w:color="auto" w:fill="FFFFFF"/>
            <w:lang w:val="en-US" w:eastAsia="en-US" w:bidi="ar-SA"/>
          </w:rPr>
          <w:t>[2002] B.C.L.R.B.D. No. 210</w:t>
        </w:r>
      </w:hyperlink>
      <w:r>
        <w:rPr>
          <w:rFonts w:ascii="arial" w:eastAsia="arial" w:hAnsi="arial" w:cs="arial"/>
          <w:color w:val="000000"/>
          <w:sz w:val="20"/>
          <w:lang w:val="en-US" w:eastAsia="en-US" w:bidi="ar-SA"/>
        </w:rPr>
        <w:t xml:space="preserve"> said: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[paragraph] 40 "... employers may not punish employees for non-culpable conduct.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It is obviously unfair to punish someone for conduct which is beyond his control and thus not his fault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 Fraser Lake Sawmills Ltd., </w:t>
      </w:r>
      <w:hyperlink r:id="rId371" w:history="1">
        <w:r>
          <w:rPr>
            <w:rFonts w:ascii="arial" w:eastAsia="arial" w:hAnsi="arial" w:cs="arial"/>
            <w:i/>
            <w:color w:val="0077CC"/>
            <w:sz w:val="20"/>
            <w:u w:val="single"/>
            <w:shd w:val="clear" w:color="auto" w:fill="FFFFFF"/>
            <w:lang w:val="en-US" w:eastAsia="en-US" w:bidi="ar-SA"/>
          </w:rPr>
          <w:t>[2002] B.C.L.R.B.D. No. 390</w:t>
        </w:r>
      </w:hyperlink>
      <w:r>
        <w:rPr>
          <w:rFonts w:ascii="arial" w:eastAsia="arial" w:hAnsi="arial" w:cs="arial"/>
          <w:color w:val="000000"/>
          <w:sz w:val="20"/>
          <w:lang w:val="en-US" w:eastAsia="en-US" w:bidi="ar-SA"/>
        </w:rPr>
        <w:t xml:space="preserv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[paragraph] 37 A basic premise of the culpable, non-culpable paradigm is that discipline has no place where there is no blameworthy conduct. The object of discipline is to bring inadequacies in work performance or conduct to an employee's attention so as to correct or prevent its recurrence. That object cannot be achieved, nor is it consistent with basic notions of justice, for discipline to be imposed when the conduct at issue is beyond or outside the control of the employee.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 Lear Seating Canada Ltd. and C.A.W. Loc. 1524 </w:t>
      </w:r>
      <w:hyperlink r:id="rId372" w:history="1">
        <w:r>
          <w:rPr>
            <w:rFonts w:ascii="arial" w:eastAsia="arial" w:hAnsi="arial" w:cs="arial"/>
            <w:i/>
            <w:color w:val="0077CC"/>
            <w:sz w:val="20"/>
            <w:u w:val="single"/>
            <w:shd w:val="clear" w:color="auto" w:fill="FFFFFF"/>
            <w:lang w:val="en-US" w:eastAsia="en-US" w:bidi="ar-SA"/>
          </w:rPr>
          <w:t>(1993), 31 L.A.C. (4th) 311</w:t>
        </w:r>
      </w:hyperlink>
      <w:r>
        <w:rPr>
          <w:rFonts w:ascii="arial" w:eastAsia="arial" w:hAnsi="arial" w:cs="arial"/>
          <w:color w:val="000000"/>
          <w:sz w:val="20"/>
          <w:lang w:val="en-US" w:eastAsia="en-US" w:bidi="ar-SA"/>
        </w:rPr>
        <w:t xml:space="preserve"> at 316 (Ontario). In this case, the arbitrator was dealing with an employee who had been fired for assaulting his supervisor. The employee in this case was suffering from bipolar effective disorder. The arbitrator found that a person's medical condition may be an explanation for an unprovoked assault, as occurred in this case, but that there must be compelling evidence to support that claim by the employee that there was a substantial onus on the union to establish that the assault resulted from a medical condition. The medical evidence in this case was that the assault resulted from the illness. The test applied was the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College correctly argues that the labour relations decisions are of limited assistance because of the different purposes between the labour relations legislation, and something like the TPA.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Clearly, one of the purposes of the TPA is the protection of the public interest. See: Stolen v. B.C. College of Teachers </w:t>
      </w:r>
      <w:hyperlink r:id="rId373" w:history="1">
        <w:r>
          <w:rPr>
            <w:rFonts w:ascii="arial" w:eastAsia="arial" w:hAnsi="arial" w:cs="arial"/>
            <w:i/>
            <w:color w:val="0077CC"/>
            <w:sz w:val="20"/>
            <w:u w:val="single"/>
            <w:shd w:val="clear" w:color="auto" w:fill="FFFFFF"/>
            <w:lang w:val="en-US" w:eastAsia="en-US" w:bidi="ar-SA"/>
          </w:rPr>
          <w:t>(1995), 128 D.L.R. (4th) 453</w:t>
        </w:r>
      </w:hyperlink>
      <w:r>
        <w:rPr>
          <w:rFonts w:ascii="arial" w:eastAsia="arial" w:hAnsi="arial" w:cs="arial"/>
          <w:color w:val="000000"/>
          <w:sz w:val="20"/>
          <w:lang w:val="en-US" w:eastAsia="en-US" w:bidi="ar-SA"/>
        </w:rPr>
        <w:t xml:space="preserve"> (B.C.C.A.) at [paragraph]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public interest underlies the mandate of the College to establish standard for the education, professional responsibility and competence of its members. This is hardly surprising given the fact that the public entrusts its children to members of the teaching profession from an early age and, in essence, leaves it to those professionals to shape their children's minds and, to some extent, their morals.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See also: Pearlman, supra, at [paragraph]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regulation of professional practice through the creation and the operation of a licensing system, then, if a matter of public policy: it emanates from the legislature; it involves the creation of valuable rights; and it is directed towards the protection of vulnerable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Supreme Court of Canada has recognized the importance of the public interest in legislation affecting School Boards. See those cases summarized in Young v. British Columbia of College of Teachers, </w:t>
      </w:r>
      <w:hyperlink r:id="rId374" w:history="1">
        <w:r>
          <w:rPr>
            <w:rFonts w:ascii="arial" w:eastAsia="arial" w:hAnsi="arial" w:cs="arial"/>
            <w:i/>
            <w:color w:val="0077CC"/>
            <w:sz w:val="20"/>
            <w:u w:val="single"/>
            <w:shd w:val="clear" w:color="auto" w:fill="FFFFFF"/>
            <w:lang w:val="en-US" w:eastAsia="en-US" w:bidi="ar-SA"/>
          </w:rPr>
          <w:t>[2001] B.C.J. No. 405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Some of the important factors in industrial relations policies include resolution of disputes and management of peace in labour relations. A Labour Relations Code may establish what the principles are, rather than balancing public interest against the principles in the Code. (Re Fraser Lake Sawmills Ltd., supra at [paragraph]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This is also made clear in the decision Fox v. British Columbia College of Teachers, </w:t>
      </w:r>
      <w:hyperlink r:id="rId375" w:history="1">
        <w:r>
          <w:rPr>
            <w:rFonts w:ascii="arial" w:eastAsia="arial" w:hAnsi="arial" w:cs="arial"/>
            <w:i/>
            <w:color w:val="0077CC"/>
            <w:sz w:val="20"/>
            <w:u w:val="single"/>
            <w:shd w:val="clear" w:color="auto" w:fill="FFFFFF"/>
            <w:lang w:val="en-US" w:eastAsia="en-US" w:bidi="ar-SA"/>
          </w:rPr>
          <w:t>[2004] B.C.J. No. 2322</w:t>
        </w:r>
      </w:hyperlink>
      <w:r>
        <w:rPr>
          <w:rFonts w:ascii="arial" w:eastAsia="arial" w:hAnsi="arial" w:cs="arial"/>
          <w:color w:val="000000"/>
          <w:sz w:val="20"/>
          <w:lang w:val="en-US" w:eastAsia="en-US" w:bidi="ar-SA"/>
        </w:rPr>
        <w:t xml:space="preserve"> at [paragraph]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considerations which govern the outcome of labour arbitrations and grievances are not identical to the concerns of a body like the College of Teachers, which must consider the broader public interest on a province-wide basis: see Young v. British College of Teachers, </w:t>
      </w:r>
      <w:hyperlink r:id="rId374" w:history="1">
        <w:r>
          <w:rPr>
            <w:rFonts w:ascii="arial" w:eastAsia="arial" w:hAnsi="arial" w:cs="arial"/>
            <w:i/>
            <w:color w:val="0077CC"/>
            <w:sz w:val="20"/>
            <w:u w:val="single"/>
            <w:shd w:val="clear" w:color="auto" w:fill="FFFFFF"/>
            <w:lang w:val="en-US" w:eastAsia="en-US" w:bidi="ar-SA"/>
          </w:rPr>
          <w:t>[2001] B.C.J. No. 405</w:t>
        </w:r>
      </w:hyperlink>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2001 BCCA 164</w:t>
        </w:r>
      </w:hyperlink>
      <w:r>
        <w:rPr>
          <w:rFonts w:ascii="arial" w:eastAsia="arial" w:hAnsi="arial" w:cs="arial"/>
          <w:color w:val="000000"/>
          <w:sz w:val="20"/>
          <w:lang w:val="en-US" w:eastAsia="en-US" w:bidi="ar-SA"/>
        </w:rPr>
        <w:t xml:space="preserve"> at paras. 44 to 64. Given the important difference of focus for the grievance procedure between the teacher as employee and school board as employer on the one hand, and the disciplinary investigation process of the College of Teachers on the other, I conclude that the legislature had no intention of making the outcome of a grievance binding upon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However, treating professional misconduct, or conduct unbecoming, under the TPA, as an offence similar to an absolute liability offence, would do nothing to promote the objects of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find that it is appropriate to treat issues of professional misconduct, and conduct unbecoming, under the TPA, as similar to strict liability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AND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standard of proof in the professional misconduct setting is that established by British Columbia Court of Appeal in Jory v. The College of Physicians and Surgeons of British Columbia, </w:t>
      </w:r>
      <w:hyperlink r:id="rId360" w:history="1">
        <w:r>
          <w:rPr>
            <w:rFonts w:ascii="arial" w:eastAsia="arial" w:hAnsi="arial" w:cs="arial"/>
            <w:i/>
            <w:color w:val="0077CC"/>
            <w:sz w:val="20"/>
            <w:u w:val="single"/>
            <w:shd w:val="clear" w:color="auto" w:fill="FFFFFF"/>
            <w:lang w:val="en-US" w:eastAsia="en-US" w:bidi="ar-SA"/>
          </w:rPr>
          <w:t>[1985] B.C.J. No. 320</w:t>
        </w:r>
      </w:hyperlink>
      <w:r>
        <w:rPr>
          <w:rFonts w:ascii="arial" w:eastAsia="arial" w:hAnsi="arial" w:cs="arial"/>
          <w:color w:val="000000"/>
          <w:sz w:val="20"/>
          <w:lang w:val="en-US" w:eastAsia="en-US" w:bidi="ar-SA"/>
        </w:rPr>
        <w:t>,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required in cases such as this is high. It is not the criminal standard of proof beyond a reasonable doubt. But it is something more than a bare balance of probabilities. The authorities establish that the case against a professional person on a disciplinary hearing must be proved by a fair and reasonable preponderance of credible evidence: Regina v. Discipline Committee of the College of Physicians and Surgeons of the Province of Saskatchewan, Ex parte sen </w:t>
      </w:r>
      <w:hyperlink r:id="rId376" w:history="1">
        <w:r>
          <w:rPr>
            <w:rFonts w:ascii="arial" w:eastAsia="arial" w:hAnsi="arial" w:cs="arial"/>
            <w:i/>
            <w:color w:val="0077CC"/>
            <w:sz w:val="20"/>
            <w:u w:val="single"/>
            <w:shd w:val="clear" w:color="auto" w:fill="FFFFFF"/>
            <w:lang w:val="en-US" w:eastAsia="en-US" w:bidi="ar-SA"/>
          </w:rPr>
          <w:t>(1969), 6 D.L.R. (3d) 520</w:t>
        </w:r>
      </w:hyperlink>
      <w:r>
        <w:rPr>
          <w:rFonts w:ascii="arial" w:eastAsia="arial" w:hAnsi="arial" w:cs="arial"/>
          <w:color w:val="000000"/>
          <w:sz w:val="20"/>
          <w:lang w:val="en-US" w:eastAsia="en-US" w:bidi="ar-SA"/>
        </w:rPr>
        <w:t xml:space="preserve"> (C.A.). The evidence must be sufficiently cogent to make it safe to uphold the findings with all the consequences for the professional person's career and status in the community: Hirt v. College of Physicians and Surgeons of B.C., supra, </w:t>
      </w:r>
      <w:hyperlink r:id="rId377" w:history="1">
        <w:r>
          <w:rPr>
            <w:rFonts w:ascii="arial" w:eastAsia="arial" w:hAnsi="arial" w:cs="arial"/>
            <w:i/>
            <w:color w:val="0077CC"/>
            <w:sz w:val="20"/>
            <w:u w:val="single"/>
            <w:shd w:val="clear" w:color="auto" w:fill="FFFFFF"/>
            <w:lang w:val="en-US" w:eastAsia="en-US" w:bidi="ar-SA"/>
          </w:rPr>
          <w:t>[1985] B.C.J. No. 2739</w:t>
        </w:r>
      </w:hyperlink>
      <w:r>
        <w:rPr>
          <w:rFonts w:ascii="arial" w:eastAsia="arial" w:hAnsi="arial" w:cs="arial"/>
          <w:color w:val="000000"/>
          <w:sz w:val="20"/>
          <w:lang w:val="en-US" w:eastAsia="en-US" w:bidi="ar-SA"/>
        </w:rPr>
        <w:t>, at p. 206.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Stuart argues that the College bears the burden of proving at least some element of moral culpability on his part. However, I think the approach taken in the arbitration decision referred to by Mr. Stuart in Re Lear Seating Canada Ltd., supra, is instructive, where the arbitrator said that it was the union's, or in that case, the grievor's, who was represented by the union, burden or responsibility to establish the assault complained of resulted from a medical condition. This approach is also consistent with treating issues of professional misconduct as strict liability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find that is particularly appropriate in this case where the actions complained of are admitted, and Mr. Stuart acknowledges that, if there was no issue of culpability, they would amount to professional misconduct, or conduct unbecoming.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Stuart argued that treating professional misconduct, or conduct unbecoming, as an absolute liability offence, was inconsistent with the Human Rights Code and the Charter of Rights and Freedoms. He argued that it would be the equivalent of punishing somebody because they have a mental illness, or discriminating against them on that basis. I have concluded that professional misconduct, or conduct unbecoming, is similar to a strict liability offence, not an absolute liability offence. Therefore, I do not find it necessary to deal with the appellant's arguments regarding the Human Rights Code or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THE DECISION OF THE COLLEGE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College argues that even if they erred in failing to consider the mental element in the issue of professional misconduct, and conduct unbecoming, that in this case, the evidence would still support the findings of professional misconduct, or conduct unbecoming. The College argues that Mr. Stuart has not established that his actions were beyond his control, or that he was incapable of forming the necessary intent. The College argues that the fact Mr. Stuart pled guilty to causing a disturbance by shouting is an admission that he had the necessary mens rea, or mental capacity. The College argues that it would be an abuse to allow Mr. Stuart to now take a position which was inconsistent with that plea. The College also argues that a conviction can amount to professional misconduct (Qureshi v. Provincial Medical Board </w:t>
      </w:r>
      <w:hyperlink r:id="rId378" w:history="1">
        <w:r>
          <w:rPr>
            <w:rFonts w:ascii="arial" w:eastAsia="arial" w:hAnsi="arial" w:cs="arial"/>
            <w:i/>
            <w:color w:val="0077CC"/>
            <w:sz w:val="20"/>
            <w:u w:val="single"/>
            <w:shd w:val="clear" w:color="auto" w:fill="FFFFFF"/>
            <w:lang w:val="en-US" w:eastAsia="en-US" w:bidi="ar-SA"/>
          </w:rPr>
          <w:t>(1983), 4 D.L.R. (4th) 326</w:t>
        </w:r>
      </w:hyperlink>
      <w:r>
        <w:rPr>
          <w:rFonts w:ascii="arial" w:eastAsia="arial" w:hAnsi="arial" w:cs="arial"/>
          <w:color w:val="000000"/>
          <w:sz w:val="20"/>
          <w:lang w:val="en-US" w:eastAsia="en-US" w:bidi="ar-SA"/>
        </w:rPr>
        <w:t>). In Qureshi, a doctor had been convicted of offences under the Income Tax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Stuart argues that although he had entered a plea of guilty, the court ordered a conditional discharge, and pursuant to s. 730 of the Criminal Code of Canada, therefore, he is deemed not to have been convicted of the charge. Mr. Stuart also argues that he has not admitted the mental elements of the other matters with which he was charged, and it is clear that those were the factors that the College was considering, and not simply professional misconduct because he was shouting in a school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Stuart argues that the medical evidence, and the conclusions of the provincial court judge in sentencing Mr. Stuart, makes it clear that the "primary cause of the disturbance" was a medical condition referred to as bipolar disorder. The provincial court found that the "bizarre behaviour that is contained in the particulars that that behaviour is consistent with the medical problem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College, in response, argues that there is really no evidence regarding Mr. Stuart's state of mind, or his ability to control his behaviour, and that the psychiatrist's report does not establish that he was incapable of forming the necessary intent to act in the way in which he did. The College argues that if he was capable of forming that intent, then his actions were morally culpable. The College argues that really this is a case where his anger overcame his better judgment. In these circumstances, as well, the College argues that there is no discrimination within the meaning of the Charter or the Human Rights Code. The College argues that the medical evidence does not establish that his medical condition renders him incapable of complying with the standards expected of members of the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 COLLEGE REQUIRED TO ADVANCE A CLAIM OF INCOMPETENCE AGAINST 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Mr. Stuart argues that this matter could have been dealt with simply by a finding of incompetence and imposition of exactly the same terms, which counsel had agreed upon. The College argues that incompetence must be established by a pattern of carelessness and neglect, but not a single incident. (Re Mason and Registered Nurses Association of BC </w:t>
      </w:r>
      <w:hyperlink r:id="rId379" w:history="1">
        <w:r>
          <w:rPr>
            <w:rFonts w:ascii="arial" w:eastAsia="arial" w:hAnsi="arial" w:cs="arial"/>
            <w:i/>
            <w:color w:val="0077CC"/>
            <w:sz w:val="20"/>
            <w:u w:val="single"/>
            <w:shd w:val="clear" w:color="auto" w:fill="FFFFFF"/>
            <w:lang w:val="en-US" w:eastAsia="en-US" w:bidi="ar-SA"/>
          </w:rPr>
          <w:t>(1979), 102 D.L.R. (3d) 225</w:t>
        </w:r>
      </w:hyperlink>
      <w:r>
        <w:rPr>
          <w:rFonts w:ascii="arial" w:eastAsia="arial" w:hAnsi="arial" w:cs="arial"/>
          <w:color w:val="000000"/>
          <w:sz w:val="20"/>
          <w:lang w:val="en-US" w:eastAsia="en-US" w:bidi="ar-SA"/>
        </w:rPr>
        <w:t xml:space="preserve"> and Reddy v. Association of Professional Engineers, </w:t>
      </w:r>
      <w:hyperlink r:id="rId380" w:history="1">
        <w:r>
          <w:rPr>
            <w:rFonts w:ascii="arial" w:eastAsia="arial" w:hAnsi="arial" w:cs="arial"/>
            <w:i/>
            <w:color w:val="0077CC"/>
            <w:sz w:val="20"/>
            <w:u w:val="single"/>
            <w:shd w:val="clear" w:color="auto" w:fill="FFFFFF"/>
            <w:lang w:val="en-US" w:eastAsia="en-US" w:bidi="ar-SA"/>
          </w:rPr>
          <w:t>[2000] B.C.J. No. 538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College also argues that a high degree of deference should be given to the College in its role in determining what amounts to misconduct. (See Pearlman, supra). The College argues that on the facts, it was not unreasonable for the College to conclude that Mr. Stuart was guilty of professional misconduct, and conduct unbecoming a member. Therefore, there was no compelling reason for the College to proceed by way of an incompetency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agree that it was up to the College to determine how they wished to proceed, and which citation to issue. However, I am satisfied that it was also within their discretion to accept Mr. Stuart's admission of incompetence, and impose the same terms on his return to employment. However, they were not bound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Stuart argued that the TPA gave the College the authority to deal with issues of competence which are caused by or related to physical or mental disabilities, or addictions to alcohol or drugs. He argued that because professional misconduct and competence are not defined in the TPA, that non-culpable misconduct is to be dealt with as a competence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This does not mean that every time the impact of a mental disorder is in issue, that the matter must be dealt with as an issue of competence. One of the issues to be resolved at the discipline hearing is the effect or role of the mental disability in the conduct at issue. This is a question of fact to be determined on the evidence in the particular case. Whether, on consideration of that evidence, the conduct does amount to professional misconduct, or conduct unbecoming, would be a question of mixed fact and law. The College could determine that in the circumstances of a particular case, after considering the mental element, that the conduct did not amount to professional misconduct, or conduct unbecoming, but could raise an issue of competence. The College could then take the necessary steps to deal with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find that the College erred in concluding that Mr. Stuart's mental condition, or state of mind, was irrelevant to a determination of whether his conduct amounted to professional misconduct. It is not clear what decision the College may have reached, had they properly considered his mental condition. The College may have concluded that in the circumstances, including the impact of Mr. Stuart's mental condition, that he was not guilty of professional misconduct, or conduct unbecoming. It is possible they would have exercised their discretion to treat the matter as one of competency, rather than professional misconduct, or conduct unbecoming.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Counsel have suggested that rather than referring this matter back to the College for a rehearing, that I decide whether Mr. Stuart is guilty of professional misconduct, or conduct unbecoming, based on the agreed facts. If the College had applied the correct standard, and reached a decision based on that standard, the only question on appeal would be whether or not their conclusion was reasonable. The court would defer to the college in determining whether conduct in a particular case did amount to professional misconduct, unless the decision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If I decide the issue, it will save the parties the cost, the uncertainty and delay of having the matter referred back to the College. However, that would require me to determine the issue within the expertise of the College. My decision might be reasonable, but could also be entirely inconsistent with the decision that might be reached by the College. Their decision, although different from one that I might reach, could also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Although the College is the proper body to balance the competing interests and multiple policy objectives, like the protection of the public education and qualification of members and the settings of standards, ethics and practice for school teachers, dealing with issues of professional misconduct, or conduct unbecoming, I appreciate counsels' request that I deal with the matter in this particular case. I have decided to do so, but wish to make it clear that my decision as to whether or not, in these particular circumstances, the conduct is professional misconduct, or conduct unbecoming, should carry no precedential value in any future hearings before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have considered the circumstances of each of the complaints against Mr. Stuart. I have also considered the medical evidence, and the conclusions reached by the provincial court judge at sentencing.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Stuart is a 39 year old teacher who was diagnosed with bipolar disorder when he was 21 years of age. He was able to manage this disorder with relapses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primary cause of his behaviour in both instances was his medical condition. This is a condition that is beyond his control. The exacerbation of his condition was caused by the transition in medication. The provincial court found that the public interest would not be affected by imposing a conditional discharge for the offence Mr. Stuart pled guilty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Stuart's doctor confirms the difficulty Mr. Stuart had with his medication. His medication was being changed in February, when the first incident occurred, and by May 24, 2002, Mr. Stuart was still having difficulties. He was found to be angry, agitated and irritable. He had signs of pressured speech and flights of ideas. He was described as being grandiose and paranoid. Shortly after the incident on June 20, 2002, he was still found to be very angry, irritable and agitated. The doctor continued to adjust his medication, and by the time the doctor's report was written on April 8, 2003, Mr. Stuart was making gradual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am satisfied that the evidence demonstrates that Mr. Stuart's behaviour was caused by the difficulties with his medication and his bipolar disorder, and that his actions were not simply a loss of control due to any difficulties he may have had with any of the staff at his school. Clearly, the evidence of his actions indicates that he was irrational, not simply angry.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am satisfied that the public interest, and the interest of the students and teachers, can be appropriately dealt with by accepting Mr. Stuart's suggestion that the matter be dealt with as a matter of competence, rather than conduct. It is not necessary, in the interest of the public, students or the school, to find that Mr. Stuart is guilty of professional misconduct, or conduct unbecoming a school teacher. I find Mr. Stuart is incompetent due to his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Therefore, I order that Mr. Stuart be subject to an indefinite suspension of his teaching certificate on the same conditions outlined in [paragraph]16 of this decision, being the same terms imposed by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allow the appeal and make the order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POWERS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6"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87" w:history="1">
        <w:r>
          <w:rPr>
            <w:rFonts w:ascii="arial" w:eastAsia="arial" w:hAnsi="arial" w:cs="arial"/>
            <w:b/>
            <w:bCs/>
            <w:i/>
            <w:color w:val="0077CC"/>
            <w:kern w:val="32"/>
            <w:sz w:val="28"/>
            <w:szCs w:val="32"/>
            <w:u w:val="single"/>
            <w:shd w:val="clear" w:color="auto" w:fill="FFFFFF"/>
            <w:lang w:val="en-US" w:eastAsia="en-US" w:bidi="ar-SA"/>
          </w:rPr>
          <w:t>Ward v. W.S. Leasing Ltd., [2007] B.C.J. No. 1323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Registrar Blok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June 9, 2007.</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June 19, 2007.</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M062039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[2007] B.C.J. No. 1323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2007 BCSC 877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159 A.C.W.S. (3d) 38</w:t>
      </w:r>
    </w:p>
    <w:p>
      <w:pPr>
        <w:spacing w:before="120" w:line="260" w:lineRule="atLeast"/>
        <w:rPr>
          <w:lang w:val="en-US" w:eastAsia="en-US" w:bidi="ar-SA"/>
        </w:rPr>
      </w:pPr>
      <w:r>
        <w:rPr>
          <w:rFonts w:ascii="arial" w:eastAsia="arial" w:hAnsi="arial" w:cs="arial"/>
          <w:color w:val="000000"/>
          <w:sz w:val="20"/>
          <w:lang w:val="en-US" w:eastAsia="en-US" w:bidi="ar-SA"/>
        </w:rPr>
        <w:t>Between Arthur E. Ward, Plaintiff, and W.S. Leasing Ltd. and Joseph Roderick Laycock,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17" style="position:absolute;z-index:25167667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22" w:name="Keywords_17"/>
      <w:bookmarkEnd w:id="122"/>
      <w:r>
        <w:rPr>
          <w:rFonts w:ascii="arial" w:eastAsia="arial" w:hAnsi="arial" w:cs="arial"/>
          <w:b/>
          <w:color w:val="000000"/>
          <w:sz w:val="20"/>
          <w:lang w:val="en-US" w:eastAsia="en-US" w:bidi="ar-SA"/>
        </w:rPr>
        <w:t>Civil procedure — Costs — Disbursements — Assessment of the plaintiff's party and party bill of costs — The plaintiff was awarded damages of $12,500 for injuries suffered in a motor vehicle accident — He included the cost of four MRI scans, $4,600, in his bill of costs — The defendant claimed that such disbursement was not necessary, and the cost was extravagant relative to the amount recovered — The court disallowed the plaintiff's claim — The MRI scans were undertaken prior to any determination of their necessity, thus rendering the cost excessive.</w:t>
      </w:r>
    </w:p>
    <w:p>
      <w:pPr>
        <w:jc w:val="both"/>
        <w:rPr>
          <w:lang w:val="en-US" w:eastAsia="en-US" w:bidi="ar-SA"/>
        </w:rPr>
      </w:pPr>
      <w:bookmarkStart w:id="123" w:name="Counsel_17"/>
      <w:bookmarkEnd w:id="12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18" style="position:absolute;z-index:2517278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W.H. Glover.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K.A. Jones.</w:t>
      </w:r>
      <w:r>
        <w:rPr>
          <w:lang w:val="en-US" w:eastAsia="en-US" w:bidi="ar-SA"/>
        </w:rPr>
        <w:cr/>
      </w:r>
    </w:p>
    <w:p>
      <w:pPr>
        <w:spacing w:after="240"/>
        <w:rPr>
          <w:lang w:val="en-US" w:eastAsia="en-US" w:bidi="ar-SA"/>
        </w:rPr>
      </w:pPr>
      <w:bookmarkStart w:id="124" w:name="Judgment_17"/>
      <w:bookmarkEnd w:id="124"/>
      <w:r>
        <w:pict>
          <v:line id="_x0000_s1119" style="position:absolute;z-index:25177907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25" w:name="REGISTRAR BLOK (orally)"/>
            <w:bookmarkEnd w:id="125"/>
            <w:r>
              <w:rPr>
                <w:rFonts w:ascii="arial" w:eastAsia="arial" w:hAnsi="arial" w:cs="arial"/>
                <w:b/>
                <w:color w:val="000000"/>
                <w:sz w:val="30"/>
                <w:lang w:val="en-US" w:eastAsia="en-US" w:bidi="ar-SA"/>
              </w:rPr>
              <w:t>REGISTRAR BLOK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At issue in this assessment of a party and party bill of costs is the plaintiff's claim for the cost of four MRI scans. The scans cost $975 each for a total of $3,900. Interest charged from the date of the examinations in 2004 to the date of the bill in 2006 add a further $719.96 to the bill, resulting in a total of $4,616.96 for the MRI invoice.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maintains that the disbursement as a whole has not been shown to be necessary, and that the cost is extravagant compared to the amount recovered.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following are the background facts. The plaintiff was involved in a motor vehicle accident on June 28, 2004 when his vehicle was rear-ended by another vehicle. He suffered a whiplash-type injury and complained of pain in his arms and neck. The plaintiff retained counsel, Mr. Maragos, in October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his affidavit Mr. Maragos deposed that he instructed an associate in his firm to meet with the plaintiff on November 5, 2004 to discuss the case. Mr. Maragos asked the associate to obtain signed MRI referral forms from the plaintiff at that meeting. Mr. Maragos explained his reasons for doing so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my standard practice to send my personal injury clients for an MRI as soon as I have been retained. I ask for an MRI for the purposes of litigation so that I can establish the extent of the client's injury. I advised Mr. Ward to attend Dr. Lerner, and I instructed Mr. Ward to have Dr. Lerner complete the MRI referral forms.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Dr. Lerner was the plaintiff's physician. Dr. Lerner completed the form, indicating that the area to be examined was "Cervical spine/shoulders - upper thoracic spine." Dr. Lerner faxed the form to the MRI firm and that firm performed four MRI scans on November 20,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An action was commenced on June 6, 2006. Offers were exchanged and a settlement was achieved in early October 2006. The settlement was for $12,500 plus costs and disbursements.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Counsel agree that the appropriate test for determining the recoverability of a disbursement is set out in </w:t>
      </w:r>
      <w:r>
        <w:rPr>
          <w:rFonts w:ascii="arial" w:eastAsia="arial" w:hAnsi="arial" w:cs="arial"/>
          <w:b/>
          <w:i/>
          <w:color w:val="000000"/>
          <w:sz w:val="20"/>
          <w:lang w:val="en-US" w:eastAsia="en-US" w:bidi="ar-SA"/>
        </w:rPr>
        <w:t>Van Daele v. Van Daele</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(1983), 56 B.C.L.R. 178</w:t>
        </w:r>
      </w:hyperlink>
      <w:r>
        <w:rPr>
          <w:rFonts w:ascii="arial" w:eastAsia="arial" w:hAnsi="arial" w:cs="arial"/>
          <w:color w:val="000000"/>
          <w:sz w:val="20"/>
          <w:lang w:val="en-US" w:eastAsia="en-US" w:bidi="ar-SA"/>
        </w:rPr>
        <w:t xml:space="preserve"> (C.A.), where Mr. Justice Macfarlane said at paragraph 11: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proper test, it seems to me, from a number of authorities referred to us this morning is whether at the time the disbursement or expense was incurred, it was a proper disbursement in the sense of not being extravagant, negligent, mistaken, or a result of excessive caution or excessive zeal, judged by the situation at the time when the disbursement or expense was incurred.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Counsel for the plaintiff added the following from </w:t>
      </w:r>
      <w:r>
        <w:rPr>
          <w:rFonts w:ascii="arial" w:eastAsia="arial" w:hAnsi="arial" w:cs="arial"/>
          <w:b/>
          <w:i/>
          <w:color w:val="000000"/>
          <w:sz w:val="20"/>
          <w:lang w:val="en-US" w:eastAsia="en-US" w:bidi="ar-SA"/>
        </w:rPr>
        <w:t>Bell v. Fantini</w:t>
      </w:r>
      <w:hyperlink r:id="rId389" w:history="1">
        <w:r>
          <w:rPr>
            <w:rFonts w:ascii="arial" w:eastAsia="arial" w:hAnsi="arial" w:cs="arial"/>
            <w:i/>
            <w:color w:val="0077CC"/>
            <w:sz w:val="20"/>
            <w:u w:val="single"/>
            <w:shd w:val="clear" w:color="auto" w:fill="FFFFFF"/>
            <w:lang w:val="en-US" w:eastAsia="en-US" w:bidi="ar-SA"/>
          </w:rPr>
          <w:t>(1981), 32 B.C.L.R. 322</w:t>
        </w:r>
      </w:hyperlink>
      <w:r>
        <w:rPr>
          <w:rFonts w:ascii="arial" w:eastAsia="arial" w:hAnsi="arial" w:cs="arial"/>
          <w:color w:val="000000"/>
          <w:sz w:val="20"/>
          <w:lang w:val="en-US" w:eastAsia="en-US" w:bidi="ar-SA"/>
        </w:rPr>
        <w:t xml:space="preserve"> (S.C.), at paragraphs 23 and 24: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 consider that Rule 57(4) entitles the registrar to exercise a wide discretion to disallow disbursements in whole or in part where the disbursements appear to him to have been incurred or increased through extravagance,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mistake, or by payment of unjustified charges or expenses. The registrar must consider all of the circumstances of each case and determine whether the disbursements were reasonably incurred and were justified. He must be careful to balance his duty to disallow expenses incurred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mistake, or which are extravagant, with his duty to recognize that a carefully prepared case requires that counsel use care in the choice of expert witnesses and examine all sources of information and possible evidence which may be of advantage to his client.</w:t>
      </w:r>
    </w:p>
    <w:p>
      <w:pPr>
        <w:spacing w:before="120" w:line="260" w:lineRule="atLeast"/>
        <w:ind w:left="720"/>
        <w:rPr>
          <w:lang w:val="en-US" w:eastAsia="en-US" w:bidi="ar-SA"/>
        </w:rPr>
      </w:pPr>
      <w:r>
        <w:rPr>
          <w:rFonts w:ascii="arial" w:eastAsia="arial" w:hAnsi="arial" w:cs="arial"/>
          <w:color w:val="000000"/>
          <w:sz w:val="20"/>
          <w:lang w:val="en-US" w:eastAsia="en-US" w:bidi="ar-SA"/>
        </w:rPr>
        <w:t>The registrar is not bound to accept an affidavit of counsel that in counsel's opinion the employment of the expert or the incurring of the expense was justified or that it was necessary for the attainment of justice when the registrar is considering allowing or disallowing the disbursement under this rule. He should give careful consideration to any such affidavit and he must weigh what is deposed to against any affidavit that deposes to the opposite effect. His duty under the rule is to determine whether the expense is a reasonable and justifiable expense which should be borne by the unsuccessful litigant.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maintains that the MRIs were necessary because x-rays were taken on November 15, 2004, just days before the MRIs, and while the x-rays revealed degenerative changes at many levels the MRIs taken shortly afterward showed more specific aspects of those degenerative changes. The plaintiff argued that the MRIs therefore assisted Mr. Maragos in assessing the plaintiff's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pointed out that Dr. Lerner said in his report of July 8, 2006 that the MRIs "did not indicate anything new compared to the x-rays."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Both parties cited cases where the cost of MRIs has been allowed or disallowed as a disbursement. These cases, however, turn on their facts or on the characterization of those facts. If an MRI was performed for the purposes of treatment then it may be claimed as an item of special damages. If it is used as an aid in the litigation process then it is properly claimed as a disbursement on a party and party bill of costs. Those are the typical questions that are dealt with when MRIs are at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question here is not the more typical one, but instead argument has centred on the question of necessity. Here I conclude that both parties have focused incorrectly on the utility of the MRI scans as things turned out because the cases establish that the relevant time to consider whether a disbursement is necessary or proper is the time that it was incurred.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evidence here is simply that the standard practice of plaintiff's counsel is to obtain MRIs for his personal injury clients as soon as he is retained. No consideration is given to the necessity of an MRI in any particular case. It is evidently assumed that an MRI is necessary in all cases.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 conclude that the claim fails for that reason. A blanket conclusion that an MRI is necessary in every personal injury case renders the cost extravagant or as a result of excessive caution or zeal, as that language was used in </w:t>
      </w:r>
      <w:r>
        <w:rPr>
          <w:rFonts w:ascii="arial" w:eastAsia="arial" w:hAnsi="arial" w:cs="arial"/>
          <w:b/>
          <w:i/>
          <w:color w:val="000000"/>
          <w:sz w:val="20"/>
          <w:lang w:val="en-US" w:eastAsia="en-US" w:bidi="ar-SA"/>
        </w:rPr>
        <w:t>Van Daele v. Van Daele</w:t>
      </w:r>
      <w:r>
        <w:rPr>
          <w:rFonts w:ascii="arial" w:eastAsia="arial" w:hAnsi="arial" w:cs="arial"/>
          <w:color w:val="000000"/>
          <w:sz w:val="20"/>
          <w:lang w:val="en-US" w:eastAsia="en-US" w:bidi="ar-SA"/>
        </w:rPr>
        <w:t>. In my view there must be some judgment applied, perhaps with medical input, in considering the necessity for the procedure in a litigation context, given the injuries involved, the likely damages, what the MRI is expected to achieve from a litigation standpoint, and so on. There is no proper basis on which I can conclude that the MRIs were necessary, at the time they were ordered, in this particular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circumstances it is unnecessary for me to comment on the interest charges. The claim for the cost of the MRIs is therefore disallowed.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JONES: And the costs of this assessment?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COURT: Submissions on costs, Mr. Glover?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GLOVER: I am of the view that this was a necessary application on both of our parts and that either party should bear their own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COURT: All right. I conclude that costs should go in the usual way. I am going to fix them at $500, inclusive of disbursements and taxes.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REGISTRAR BLOK</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Willson v. Angela Gibson Law Corp., [2008] B.C.J. No. 1514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R.B.T. 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7-11, 16 and 18,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S030339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1514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1081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297 D.L.R. (4th) 133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168 A.C.W.S. (3d) 191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Graeme Willson and Sonia Willson, Plaintiffs, and Angela Gibson Law Corporation, formerly known as Gibson Geronazzo Law Corporation and Angela Gibson,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(103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October 8, 2008. See </w:t>
      </w:r>
      <w:hyperlink r:id="rId397" w:history="1">
        <w:r>
          <w:rPr>
            <w:rFonts w:ascii="arial" w:eastAsia="arial" w:hAnsi="arial" w:cs="arial"/>
            <w:i/>
            <w:color w:val="0077CC"/>
            <w:sz w:val="18"/>
            <w:u w:val="single"/>
            <w:shd w:val="clear" w:color="auto" w:fill="FFFFFF"/>
            <w:lang w:val="en-US" w:eastAsia="en-US" w:bidi="ar-SA"/>
          </w:rPr>
          <w:t>[2008] B.C.J. No. 1899</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1"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6" w:name="Keywords_18"/>
      <w:bookmarkEnd w:id="126"/>
      <w:r>
        <w:rPr>
          <w:rFonts w:ascii="arial" w:eastAsia="arial" w:hAnsi="arial" w:cs="arial"/>
          <w:b/>
          <w:color w:val="000000"/>
          <w:sz w:val="20"/>
          <w:lang w:val="en-US" w:eastAsia="en-US" w:bidi="ar-SA"/>
        </w:rPr>
        <w:t>Legal profession — Barristers and solicitors — Liability — Relationship with client — Client's property (receipt of money, trust accounts) — Action by the Willsons against the defendant solicitor Ross dismissed — In 2002, the plaintiffs agreed to sell a business to a numbered company — Lee, the principle of the company, retained the solicitor — On October 18, the solicitor delivered two post-dated trust cheques to the plaintiffs — The solicitor did not receive the money and stopped payment — Lee subsequently died — The trust cheques did not constitute an undertaking; the solicitor was not liable for the amount of the cheques where the cheques were delivered conditionally.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Professions — Legal — Lawyers — Action by theWillsons against the defendant solicitor Ross dismissed — In 2002, the plaintiffs agreed to sell a business to a numbered company — Lee, the principle of the company, retained the solicitor — On October 18, the solicitor delivered two post-dated trust cheques to the plaintiffs — The solicitor did not receive the money and stopped payment — Lee subsequently died — The trust cheques did not constitute an undertaking; the solicitor was not liable for the amount of the cheques where the cheques were delivered conditionally.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7" w:name="Case Summary_14"/>
            <w:bookmarkEnd w:id="1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Willsons against the defendant solicitor Ross. In 2002, the Plaintiffs, mother and son, entered into an agreement to sell an inn and restaurant to a numbered company. Lee, the principle of the company, retained the solicitor to represent him in the transaction. On October 18, 2002, the solicitor gave the plaintiffs two trust cheques on the firm's pooled trust account; one cheque was for $457,855 and the other was for $458,426. The cheques were post-dated to October 22. The solicitor informed the plaintiffs that the funds had not been received from her client and that they were not to cash the cheques until they were informed the funds were in the account. On October 22, the funds had not been received and the solicitor stopped payment on the cheques. Lee was now deceased; he had lied about the financing he had in place. The Plaintiffs claimed that the trust cheques constituted an unconditional undertaking and that the solicitor was personally liable. They claimed that the solicitor was therefore liable for the amount of the cheques. The solicitor claimed that the cheques were delivered conditionally. The solicitor's secretary testified and corroborated the solicitor's version of events.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8" w:name="Holdings of Court_12"/>
            <w:bookmarkEnd w:id="12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solicitor's and secretary's evidence was credible and preferred to that of the plaintiffs. A trust cheque did not constitute an undertaking by the solicitor to pay the Plaintiffs the amount of the cheques. The solicitor had delivered the trust cheques to the plaintiffs on the condition that they were not to be cashed until she notified him that the funds had been deposited.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9" w:name="Legislation Cited_15"/>
      <w:bookmarkEnd w:id="1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2"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Law Society of British Columbia Professional Conduct Handbook, s. 7, s. 7(a), s. 7(b), s. 7(c), s. 7.1, s. 7.1(a), s. 7.1(b), s. 8, s. 8, s. 8(a), s. 8(b), s. 8.1, s. 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0" w:name="Counsel_18"/>
      <w:bookmarkEnd w:id="13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3"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R.E. Breivik and M. Tweedy.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P. Abrioux and E. Lundberg.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1" w:name="Judgment_18"/>
      <w:bookmarkEnd w:id="131"/>
      <w:r>
        <w:pict>
          <v:line id="_x0000_s1124" style="position:absolute;z-index:25183129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May 19, 2009; the corrections have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2" w:name="R.B.T. GOEPEL J."/>
            <w:bookmarkEnd w:id="132"/>
            <w:r>
              <w:rPr>
                <w:rFonts w:ascii="arial" w:eastAsia="arial" w:hAnsi="arial" w:cs="arial"/>
                <w:b/>
                <w:color w:val="000000"/>
                <w:sz w:val="30"/>
                <w:lang w:val="en-US" w:eastAsia="en-US" w:bidi="ar-SA"/>
              </w:rPr>
              <w:t>R.B.T. 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Sonia and Graeme Willson, who are mother and son, owned all of the shares in Golden Heights Estate Inn &amp; Restaurant Inc. ("Golden Heights"). In the summer of 2002, they entered into an agreement to sell their shares to 653702 B.C. Ltd., whose principal was Mr. Brian Lee. Mr. Lee retained the defendant Angela Gibson (now known as Angela Ross) to act for him in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October 18, 2002, Ms. Ross, on behalf of Angela Gibson Law Corporation, gave two cheques drawn on the firm's pooled trust account to the Willsons, one for $457,855.85 payable to Graeme Willson, the other for $458,426.25 payable to Sonia Willson. Both cheques were post-dated to October 22, 2002. The cheques were in the amounts due to the Willsons on closing of the share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When Ms. Ross gave the cheques to the Willsons, she had not yet received from her client the funds necessary to close the transaction. On the morning of October 22, 2002, the funds still not having been received, Ms. Ross stopped payment on the cheques before the Willsons could present them for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Willsons submit that the trust cheques constituted in law an unconditional undertaking for which Ms. Ross had assumed a personal obligation. They seek to recover against Ms. Ross the amount of the cheques. They submit that to relieve her of the consequences of her undertaking would erode the integrity of all lawyers' undertakings and the proper and appropriate role of lawyers in commerce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submit that the cheques were delivered on the condition that the Willsons would only present them for payment if the proceeds of sale were received. The plaintiffs concede that if the cheques were delivered conditionally, their action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for determination include whether or not a trust cheque is an undertaking, whether these cheques were delivered unconditionally and, if they were, whether the plaintiffs are entitled to recover the amount of the cheques against Ms.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have significantly different recollections of many of the events in the months leading up to the delivery of the trust cheques. As the plaintiffs have now limited their claim to the alleged breach of undertaking, it is not necessary to resolve all of these differences or relate in finite detail all that took place. As credibility is however very much in issue, it is necessary to resolve some of the disputed factual issues in order to put the findings concerning the events of October 18, 2002 in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outset, it is important to know that Brian Lee, who is now deceased, was in fact a con man. He represented that he was the confidant and former employee of Dennis Washington, a prominent businessman, and that Mr. Washington and his company, Washington Corporation, were providing Mr. Lee with the funds to purchase Golden Heights. Neither Mr. Washington nor Washington Corporation knew anything of Mr. Lee's purchase of Golden Heights and when that became known on or around November 1, 2002, the sale collapsed.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Willsons were the sole shareholders and officers of Golden Heights. Golden Heights owned a Victorian mansion located in Grand Forks, British Columbia. It had purchased the building and adjoining 3 1/2-acre property in 1995. Graeme and Sonia Willson had restored the building and its grounds and in 1998 they began operating it as an inn and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winter of 2000, Golden Heights listed the property for sale. In the summer of 2001, a prospective purchaser made enquiries concerning the property and Mr. Willson's realtor indicated that an offer would soon be forthcoming. Mr. Willson was subsequently advised that because of the events of September 11, 2001, the proposed purchaser had decided not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February 2002, Mr. Lee telephoned Mr. Willson and told him that he had been the person in charge of the group that had intended to make an offer to purchase Golden Heights in September 2001. He indicated that he was still interested in proceeding with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April 6, 2002, Mr. Lee and his wife went to Grand Forks to discuss their proposed purchase. Mr. Lee represented that he was being financially supported by his former employer, Mr. Dennis Washington, a wealthy American businessman and Mr. Washington's company, Washington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Discussions between Mr. Willson and Mr. Lee continued into May 2002. Mr. Lee told Mr. Willson that he had been advised by Mr. Washington that he should work at Golden Heights for a month to ensure the soundness of the business. Mr. Lee and Mr. Willson agreed that Mr. Lee would work for a month as an independent contractor managing the kitchen. His first day at work was June 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end of June 2002, Mr. Lee advised Mr. Willson that he had spoken further to Mr. Washington and told him that Golden Heights was an excellent business opportunity that he wanted to own. Mr. Lee told Mr. Willson that Mr. Washington would finance Mr. Lee's purchase of Golden Heights at a price of $1.8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Mr. Willson made his own enquiries about Mr. Washington and determined that the information Mr. Lee had given him about Mr. Washington's background and business ventures were true. Mr. Willson had called Mr. Washington's office in Montana and had spoken to a person there who confirmed that Mr. Lee had worked for them and there were no negative things they could tell him about Mr. Lee. Mr. Willson believed that Mr. Lee was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purchaser with the financial backing of Mr. Washington.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Lee told Mr. Willson that he had arranged a job for him as Mr. Washington's personal assistant at a salary of $100,000 per year. In Mr. Willson's presence, Mr. Lee made a telephone call to a person who Mr. Willson believed to be Mr. Washington and provided to him certain personal information about Mr. Willson, including his social security number, so that Mr. Willson could be set up in the Washington Corporation's records as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July 2002, Mr. Willson retained Mr. Daniel Geronazzo, a Grand Forks lawyer, to prepare purchase and sale documents. Initially the parties contemplated an asset purchase. Ultimately, it was decided to proceed by way of a share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Lee ultimately retained Ms. Ross to act for him on the transaction. Ms. Ross was called to the bar in May 1992. She practised with three small firms in Vancouver, Abbotsford and Kelowna before moving to Grand Forks in September 1996. In December 1996, she and her husband Stephen Gibson purchased an existing law practice in Grand Forks. They practised together until the summer of 2002. At the time of the Golden Heights transaction Ms. Ross and Mr. Gibson were in the process of a difficult and less than amicable separation.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Ross said she was first retained on August 21, 2002 when she was asked to review the then existing share purchase agreement that Mr. Geronazzo had prepared. Mr. Lee told Ms. Ross that money to complete the transaction was coming from Dennis Washington or Washington Corporation. Mr. Lee told her that Mr. Washington was a wealthy businessman with whom he had a father/son like relationship. He subsequently told her that Russell Dumoulin, a Vancouver law firm, had been retained to protect Mr. Washington's interest in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Willson testified that Ms. Ross was retained long before August 21, 2002. At different times in his evidence or in affidavits filed in these proceedings, he has indicated that she was retained either on July 7, 2002 or sometime in early August.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Ross' time records and documents all commence on August 21, 2002. Her written notes of August 21, 2002 are consistent with that being the date of her initial involvement. I accept her evidence as to the date she was initially retained and I find that she was in fact retained on August 21,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Having reviewed the proposed documentation, Ms. Ross believed the existing share purchase agreement was not appropriate for the transaction. On August 23, 2002, she sent Mr. Lee a detailed letter setting out her criticisms of the proposed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During the last week of August, Ms. Ross had numerous meetings with Mr. Lee. On August 29, 2002, she incorporated 653702 B.C. Ltd., which would be the company Mr. Lee would use to complete his purchase. On September 3, 2002, she prepared a letter of intent that was then executed by Mr. Lee and the Willsons.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the letter of intent was signed, Ms. Ross set about drafting a share purchase agreement and preparing all the documents that would be required to close the transaction. The proposed share purchase agreement was forwarded to Mr. Geronazzo and went through several drafts before it was finalised.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share purchase agreement, which is dated September 16, 2002, consists of 28 pages plus 18 schedules. Under the agreement, all accounts were to be adjusted as of August 1, 2002 with Mr. Lee being responsible for all liabilities accruing after that date, including interest accruing on Golden Heights' liabilities. Pursuant to the terms of the agreement, on closing the purchaser's solicitor was to pay from the purchase price the outstanding encumbrances and charges with the balance being paid to the vendors once the liabilities had been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Willsons dismissed Mr. Geronazzo prior to the share purchase agreement being finalised. On September 16, 2002, Ms. Ross sent a letter to the Willsons enclosing for signature the share purchase agreement and numerous other documents that needed to be signed to complete the transaction. The opening paragraph of the letter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confirm that you have terminated the services of Mr. Geronazzo and are now acting on your own behalf. We act only for the purchaser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due course, the Willsons signed the various documents and returned them, together with an initialled copy of the September 16, 2002 letter, to Ms.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After Mr. Geronazzo's services were terminated, Ms. Ross agreed that on completion of the transaction she would pay out the various charge holders to whom the Willsons were indebted and who had to be paid in order to complete the transaction. Her September 16, 2002 correspondence included an account to the Willsons for those services. She says that her retainer with the Willsons was limited to providing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Willson claims that on the firing of Mr. Geronazzo, Ms. Ross agreed to become his solicitor for all purposes in regards to this transaction. He denied ever being informed by Ms. Ross that she was acting only for the purchaser. When confronted with the September 16, 2002 letter, he claimed that he had never seen it, even though he had initialled a copy of the letter and did agree that he had received all of the documents enclosed with the correspondence.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do not accept Mr. Willson's evidence that he was not told by Ms. Ross that she was acting only on behalf of Mr. Lee. I find that he did receive the September 16, 2002 letter and knew that Ms. Ross was acting only for the purchaser, save and except for the limited purpose of facilitating the payments of the outstanding encumbrances for which she was going to charge a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By September 16, 2002, all documentation necessary to complete the transaction had been prepared and executed. All that was needed to complete the transaction were the funds. Those funds never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Ross initially understood that Mr. Lee was going to obtain the money directly from Mr. Washington or Washington Corporation and he would then forward the funds to her. Subsequently, she was advised that the money would be wired to her account from Harris Bank in the United States. Ultimately, she was told that a Washington Corporation representative would personally deliver a bank draft to Grand Forks for deposit. Each time the money was supposed to arrive, it did not and Mr. Lee always had an explanation. Ms. Ross never attempted to call Mr. Washington, Washington Corporation, or Russell Dumoulin to confirm if what Mr. Lee was saying was true. She simply took Mr. Lee at his word.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Difficulty with the funds had begun even before Ms. Ross was retained. On August 20, 2002, Mr. Geronazzo had received a cheque from Mr. Lee in the sum of $1.8 million. On that cheque being deposited in Mr. Geronazzo's trust account, Mr. Willson gave Mr. Lee access to Golden Heights' credit card and debit card accounts. The cheque did not clear. Mr. Willson accepted Mr. Lee's explanation and allowed Mr. Lee to continue to run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September 27, 2002, Mr. Lee wrote a cheque for $458,450.16 to Mr. Willson and a cheque for $458,450.17 to Sonia Willson. The cheques did not clear. Mr. Willson again accepted Mr. Lee's explanation as to why the funds were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October 8, 2002, Mr. Lee told Ms. Ross that the funds necessary to close the transaction had been deposited in the Central B.C. Credit Union for transfer to her account in the local credit union. Ms. Ross advised Mr. Willson that the money was in transit and she would call him as soon as it arrived. Mr. Lee told Ms. Ross that Mr. Willson was insisting on seeing evidence that the cheques were physically ready. Ms. Ross then had two trust cheques prepared in favour of the Willsons, which she gave to Mr. Lee to show to the Willsons. At the time the cheques were prepared, the funds had not been received. Ms. Ross said the purpose of showing Mr. Willson the cheques was to assure him that she was ready to close the transaction as soon as the money was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Willson said that on numerous occasions, commencing prior to August 21, 2002, Ms. Ross told him she had the money in trust to close the transaction. Mr. Willson says that when the August 20, 2002 cheque to Mr. Geronazzo and the September 27, 2002 cheques to the Willsons failed to clear, he relied on Ms. Ross' advice to him that the money was in her trust account. While Ms. Ross acknowledges having the trust cheques of October 8, 2002 prepared, she said that throughout the transaction she always advised Mr. Willson that she was awaiting receipt of the funds and never told him the funds were in her trust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Again, I prefer Ms. Ross' evidence to that of Mr. Willson. If Ms. Ross had the money required to close the transaction in her trust account, there would be no reason for Mr. Lee to be writing the cheques that failed to clear. Further, there is evidence of telephone calls from Mr. Willson to Ms. Ross' office enquiring about when the money would be available and responses to those telephone calls. Mr. Willson's journal entry of October 14, 2002, in which he wrote that Brian had told him that a man was arriving that day with the certified cheque, also contradicts his evidence that Ms. Ross told him the money was in her trust account. None of the surrounding evidence is consistent with Ms. Ross having told Mr. Willson that the money was in her trust account. I find that she never told Mr. Willson that she had the funds in her trust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were three mortgages on the Golden Heights' property. By mid-October some of the mortgages were in arrears and the mortgage holders were threatening to foreclose. Ms. Ross was constantly speaking to the mortgage holders and assuring them that the sale would close shortly.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October 16, 2002, Ms. Ross met with Mr. Lee and Mr. Willson. Prior to the meeting, Mr. Lee had advised that a representative from Washington Corporation was going to be hand delivering the bank drafts. The representative did not arrive and in the presence of Ms. Ross and Mr. Willson, Mr. Lee made a cell phone call which both Ms. Ross and Mr. Willson believed to be to Mr. Washington. Mr. Lee demanded that Mr. Washington fix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October 1, 2002, Ms. Ross had forwarded Mr. Lee's cheques to two of Golden Heights' mortgage holders, being Interior Equities and the Business Development Bank. At the time of the October 16, 2002 meeting, Ms. Ross knew that the Interior Equities cheque had not cleared. Mr. Lee wanted to keep that information from Mr. Willson. At the meeting, Mr. Willson wanted to know what money had been paid to the mortgage holders. Ms. Ross showed him the two letters but did not disclose that the cheque to Interior Equities had not cleared. She felt that in the context of the meeting, with the deal near collapse, she had to follow Mr. Lee's instruction not to disclose the bounced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By October 18, 2002, Mr. Willson was becoming understandably frustrated over the failure of the sale to close. He and Ms. Ross continued however to believe Mr. Lee and his explanations as to why the funds had not arrived. In hindsight, it is difficult to understand how they could have continued to maintain such belief, but it is clear from the evidence and contemporaneous documents that they did. Both badly wanted the transaction to close and were blind to the warning flags that were there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Lee promised delivery of the funds on October 18, 2002. Ms. Ross arranged for a meeting to take place that day for the purpose of closing the transaction. The documents necessary to close had already been long signed. What was necessary to close was the money to pay out the various encumbrances and the Willsons.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Ross and the Willsons have very different versions as to what took place on the afternoon of Friday October 18, 2002. Mr. Willson says he, his mother and Mr. Lee arrived at Ms. Ross' office at about 4:00 p.m. They were escorted into a meeting room. He says that Ms. Ross arrived shortly after 4:30, excited and smiling. He said she indicated that she had just spoken with Dennis Washington and the sale could now close. At the meeting, Ms. Ross produced a trust reconciliation document together with the two cheques, one payable to Mr. Willson and one payable to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Willson says that Ms. Ross had the trust cheques in her possession at the start of the meeting. There was no suggestion at the meeting that the money was not in her trust account. He said that the cheques were handed over without any conditions. Ms. Ross did not mention that the cheques were post-dated.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Willson said that it was only as he was leaving the meeting that he noticed that the cheques were post-dated to October 22, 2002. He said Ms. Ross then explained that it was now too late to deposit the cheques as the credit union was closed that Saturday, and the funds would be available the following Tuesday. She told him that Dennis Washington required that the funds be paid on October 22, 2002. Mr. Willson says he accepted her explanation and was not disappointed with the delay. He testified that it was a happy meeting and at no time during the meeting was he angry or threatening.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Willson's evidence was similar to that of her son's, except that she did testify her son was upset when he discovered the cheque was post-dated. She denied however that his voice was raised. At her examination for discovery, Ms. Willson had testified that Mr. Willson was very upset when he learned that the cheques were post-dated.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Willson said the meeting was a joyous occasion. She believed that Ms. Ross and Mr. Lee had a private meeting sometime prior to the start of the meeting. She said that at the meeting they went through and signed the various closing documents. Ms. Willson said that when Mr. Willson got upset when he realised the cheques were post-dated, Ms. Ross told him that the cheques "are as good as gold -- take them to the credit union on Tuesday and cash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Ross testified that she expected Mr. Lee to bring a bank draft to the meeting. She said that at the beginning of the meeting Mr. Lee told them he had not yet received the bank draft. She said that Mr. Willson then became very angry as he wanted his cheque. Mr. Lee was also upset and told her she should give the Willsons cheques to 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Ross says that she and Mr. Lee then left the meeting and she told him that she could not give the Willsons their cheques without funds in her account. She said that Mr. Lee became very agitated when she told him she could not issue the cheques. She says that he was seething and telling her the money was going to arrive the next morning. Ms. Ross said she felt quite physically intimidated.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To resolve the impasse, Ms. Ross told Mr. Lee she was prepared to give the Willsons trust cheques post-dated to Tuesday, October 22, 2002. This calmed down Mr. Lee. She then instructed her legal assistant, Ginelle Guthrie, to prepare the two trust cheques post-dated to October 22, 2002 for her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Ross knew when she signed the cheques that there was no money in her trust account. She believed Mr. Lee when he said the money was coming on Saturday morning. She believed that there was little risk in giving the cheques to the Willsons because she intended to stop payment on the cheques if the funds did not arrive. She believed that the delivery of the cheques would resolve her immediate problem and at that point in time she feared for her safety from both Mr. Lee and Mr. Willson.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Ross testified that when she returned to the meeting she handed the cheques to Mr. Willson and to his mother. She said she told them the cheques were being provided in anticipation of closing the transaction on October 22, 2002. She told them that the cheques were post-dated because she had to ensure that the money actually arrived. She told the plaintiffs that they should not take the cheques to the credit union until she had confirmed to them that the cheques could be cashed. She said that both Graeme and Sonia Willson accepted the cheques on the condition they could only be cashed as part of the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Ross prepared no notes of the October 18 meeting. She did not put the conditions she imposed on the delivery of the cheques in writing. She did however, for billing purposes, prepare a note that was entered into the pre-bill summary, which references preparing the post-dated cheques and attending the October 18, 2002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Guthrie also testified about the events of October 18, 2002. Ms. Guthrie has been a legal secretary since 1974. She presently lives in Fort St. John where she is employed as the office manager in the Crown counsel office. She has not worked for Ms. Ross for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Guthrie was very experienced in conveyancing matters. She commenced work on the Golden Heights file in early September. During the course of the transaction, she occasionally spoke to Mr. Willson. She said that he was difficult, volatile and demanding. She found him somewhat intimidating.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Guthrie understood that Ms. Ross' client on the transaction was Mr. Lee. She knew that on closing Ms. Ross was going to pay the encumbrances on behalf of the Willsons.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regard to the events of October 18, 2002, Ms. Guthrie recalls that somewhat late in the day the Willsons and Mr. Lee came to the office to meet Ms. Ross. She overheard raised voices, arguing and yelling. After some time, Ms. Ross left the meeting and asked her to prepare the post-dated trust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request concerned Ms. Guthrie because she knew that there were no funds in trust. While it is not apparently uncommon in a busy conveyancing practice to prepare trust cheques in advance of closing, it was most unusual to deliver them before funds are deposited. Given the history of this transaction, it was particularly perilous. Ms. Guthrie queried Ms. Ross as to whether or not she was sure she wanted to do this. Ms. Ross instructed her to prepare the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Guthrie prepared the two cheques and gave them to Ms. Ross. She also prepared an entry for the billing summary recording her preparation of the cheques. Sometime after preparing the cheques, she saw all of the parties in the reception area, which was near her desk. She heard Ms. Ross say to the Willsons, "Remember you are not to cash these cheques on Tuesday until I call you and say everything is okay." Ms. Guthrie testified that it was a great relief to her to learn that Ms. Ross had put conditions on the delivery of the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Lee assured Ms. Ross that the Washington Corporation representative was coming to Grand Forks on Saturday October 19, 2002 with a bank draft. Ms. Ross arranged to meet Mr. Lee at the credit union to deposit it. On Saturdays, the credit union closes at 1:00 o'clock. After several telephone calls that day, Mr. Lee advised Ms. Ross that the representative would not arrive before the credit union closed. They agreed that Mr. Lee, the Washington Corporation representative and Ms. Ross would meet at Ms. Ross office first thing on October 22,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October 22, 2002, Mr. Lee met Ms. Ross at her office and told her that the representative had not yet arrived. Ms. Ross then went to the credit union to stop payment on the cheques. While Mr. Lee and Ms. Ross were at the credit union, Mr. Lee received a call, which Ms. Ross believed was from the Washington Corporation representative, saying that he was still an hour away. Ms. Ross advised she could not wait and had to stop payment to ensure the cheques were not negotiated. Mr. Lee then called Mr. Willson and told him payment had been stopped because the representative had not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Over the next few days, Mr. Lee continued to represent that the funds would be forthcoming and tentative closing dates were arranged. On October 25, Mr. Willson demanded that if the agreement did not close that day, that the purchasers pay an additional $10,000 per day until closing. Mr. Lee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Needless to say, the agreement never closed. On or about November 1, 2002, Ms. Ross received a telephone call from a lawyer at Bull Housser &amp; Tupper who represented Mr. Washington. He advised her that Mr. Washington knew nothing of the transaction. Shortly thereafter, the mortgage holders of Golden Heights commenced foreclosure proceedings and ultimately went into possession. The Willsons lost their entire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HISTORY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Willsons commenced this litigation on January 21, 2003. Their initial claim was for payment of the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On July 4, 2003, an amended statement of claim was filed. The amended claim alleged that Ms. Ross had made various representations to induce the Willsons to proceed with the transaction without legal representation and to induce them to proceed with the transaction. The plaintiffs allege that Ms. Ross was either negligent or fraudulent in making those representations. Paragraph 21 of the amended statement of claim alleged that because of the defendants' negligent misrepresentations, fraudulent misrepresentations, breach of contract, breach of trust, fraudulent breach of trust,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the plaintiffs suffered loss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 further amended statement of claim was filed on April 19, 2005. At this time, the Willsons were self-represented. This pleading added a claim for judgment in the sum of $100,000, being the penalty for non-completion, and judgment for $10,000 per day beginning October 25, 2002 as per the agreement of October 25,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 second further amended statement of claim was filed on February 2, 2006. It repeated the allegations and added additional claims for an accounting of monies, profits and benefits made and received by the defendants in the course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On June 3, 2008, a third further amended statement of claim was filed. The new statement of claim, which is the claim upon which the trial proceeded, was limited to a claim that the trust cheques were unconditional undertakings and that their dishonour was a breach by Ross of her undertaking. The claims based on misrepresentation, fraud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submit that this case concerns the integrity of lawyers' undertakings and the proper role and duty of lawyers as officers of the court and participants in commerce. The plaintiffs submit that they were the recipients of unqualified and unconditional trust cheques that, in law, constitute unconditional undertakings. The plaintiffs submit that by giving an unconditional undertaking, Ms. Ross voluntarily assumed a personal obligation, which this court should enforce. The plaintiffs submit that to do otherwise would severely undermine the integrity of lawyers' undertakings and introduce a great level of uncertainty and dysfunction into commerce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submit that the enforcement and the undertaking would not represent a windfall to the plaintiffs because the plaintiffs lost the restaurant in the subsequent foreclosure proceedings. Even if the enforcement of the undertaking would lead to a windfall, such was a necessary by-product of upholding the integrity of lawyers' undertakings and the proper role of lawyers in commerce generally, which considerations must be considered to be paramount.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concede that if cheques were delivered conditionally, their action must fail. They submit that I should not accept the evidence of Ms. Ross or Ms. Guthrie as to the events of October 18, 2002. They submit that Ms. Ross' evidence concerning the meeting is not credible and her failure to document the meeting or the trust conditions is strong evidence that the matters did not take place in the manner that she described. They submit that Ms. Guthrie's evidence is not supported by any of the other witnesses and that she is mistaken as to her recollections. They note that the Willsons have no recollection of Ms. Guthrie being present in the office on October 18, 2002 and Ms. Ross has no recollection of Ms. Guthrie being there when any discussions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candidly acknowledge that some of Mr. Willson's recollections may not be accurate, but that he should be believed as to the events of October 18, 2002. They submit the pre-bill summary confirms that the trust cheques were prepared prior to the commencement of the meeting, consistent with the evidence of the Willsons.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defendants submit that the court should accept the evidence of Ms. Ross and Ms. Guthrie as to the circumstances upon which the cheques were delivered. They submit that the cheques were not unconditional orders to pay and did not in the circumstance constitute undertakings. They submit that the evidence of Graeme and Sonia Willson both in regards to October 18, 2002 and throughout these matters is entirely lacking in credibility and should not be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submit that even if the trust cheques do constitute an undertaking, in the unusual circumstances of this case, Ms. Ross was justified in stopping payment on the cheques. Ms. Ross delivered the cheques believing that funds would be delivered sufficient to cover those cheques. They submit that in the circumstances that she was entitled to stop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plaintiffs' case is premised on the October 18, 2002 cheques constituting a lawyer's undertaking. In </w:t>
      </w:r>
      <w:r>
        <w:rPr>
          <w:rFonts w:ascii="arial" w:eastAsia="arial" w:hAnsi="arial" w:cs="arial"/>
          <w:b/>
          <w:i/>
          <w:color w:val="000000"/>
          <w:sz w:val="20"/>
          <w:lang w:val="en-US" w:eastAsia="en-US" w:bidi="ar-SA"/>
        </w:rPr>
        <w:t>Kutilin v. Auerbach</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(1988), 34 B.C.L.R. (2d) 23</w:t>
        </w:r>
      </w:hyperlink>
      <w:r>
        <w:rPr>
          <w:rFonts w:ascii="arial" w:eastAsia="arial" w:hAnsi="arial" w:cs="arial"/>
          <w:color w:val="000000"/>
          <w:sz w:val="20"/>
          <w:lang w:val="en-US" w:eastAsia="en-US" w:bidi="ar-SA"/>
        </w:rPr>
        <w:t xml:space="preserve"> (C.A.), Esson J.A. for the court summarised the nature of a lawyers' undertakings at 28-29: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nature of a lawyer's undertaking has frequently been considered by the courts, generally in the context of summary proceedings taken to enforce the undertaking. Many of the authorities are discussed and considered in two decisions of this court: </w:t>
      </w:r>
      <w:r>
        <w:rPr>
          <w:rFonts w:ascii="arial" w:eastAsia="arial" w:hAnsi="arial" w:cs="arial"/>
          <w:i/>
          <w:color w:val="000000"/>
          <w:sz w:val="20"/>
          <w:lang w:val="en-US" w:eastAsia="en-US" w:bidi="ar-SA"/>
        </w:rPr>
        <w:t>Re Solicitors</w:t>
      </w:r>
      <w:r>
        <w:rPr>
          <w:rFonts w:ascii="arial" w:eastAsia="arial" w:hAnsi="arial" w:cs="arial"/>
          <w:color w:val="000000"/>
          <w:sz w:val="20"/>
          <w:lang w:val="en-US" w:eastAsia="en-US" w:bidi="ar-SA"/>
        </w:rPr>
        <w:t xml:space="preserve"> (1916), 32 D.L.R. 387 and </w:t>
      </w:r>
      <w:r>
        <w:rPr>
          <w:rFonts w:ascii="arial" w:eastAsia="arial" w:hAnsi="arial" w:cs="arial"/>
          <w:i/>
          <w:color w:val="000000"/>
          <w:sz w:val="20"/>
          <w:lang w:val="en-US" w:eastAsia="en-US" w:bidi="ar-SA"/>
        </w:rPr>
        <w:t>Bank of British Columbia v. Mutrie</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(1981), 24 B.C.L.R. 49</w:t>
        </w:r>
      </w:hyperlink>
      <w:r>
        <w:rPr>
          <w:rFonts w:ascii="arial" w:eastAsia="arial" w:hAnsi="arial" w:cs="arial"/>
          <w:color w:val="000000"/>
          <w:sz w:val="20"/>
          <w:lang w:val="en-US" w:eastAsia="en-US" w:bidi="ar-SA"/>
        </w:rPr>
        <w:t xml:space="preserve"> rev'ing </w:t>
      </w:r>
      <w:hyperlink r:id="rId400" w:history="1">
        <w:r>
          <w:rPr>
            <w:rFonts w:ascii="arial" w:eastAsia="arial" w:hAnsi="arial" w:cs="arial"/>
            <w:i/>
            <w:color w:val="0077CC"/>
            <w:sz w:val="20"/>
            <w:u w:val="single"/>
            <w:shd w:val="clear" w:color="auto" w:fill="FFFFFF"/>
            <w:lang w:val="en-US" w:eastAsia="en-US" w:bidi="ar-SA"/>
          </w:rPr>
          <w:t>18 B.C.L.R. 113</w:t>
        </w:r>
      </w:hyperlink>
      <w:r>
        <w:rPr>
          <w:rFonts w:ascii="arial" w:eastAsia="arial" w:hAnsi="arial" w:cs="arial"/>
          <w:color w:val="000000"/>
          <w:sz w:val="20"/>
          <w:lang w:val="en-US" w:eastAsia="en-US" w:bidi="ar-SA"/>
        </w:rPr>
        <w:t>. The law governing this matter has come to us from England and it is to the English authorities that we have generally looked for guidance. I adopt as a concise statement of the nature of an undertaking this language in The Professional Conduct of Solicitors, The Law Society, London, 1986: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15.01 Definition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undertaking is any unequivocal declaration of intention addressed to someone who reasonably places reliance on it and made by:</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solicitor in the course of his practice, either personally or by a member of his staff; or</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solicitor as 'solicitor', but not in the course of his practice;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whereby the solicitor (or in the case of a member of his staff, his employer) becomes personally 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Solicitors must observe scrupulously the terms of any undertaking they give, an obligation which the court has the power to enforce summarily if need be: </w:t>
      </w:r>
      <w:r>
        <w:rPr>
          <w:rFonts w:ascii="arial" w:eastAsia="arial" w:hAnsi="arial" w:cs="arial"/>
          <w:b/>
          <w:i/>
          <w:color w:val="000000"/>
          <w:sz w:val="20"/>
          <w:lang w:val="en-US" w:eastAsia="en-US" w:bidi="ar-SA"/>
        </w:rPr>
        <w:t>115 Place Coop Housing Association v. Burke</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(1994), 94 B.C.L.R. (2d) 60</w:t>
        </w:r>
      </w:hyperlink>
      <w:r>
        <w:rPr>
          <w:rFonts w:ascii="arial" w:eastAsia="arial" w:hAnsi="arial" w:cs="arial"/>
          <w:color w:val="000000"/>
          <w:sz w:val="20"/>
          <w:lang w:val="en-US" w:eastAsia="en-US" w:bidi="ar-SA"/>
        </w:rPr>
        <w:t xml:space="preserve"> (C.A.). The rationale for the judicial enforcement of solicitor's undertakings is stated in </w:t>
      </w:r>
      <w:r>
        <w:rPr>
          <w:rFonts w:ascii="arial" w:eastAsia="arial" w:hAnsi="arial" w:cs="arial"/>
          <w:b/>
          <w:i/>
          <w:color w:val="000000"/>
          <w:sz w:val="20"/>
          <w:lang w:val="en-US" w:eastAsia="en-US" w:bidi="ar-SA"/>
        </w:rPr>
        <w:t>Re Hilliard</w:t>
      </w:r>
      <w:r>
        <w:rPr>
          <w:rFonts w:ascii="arial" w:eastAsia="arial" w:hAnsi="arial" w:cs="arial"/>
          <w:color w:val="000000"/>
          <w:sz w:val="20"/>
          <w:lang w:val="en-US" w:eastAsia="en-US" w:bidi="ar-SA"/>
        </w:rPr>
        <w:t xml:space="preserve"> (1845), 2 Dow. &amp; L. 919 where Coleridge J. at 920-21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Court does not interfere against one of its own officers, merely with a view of enforcing in a more speedy and less expensive mode contracts in which actions might be brought, but does so with a view of securing honesty in the conduct of its officers in all such matters as they undertake to perform or see performed, when employed as such, or because they are such officers. This principle applies equally whether the undertaking be to appear, to accept declaration, or other proceeding in the course of the cause, or to pay the debt and costs. The interference is not so much between party and party to settle disputed rights, as criminally to punish misconduct or disobedience in its officers. In this view the objection relied on does not apply. I have no desire to restrain the jurisdiction of the Court as to the undertakings of its officers on any such ground as the present; they are very often most beneficially made for both parties in a cause, and there would be great injustice in allowing the attorney to get free from them, after the party has foregone the advantage, or paid the price which was the consideration of the undertaking; while on the other hand, there is no hardship on the attorney in enforcing them, for he is never compelled to enter into them; if he does, he should secure himself by an arrangement with his client, and he must be taken to know the legal consequences of his own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Undertakings and trust cheques are the subject of comment in Chapter 11 of the </w:t>
      </w:r>
      <w:r>
        <w:rPr>
          <w:rFonts w:ascii="arial" w:eastAsia="arial" w:hAnsi="arial" w:cs="arial"/>
          <w:i/>
          <w:color w:val="000000"/>
          <w:sz w:val="20"/>
          <w:lang w:val="en-US" w:eastAsia="en-US" w:bidi="ar-SA"/>
        </w:rPr>
        <w:t>Professional Conduct Handbook</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"Handbook</w:t>
      </w:r>
      <w:r>
        <w:rPr>
          <w:rFonts w:ascii="arial" w:eastAsia="arial" w:hAnsi="arial" w:cs="arial"/>
          <w:color w:val="000000"/>
          <w:sz w:val="20"/>
          <w:lang w:val="en-US" w:eastAsia="en-US" w:bidi="ar-SA"/>
        </w:rPr>
        <w:t>") published by the Law Society of British Columbia. The relevant provisions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Undertakings and trust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A lawyer must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give an undertaking that cannot be fulfilled,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fulfil every undertaking given,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scrupulously honour any trust condition once accepted.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Undertakings and trust conditions should be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written, or confirmed in writing,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unambiguous in their terms.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Trust cheques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the most unusual and unforeseen circumstances, which the lawyer must justify, a lawyer who withdraws or authorizes the withdrawal of funds from a trust account by cheque undertakes that the cheque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will be paid,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capable of being certified if presented for that purpose,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Real estate transactions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If a lawyer acting for a purchaser of real property accepts the purchase money in trust and receives a registrable conveyance from the vendor in favour of the purchaser, then the lawyer is deemed to have undertaken to pay the purchase money to the vendor on completion of registration.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Conditional undertakings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lawyer gives an undertaking conditional on something else happening or in respect of which the lawyer does not intend to accept personal responsibility, this must be stated clearly in the undertaking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While the </w:t>
      </w:r>
      <w:r>
        <w:rPr>
          <w:rFonts w:ascii="arial" w:eastAsia="arial" w:hAnsi="arial" w:cs="arial"/>
          <w:i/>
          <w:color w:val="000000"/>
          <w:sz w:val="20"/>
          <w:lang w:val="en-US" w:eastAsia="en-US" w:bidi="ar-SA"/>
        </w:rPr>
        <w:t>Handbook</w:t>
      </w:r>
      <w:r>
        <w:rPr>
          <w:rFonts w:ascii="arial" w:eastAsia="arial" w:hAnsi="arial" w:cs="arial"/>
          <w:color w:val="000000"/>
          <w:sz w:val="20"/>
          <w:lang w:val="en-US" w:eastAsia="en-US" w:bidi="ar-SA"/>
        </w:rPr>
        <w:t xml:space="preserve"> sets out the professional standards that lawyers are supposed to follow, the </w:t>
      </w:r>
      <w:r>
        <w:rPr>
          <w:rFonts w:ascii="arial" w:eastAsia="arial" w:hAnsi="arial" w:cs="arial"/>
          <w:i/>
          <w:color w:val="000000"/>
          <w:sz w:val="20"/>
          <w:lang w:val="en-US" w:eastAsia="en-US" w:bidi="ar-SA"/>
        </w:rPr>
        <w:t>Handbook</w:t>
      </w:r>
      <w:r>
        <w:rPr>
          <w:rFonts w:ascii="arial" w:eastAsia="arial" w:hAnsi="arial" w:cs="arial"/>
          <w:color w:val="000000"/>
          <w:sz w:val="20"/>
          <w:lang w:val="en-US" w:eastAsia="en-US" w:bidi="ar-SA"/>
        </w:rPr>
        <w:t xml:space="preserve"> is not in itself the law: </w:t>
      </w:r>
      <w:r>
        <w:rPr>
          <w:rFonts w:ascii="arial" w:eastAsia="arial" w:hAnsi="arial" w:cs="arial"/>
          <w:b/>
          <w:i/>
          <w:color w:val="000000"/>
          <w:sz w:val="20"/>
          <w:lang w:val="en-US" w:eastAsia="en-US" w:bidi="ar-SA"/>
        </w:rPr>
        <w:t>Kutilin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Handbook</w:t>
      </w:r>
      <w:r>
        <w:rPr>
          <w:rFonts w:ascii="arial" w:eastAsia="arial" w:hAnsi="arial" w:cs="arial"/>
          <w:color w:val="000000"/>
          <w:sz w:val="20"/>
          <w:lang w:val="en-US" w:eastAsia="en-US" w:bidi="ar-SA"/>
        </w:rPr>
        <w:t xml:space="preserve"> does not support the basic premise of the plaintiffs' case that a trust cheque constitutes an undertaking. The </w:t>
      </w:r>
      <w:r>
        <w:rPr>
          <w:rFonts w:ascii="arial" w:eastAsia="arial" w:hAnsi="arial" w:cs="arial"/>
          <w:i/>
          <w:color w:val="000000"/>
          <w:sz w:val="20"/>
          <w:lang w:val="en-US" w:eastAsia="en-US" w:bidi="ar-SA"/>
        </w:rPr>
        <w:t>Handbook</w:t>
      </w:r>
      <w:r>
        <w:rPr>
          <w:rFonts w:ascii="arial" w:eastAsia="arial" w:hAnsi="arial" w:cs="arial"/>
          <w:color w:val="000000"/>
          <w:sz w:val="20"/>
          <w:lang w:val="en-US" w:eastAsia="en-US" w:bidi="ar-SA"/>
        </w:rPr>
        <w:t xml:space="preserve"> deals with undertakings and trust cheques under separate paragraphs. Different rules are applied. The </w:t>
      </w:r>
      <w:r>
        <w:rPr>
          <w:rFonts w:ascii="arial" w:eastAsia="arial" w:hAnsi="arial" w:cs="arial"/>
          <w:i/>
          <w:color w:val="000000"/>
          <w:sz w:val="20"/>
          <w:lang w:val="en-US" w:eastAsia="en-US" w:bidi="ar-SA"/>
        </w:rPr>
        <w:t>Handbook</w:t>
      </w:r>
      <w:r>
        <w:rPr>
          <w:rFonts w:ascii="arial" w:eastAsia="arial" w:hAnsi="arial" w:cs="arial"/>
          <w:color w:val="000000"/>
          <w:sz w:val="20"/>
          <w:lang w:val="en-US" w:eastAsia="en-US" w:bidi="ar-SA"/>
        </w:rPr>
        <w:t xml:space="preserve"> sets out that a lawyer must not give an undertaking that cannot be fulfilled and must fulfill every undertaking given. No exceptions are allowed. This is in distinction to the provisions concerning trust cheques. In regards to such cheques, it is said that a lawyer undertakes, "except in most unusual and unforeseen circumstances", that the cheque will be paid. In other words, the promise is not unconditional and, depending on the circumstances, the lawyer may choose not to honour the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Courts enforce undertakings because they represent a lawyer's unconditional promise to do some act. The courts' jurisdiction comes from its power to require its officers to observe a high standard of conduct. In many cases, a trust account cheque is the instrument by which a lawyer fulfills an outstanding undertaking. Indeed, because the </w:t>
      </w:r>
      <w:r>
        <w:rPr>
          <w:rFonts w:ascii="arial" w:eastAsia="arial" w:hAnsi="arial" w:cs="arial"/>
          <w:i/>
          <w:color w:val="000000"/>
          <w:sz w:val="20"/>
          <w:lang w:val="en-US" w:eastAsia="en-US" w:bidi="ar-SA"/>
        </w:rPr>
        <w:t>Law Society Rules</w:t>
      </w:r>
      <w:r>
        <w:rPr>
          <w:rFonts w:ascii="arial" w:eastAsia="arial" w:hAnsi="arial" w:cs="arial"/>
          <w:color w:val="000000"/>
          <w:sz w:val="20"/>
          <w:lang w:val="en-US" w:eastAsia="en-US" w:bidi="ar-SA"/>
        </w:rPr>
        <w:t xml:space="preserve"> require that any monies held in trust must be deposited into a trust account, in almost any case in which the lawyer has undertaken to pay money to a third party the payment must be made by trust account cheque. That however does not make the trust cheque itself an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No authority was cited to me, nor could I find one in my own research, in which a trust account cheque was found to be in and of itself an undertaking. The nearest case I could locate was </w:t>
      </w:r>
      <w:r>
        <w:rPr>
          <w:rFonts w:ascii="arial" w:eastAsia="arial" w:hAnsi="arial" w:cs="arial"/>
          <w:b/>
          <w:i/>
          <w:color w:val="000000"/>
          <w:sz w:val="20"/>
          <w:lang w:val="en-US" w:eastAsia="en-US" w:bidi="ar-SA"/>
        </w:rPr>
        <w:t>Damodaran v. Choe Kuan Him</w:t>
      </w:r>
      <w:r>
        <w:rPr>
          <w:rFonts w:ascii="arial" w:eastAsia="arial" w:hAnsi="arial" w:cs="arial"/>
          <w:color w:val="000000"/>
          <w:sz w:val="20"/>
          <w:lang w:val="en-US" w:eastAsia="en-US" w:bidi="ar-SA"/>
        </w:rPr>
        <w:t xml:space="preserve">, [1980] A.C. 497 (P.C.). </w:t>
      </w:r>
      <w:r>
        <w:rPr>
          <w:rFonts w:ascii="arial" w:eastAsia="arial" w:hAnsi="arial" w:cs="arial"/>
          <w:b/>
          <w:i/>
          <w:color w:val="000000"/>
          <w:sz w:val="20"/>
          <w:lang w:val="en-US" w:eastAsia="en-US" w:bidi="ar-SA"/>
        </w:rPr>
        <w:t>Damodaran</w:t>
      </w:r>
      <w:r>
        <w:rPr>
          <w:rFonts w:ascii="arial" w:eastAsia="arial" w:hAnsi="arial" w:cs="arial"/>
          <w:color w:val="000000"/>
          <w:sz w:val="20"/>
          <w:lang w:val="en-US" w:eastAsia="en-US" w:bidi="ar-SA"/>
        </w:rPr>
        <w:t xml:space="preserve"> involved a real estate transaction. The purchaser's solicitor had received a signed deed on his undertaking to pay the vendor the purchase price on registration. After registration, a cheque for the balance due was forwarded to the vendor. The solicitor stopped payment on the cheque when he learned of a caveat placed on title. He sought to pay the proceeds into court. The court ordered the solicitor to honour his undertaking and to pay the funds to the vendor. There was no suggestion in the report that the cheque itself was an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 lawyer must fulfill all undertakings. If a trust account cheque is the instrument by which a lawyer purports to honour an undertaking, the lawyer continues to remain liable for that undertaking if the cheque is not honoured. He is liable not because he paid by way of a trust cheque, but because of his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this case, Ms. Ross, as solicitor for the purchaser, had a duty to pay the funds over to the vendors on completion. At their highest, the trust cheques were the instrument by which Ms. Ross intended to honour her undertaking to pay to the Willsons the proceeds on closing. Ms. Ross did not personally undertake to pay the Willsons if the purchaser failed to provide the funds necessary to complete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This conclusion is consistent with </w:t>
      </w:r>
      <w:r>
        <w:rPr>
          <w:rFonts w:ascii="arial" w:eastAsia="arial" w:hAnsi="arial" w:cs="arial"/>
          <w:b/>
          <w:i/>
          <w:color w:val="000000"/>
          <w:sz w:val="20"/>
          <w:lang w:val="en-US" w:eastAsia="en-US" w:bidi="ar-SA"/>
        </w:rPr>
        <w:t>Bank of British Columbia v. Mutrie</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(1981), 24 B.C.L.R. 49</w:t>
        </w:r>
      </w:hyperlink>
      <w:r>
        <w:rPr>
          <w:rFonts w:ascii="arial" w:eastAsia="arial" w:hAnsi="arial" w:cs="arial"/>
          <w:color w:val="000000"/>
          <w:sz w:val="20"/>
          <w:lang w:val="en-US" w:eastAsia="en-US" w:bidi="ar-SA"/>
        </w:rPr>
        <w:t xml:space="preserve"> (C.A.). In </w:t>
      </w:r>
      <w:r>
        <w:rPr>
          <w:rFonts w:ascii="arial" w:eastAsia="arial" w:hAnsi="arial" w:cs="arial"/>
          <w:b/>
          <w:i/>
          <w:color w:val="000000"/>
          <w:sz w:val="20"/>
          <w:lang w:val="en-US" w:eastAsia="en-US" w:bidi="ar-SA"/>
        </w:rPr>
        <w:t>Mutrie</w:t>
      </w:r>
      <w:r>
        <w:rPr>
          <w:rFonts w:ascii="arial" w:eastAsia="arial" w:hAnsi="arial" w:cs="arial"/>
          <w:color w:val="000000"/>
          <w:sz w:val="20"/>
          <w:lang w:val="en-US" w:eastAsia="en-US" w:bidi="ar-SA"/>
        </w:rPr>
        <w:t xml:space="preserve">, the plaintiff bank loaned money to a Mr. Horton. Ms. Mutrie was his counsel. The bank and Ms. Mutrie believed that Mr. Horton was due certain monies from the U.S. Department of Immigration. Ms. Mutrie undertook to pay the bank from that fund. Both the bank and Ms. Mutrie believed that Mr. Horton was a man of substance. Like Mr. Lee in this case, he was not. The trial judge, in reasons reported at </w:t>
      </w:r>
      <w:hyperlink r:id="rId400" w:history="1">
        <w:r>
          <w:rPr>
            <w:rFonts w:ascii="arial" w:eastAsia="arial" w:hAnsi="arial" w:cs="arial"/>
            <w:i/>
            <w:color w:val="0077CC"/>
            <w:sz w:val="20"/>
            <w:u w:val="single"/>
            <w:shd w:val="clear" w:color="auto" w:fill="FFFFFF"/>
            <w:lang w:val="en-US" w:eastAsia="en-US" w:bidi="ar-SA"/>
          </w:rPr>
          <w:t>18 B.C.L.R. 113</w:t>
        </w:r>
      </w:hyperlink>
      <w:r>
        <w:rPr>
          <w:rFonts w:ascii="arial" w:eastAsia="arial" w:hAnsi="arial" w:cs="arial"/>
          <w:color w:val="000000"/>
          <w:sz w:val="20"/>
          <w:lang w:val="en-US" w:eastAsia="en-US" w:bidi="ar-SA"/>
        </w:rPr>
        <w:t>, held Ms. Mutrie liable on her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Court of Appeal reversed. It held that to suggest that Ms. Mutrie was guaranteeing that in the event no such funds existed she would pay out of her own pocket was to "accept the shadow and not the substance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 similar situation exists here. On October 18, 2002, both the Willsons and Ms. Ross erroneously believed that Mr. Lee was a man of substance. Ms. Ross provided the trust cheques on the understanding that Mr. Lee would deposit the funds necessary to close the transaction. She did not guarantee that result. She never agreed to pay the Willsons from her own account, nor did the Willsons expect that she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Even if the trust cheques constituted an undertaking, the Willsons would not be entitled to be paid the face value of the trust cheques. No authority supports such a conclusion. As officers of the court, solicitors are expected to abide by their undertakings and if they do not they may be called upon to honour them. Where a solicitor has it in his or her power to do the act he or she undertook to do, the court may order the solicitor to do what was undertaken. An example of such a case is </w:t>
      </w:r>
      <w:r>
        <w:rPr>
          <w:rFonts w:ascii="arial" w:eastAsia="arial" w:hAnsi="arial" w:cs="arial"/>
          <w:b/>
          <w:i/>
          <w:color w:val="000000"/>
          <w:sz w:val="20"/>
          <w:lang w:val="en-US" w:eastAsia="en-US" w:bidi="ar-SA"/>
        </w:rPr>
        <w:t>McCarthy Tetrault v. Lawson, Lundell, Lawson &amp; McIntosh</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(1991), 58 B.C.L.R. (2d) 310</w:t>
        </w:r>
      </w:hyperlink>
      <w:r>
        <w:rPr>
          <w:rFonts w:ascii="arial" w:eastAsia="arial" w:hAnsi="arial" w:cs="arial"/>
          <w:color w:val="000000"/>
          <w:sz w:val="20"/>
          <w:lang w:val="en-US" w:eastAsia="en-US" w:bidi="ar-SA"/>
        </w:rPr>
        <w:t xml:space="preserve"> (S.C.). Where however the solicitor is no longer able to perform the undertaking, the solicitor may be ordered to pay the loss flowing from the failure to perform the undertaking: </w:t>
      </w:r>
      <w:r>
        <w:rPr>
          <w:rFonts w:ascii="arial" w:eastAsia="arial" w:hAnsi="arial" w:cs="arial"/>
          <w:b/>
          <w:i/>
          <w:color w:val="000000"/>
          <w:sz w:val="20"/>
          <w:lang w:val="en-US" w:eastAsia="en-US" w:bidi="ar-SA"/>
        </w:rPr>
        <w:t>John Fox v. Bannister King</w:t>
      </w:r>
      <w:r>
        <w:rPr>
          <w:rFonts w:ascii="arial" w:eastAsia="arial" w:hAnsi="arial" w:cs="arial"/>
          <w:color w:val="000000"/>
          <w:sz w:val="20"/>
          <w:lang w:val="en-US" w:eastAsia="en-US" w:bidi="ar-SA"/>
        </w:rPr>
        <w:t>, [1987] 1 All E.R. 737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this case, the Willsons suffered no loss as a result of the delivery of the cheques. Pursuant to the share purchase agreement, the Willsons were obliged to pay Golden Heights' encumbrances before receiving their share of the purchase price. The encumbrances were never paid. On October 18, 2002, the Willsons owned the Golden Height shares and they continued to own them on October 22, 2002. Subsequent to October 22, 2002, they continued to negotiate with Mr. Lee. They did not repudiate the contract until November 1, 2002. Their loss arose not from a breach of Ms. Ross's undertaking, but from the failure of Mr. Lee to complete the sale and their subsequent failure to find another buyer.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Alternatively, if I am incorrect and a trust cheque can constitute an undertaking, I find on the facts of this case that the trust cheques were delivered conditionally. I do not accept the Willsons' evidence as to the events that took place on October 18, 2002. Mr. Willson was not a credible witness. Mr. Willson's evidence throughout the trial was entirely inconsistent with the preponderance of probabilities: </w:t>
      </w:r>
      <w:r>
        <w:rPr>
          <w:rFonts w:ascii="arial" w:eastAsia="arial" w:hAnsi="arial" w:cs="arial"/>
          <w:b/>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I have already noted several instances in which I have found his evidence unreliable including his allegation that Ms. Ross told him on several occasions that the money was in her trust account, his evidence that Ms. Ross never disclosed that she was acting only for Mr. Lee and his evidence concerning when Ms. Ross was initially retained to act for Mr. Lee on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Willson was also not a credible witness. Her evidence in chief was limited to the events of October 18, 2002. In cross-examination, she was also asked about being shown trust cheques on October 8,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Concerning the events of October 18, 2002, Ms. Willson's evidence mirrored that of her son. Before giving her evidence, she had been present in court while her son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Concerning the events of October 8, 2002, Ms. Willson testified that Mr. Lee on that day had shown her two trust cheques. She gave similar evidence when examined for discovery. On March 25, 2005, however, she swore an affidavit in these proceedings in which she said: "I attended for examination for discovery on January 7, 2005, where the defendant's counsel, Mr. Patrice Abrioux, presented as evidence copies of trust cheques written on October 8, 2002 and suggested that these were the trust account cheques we were shown to prove the defendant had the funds in trust to complete the sale. They are fabricated evidence which I never saw before that day in discovery". When pressed during cross-examination, she could not explain the contradiction in her evidence. I am unable to rely on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Willsons describe the meeting of October 18, 2002 as being low key and celebratory. They say no voices were raised in anger. The Willsons claim that Ms. Ross came into the office and said she had just finished speaking to Dennis Washington and everything was a go. She had the cheques in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This evidence is to be contrasted with that of Ms. Ross. She testified that she only learned from Mr. Lee when she came into the meeting that he had not yet received the funds, albeit they were expected the following day. She said that Mr. Willson became angry and upset, as did Mr. Lee. Ms. Ross's evidence is consistent with that of Ms. Guthrie who says she heard loud yelling and angry voices coming from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Guthrie said that Ms. Ross came to her during the meeting and asked her to prepare the trust cheques. Ms. Guthrie was clearly reluctant to do so and was greatly relieved when she overheard the discussion in the reception area, which indicated that the cheques were not to be cashed until the money was received. That Ms. Guthrie prepared the cheques is confirmed by her pre-billing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am troubled by Ms. Ross' lack of detailed notes concerning the October 18, 2002 meeting. She wrote voluminous notes in relation to many of the events surrounding this transaction, including the events of October 17, October 19 and October 22. The lack of notes for October 18 is inconsistent with her practice. Ms. Ross explains her lack of notes on the basis that she was intimidated. It is a difficult explanation to accept, particularly when she did prepare a pre-billing summary for the events of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evidence leads me to conclude that by October 18, 2002, Ms. Ross had lost her objectivity concerning the transaction. She was most anxious for the sale to complete and was prepared to go to almost any length to facilitate that result. By this time, she had a significant personal financial stake in the transaction. Her pre-billing summary indicates potential fees in excess of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When Mr. Lee first asked her on October 18 to give cheques to the Willsons, she quite properly refused. She knew that she should not issue the cheques before receiving funds. Faced, however, with the angry demands of both Mr. Lee and Mr. Willson, she resiled and attempted to appease them by having Ms. Guthrie prepare the post-dated trust cheques. She did so in the vain hope that Mr. Lee would in fact come up with the funds as promised, knowing that she could stop payment on the cheques if the funds were not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Guthrie confirms that Ms. Ross delivered the cheques with conditions. Ms. Guthrie is an independent witness who was both credible and reliable. She has been a legal secretary in excess of 35 years and presently holds a responsible position as an administrator of a Crown counsel office. She remembers the events of October 18, 2002. This transaction and its aftermath were memorable.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Guthrie knew that the trust account cheques should not have been delivered to the Willsons absent funds in the account. She recognised the potential for disaster and attempted unsuccessfully to dissuade Ms. Ross from issuing the cheques. As she testified, her concerns were assuaged and she breathed a sigh of relief on learning that the cheques were being delivered on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accept the evidence of Ms. Guthrie as to what happened on October 18. I find that the trust cheques were prepared by Ms. Guthrie in the course of the meeting. I further find that Ms. Ross delivered the cheques on condition that the Willsons would not present the cheques for payment until they were told that the funds to complete had been deposited. Accordingly, even if the trust account cheques are considered to be undertakings, the trust cheques in this case were delivered subject to condition and the plaintiffs' claim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defendants seek special costs. They submit that the allegations of fraud made by the Willsons were reprehensible. They also point to unsubstantiated allegations of lying made by the Willsons against Ms. Ross throughout the trial. In the normal course, allegations of that nature made against a solicitor might well lead to special costs. This is not however a normal situation. Throughout this transaction, Ms. Ross took steps that one would not expect a solicitor to take. She clearly lost control of the situation. If she had acted otherwise, this action might never have been commenced. I appreciate that Ms. Ross was at the time under severe stress in her personal life and that stress may well have impacted and affected her judgment. Her actions were such, however, that it is my tentative conclusion it would not be appropriate to award her special costs, or any costs whatsoever, for the defence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action is dismissed without costs. If either side seeks a different order as to costs they should file written submissions within 21 days of release of these reasons. The other side will have 14 days to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R.B.T. GOEPEL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19,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Revised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Mr. Justice R.B.T. Goepel dated August 8, 2008 have been edited.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first sentence in paragraph 36 on page 11 should read:</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"Mr. Willson said that on numerous occasions, commencing prior to August 21, 2002, Ms. Ross told him she had the money in trust to close the transaction."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first sentence in paragraph 76 on page 22 should read:</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"Solicitors must observe scrupulously the terms of any undertaking they give, an obligation which the court has the power to enforce summarily if need be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5"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Zanetti v. Bonniehon Enterprises Ltd., [2002] B.C.J. No. 1906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August 8,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19, 2002.</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S021578</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1906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1203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116 A.C.W.S. (3d) 605</w:t>
      </w:r>
    </w:p>
    <w:p>
      <w:pPr>
        <w:spacing w:before="120" w:line="260" w:lineRule="atLeast"/>
        <w:rPr>
          <w:lang w:val="en-US" w:eastAsia="en-US" w:bidi="ar-SA"/>
        </w:rPr>
      </w:pPr>
      <w:r>
        <w:rPr>
          <w:rFonts w:ascii="arial" w:eastAsia="arial" w:hAnsi="arial" w:cs="arial"/>
          <w:color w:val="000000"/>
          <w:sz w:val="20"/>
          <w:lang w:val="en-US" w:eastAsia="en-US" w:bidi="ar-SA"/>
        </w:rPr>
        <w:t>Between Gina Zanetti and Tina Zanetti, plaintiffs, and Bonniehon Enterprises Ltd., Bonniehon Management Inc., 562816 British Columbia Ltd., Paul H. Cody, Andrew James Baillargeon,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26" style="position:absolute;z-index:25167872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33" w:name="Keywords_19"/>
      <w:bookmarkEnd w:id="133"/>
      <w:r>
        <w:rPr>
          <w:rFonts w:ascii="arial" w:eastAsia="arial" w:hAnsi="arial" w:cs="arial"/>
          <w:b/>
          <w:color w:val="000000"/>
          <w:sz w:val="20"/>
          <w:lang w:val="en-US" w:eastAsia="en-US" w:bidi="ar-SA"/>
        </w:rPr>
        <w:t>Libel and slander — Defences — Absolute privilege — Statements made in the course of judicial or legal proceedings — Qualified privilege — Employment relationship — Loss of, lack of honest belief or existence of malice — Limitation of actions — Actions in contract — Actions for breach of contract — Actions in tort — Practice — Pleadings — Striking out pleadings — Grounds, failure to disclose a cause of action or defence — Grounds, action prescribed or barred by limitation period.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34" w:name="Case Summary_15"/>
            <w:bookmarkEnd w:id="13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Bonnihon to strike out paragraphs of Zanetti's statement of claim. Zanetti was a tenant in an apartment complex owned and operated by Bonnihon. Zanetti claimed damages arising from a number of disputes. Bonnihon argued that Zanetti could not make reference to defamatory statements in a 1994 letter due to the expiry of the limitation period, that Zanetti's claim for damages arising out of breach of a 1990 tenancy agreement from 1991 to 1994 was also out of time, that reports made by employees to Bonnihon and to an arbitration tribunal regarding Zanetti's misconduct were not defamatory, that presentation of the reports to the arbitration tribunal could not constitute an attempt to obstruct justice, and that Bonnihon's use of Zanetti's name in a petition circulated to other tenants did not disclose a cause of action. </w:t>
            </w:r>
            <w:r>
              <w:rPr>
                <w:lang w:val="en-US" w:eastAsia="en-US" w:bidi="ar-SA"/>
              </w:rPr>
              <w:cr/>
            </w:r>
          </w:p>
          <w:p>
            <w:pPr>
              <w:spacing w:before="120" w:line="260" w:lineRule="atLeast"/>
              <w:ind w:left="240"/>
              <w:jc w:val="both"/>
              <w:rPr>
                <w:lang w:val="en-US" w:eastAsia="en-US" w:bidi="ar-SA"/>
              </w:rPr>
            </w:pPr>
            <w:bookmarkStart w:id="135" w:name="Holdings of Court_13"/>
            <w:bookmarkEnd w:id="135"/>
            <w:r>
              <w:rPr>
                <w:rFonts w:ascii="arial" w:eastAsia="arial" w:hAnsi="arial" w:cs="arial"/>
                <w:color w:val="000000"/>
                <w:sz w:val="20"/>
                <w:lang w:val="en-US" w:eastAsia="en-US" w:bidi="ar-SA"/>
              </w:rPr>
              <w:t>HELD: Application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reference to the 1994 letter was not to claim damages arising out of that publication, but to claim damages for republication in 2001, which was within the limitation period. Claims arising from alleged breaches of the tenancy agreement in 1991 through 1994 were barred. The incident reports made to Bonnihon and to the arbitration tribunal were made on occasions of absolute or qualified privilege. However, the employees did not provide evidence that the statements were true, nor did they deny malice, so the claims of qualified privilege were not established. Absolute privilege did apply to the quasi-judicial hearings of the arbitration tribunal, and this barred both the defamation claim and the obstruction of justice claim. The inclusion of Zanetti's name on the petition disclosed no reasonable cause of action. </w:t>
            </w:r>
            <w:r>
              <w:rPr>
                <w:lang w:val="en-US" w:eastAsia="en-US" w:bidi="ar-SA"/>
              </w:rPr>
              <w:cr/>
            </w:r>
          </w:p>
          <w:p>
            <w:pPr>
              <w:rPr>
                <w:lang w:val="en-US" w:eastAsia="en-US" w:bidi="ar-SA"/>
              </w:rPr>
            </w:pPr>
          </w:p>
        </w:tc>
      </w:tr>
    </w:tbl>
    <w:p>
      <w:pPr>
        <w:jc w:val="both"/>
        <w:rPr>
          <w:lang w:val="en-US" w:eastAsia="en-US" w:bidi="ar-SA"/>
        </w:rPr>
      </w:pPr>
      <w:bookmarkStart w:id="136" w:name="Legislation Cited_16"/>
      <w:bookmarkEnd w:id="13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27" style="position:absolute;z-index:25172992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Rules 18A, 18(6), 19(24)(a).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Limitation Act, R.S.B.C. 1996, c. 266, s. 3(2)(c).</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Privacy Act,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Residential Tenancy Act, R.S.B.C. 1996, c. 406, ss. 54, 55.</w:t>
      </w:r>
      <w:r>
        <w:rPr>
          <w:lang w:val="en-US" w:eastAsia="en-US" w:bidi="ar-SA"/>
        </w:rPr>
        <w:cr/>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p>
          <w:p>
            <w:pPr>
              <w:spacing w:before="120" w:line="260" w:lineRule="atLeast"/>
              <w:ind w:left="240"/>
              <w:jc w:val="both"/>
              <w:rPr>
                <w:lang w:val="en-US" w:eastAsia="en-US" w:bidi="ar-SA"/>
              </w:rPr>
            </w:pPr>
            <w:r>
              <w:rPr>
                <w:rFonts w:ascii="arial" w:eastAsia="arial" w:hAnsi="arial" w:cs="arial"/>
                <w:color w:val="000000"/>
                <w:sz w:val="18"/>
                <w:lang w:val="en-US" w:eastAsia="en-US" w:bidi="ar-SA"/>
              </w:rPr>
              <w:t xml:space="preserve">[Quicklaw note: Supplementary reasons for judgment were released September 3, 2002. See </w:t>
            </w:r>
            <w:hyperlink r:id="rId411" w:history="1">
              <w:r>
                <w:rPr>
                  <w:rFonts w:ascii="arial" w:eastAsia="arial" w:hAnsi="arial" w:cs="arial"/>
                  <w:i/>
                  <w:color w:val="0077CC"/>
                  <w:sz w:val="18"/>
                  <w:u w:val="single"/>
                  <w:shd w:val="clear" w:color="auto" w:fill="FFFFFF"/>
                  <w:lang w:val="en-US" w:eastAsia="en-US" w:bidi="ar-SA"/>
                </w:rPr>
                <w:t>[2002] B.C.J. No. 1994</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lang w:val="en-US" w:eastAsia="en-US" w:bidi="ar-SA"/>
              </w:rPr>
              <w:cr/>
            </w:r>
          </w:p>
          <w:p>
            <w:pPr>
              <w:rPr>
                <w:lang w:val="en-US" w:eastAsia="en-US" w:bidi="ar-SA"/>
              </w:rPr>
            </w:pPr>
          </w:p>
        </w:tc>
      </w:tr>
    </w:tbl>
    <w:p>
      <w:pPr>
        <w:jc w:val="both"/>
        <w:rPr>
          <w:lang w:val="en-US" w:eastAsia="en-US" w:bidi="ar-SA"/>
        </w:rPr>
      </w:pPr>
      <w:bookmarkStart w:id="137" w:name="Counsel_19"/>
      <w:bookmarkEnd w:id="13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28" style="position:absolute;z-index:25178112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plaintiffs acted on their own behalf. Lana K.L. Li, for the defendants.</w:t>
      </w:r>
      <w:r>
        <w:rPr>
          <w:lang w:val="en-US" w:eastAsia="en-US" w:bidi="ar-SA"/>
        </w:rPr>
        <w:cr/>
      </w:r>
    </w:p>
    <w:p>
      <w:pPr>
        <w:spacing w:after="240"/>
        <w:rPr>
          <w:lang w:val="en-US" w:eastAsia="en-US" w:bidi="ar-SA"/>
        </w:rPr>
      </w:pPr>
      <w:bookmarkStart w:id="138" w:name="Judgment_19"/>
      <w:bookmarkEnd w:id="138"/>
      <w:r>
        <w:pict>
          <v:line id="_x0000_s1129" style="position:absolute;z-index:25183232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39" w:name="E.R.A. EDWARDS J."/>
            <w:bookmarkEnd w:id="139"/>
            <w:r>
              <w:rPr>
                <w:rFonts w:ascii="arial" w:eastAsia="arial" w:hAnsi="arial" w:cs="arial"/>
                <w:b/>
                <w:color w:val="000000"/>
                <w:sz w:val="30"/>
                <w:lang w:val="en-US" w:eastAsia="en-US" w:bidi="ar-SA"/>
              </w:rPr>
              <w:t>E.R.A. EDWARDS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is set for a five-day trial commencing December 1, 2003. The plaintiffs have filed a Notice Requiring a Jury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apply under Rule 18A for "dismissal" of paragraphs 5 to 15, 25(a) and (b), and 26 to 32 of the Statement of Claim. The relief sought is more properly characterized as dismissal under Rule 18(6) of the claims that are based on the allegations in those paragraphs, or as an application under Rule 19(24)(a) to strike out those paragraphs from the Statement of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fully argued the application without the plaintiffs objecting as to the form of the Notice of Motion. Although the plaintiffs appeared in person, I can see no prejudice to them in deciding the matter notwithstanding the form of the Notice of Motion.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are tenants in the Surfside apartments, which are owned and operated by the corporate defendants. The personal defendants are the resident manager and the assistant resident manager of the Surfside. The action arises from a series of disputes between the plaintiffs and the defendants.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1994 STATEMENT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Paragraphs 5 to 9 of the Statement of Claim assert that in 1994 Mr. Donald J. Croker, then resident manager of the Surfside, published a libelous statement by writing a letter to the editor of the "Westender" newspaper. In the letter Mr. Croker described the plaintiff Gina Zanetti as a "misfit" and one of few tenants who were "bad apples" who "spoil it for others".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"Westender" did not republish the letter. Although Mr. Croker deposes in an affidavit that he slipped a copy of the letter under the plaintiffs' door in 1994, about the same time he sent it to the "Westender", the plaintiffs deny knowledge of the letter until January 12, 2001. They allege that the defendants republished it "at a quasi-judicial proceeding in an attempt to pervert justice"; that is, at a hearing before an arbitrator under the Residential Tenancy Act, </w:t>
      </w:r>
      <w:hyperlink r:id="rId412" w:history="1">
        <w:r>
          <w:rPr>
            <w:rFonts w:ascii="arial" w:eastAsia="arial" w:hAnsi="arial" w:cs="arial"/>
            <w:i/>
            <w:color w:val="0077CC"/>
            <w:sz w:val="20"/>
            <w:u w:val="single"/>
            <w:shd w:val="clear" w:color="auto" w:fill="FFFFFF"/>
            <w:lang w:val="en-US" w:eastAsia="en-US" w:bidi="ar-SA"/>
          </w:rPr>
          <w:t>R.S.B.C. 1996, c. 406</w:t>
        </w:r>
      </w:hyperlink>
      <w:r>
        <w:rPr>
          <w:rFonts w:ascii="arial" w:eastAsia="arial" w:hAnsi="arial" w:cs="arial"/>
          <w:color w:val="000000"/>
          <w:sz w:val="20"/>
          <w:lang w:val="en-US" w:eastAsia="en-US" w:bidi="ar-SA"/>
        </w:rPr>
        <w:t xml:space="preserve"> ("RTA").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defendants' counsel argued that, in light of s. 3(2)(c) of the Limitation Act, </w:t>
      </w:r>
      <w:hyperlink r:id="rId41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the initial publication by Mr. Croker was no longer actionable when the plaintiffs commenced this action. The plaintiffs argued that the limitation period did not begin until they became aware of the letter in 2001.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Croker is not a defendant. The Statement of Claim does not allege that the corporate defendants either knew or had imputed knowledge of the initial publication of the letter to the "Westender". The Statement of Claim does not seek relief as a result of the initial publication of the letter.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Paragraphs 5 to 9 of the Statement of Claim merely state the factual basis for the allegation at paragraph 10 that the defendants republished a libelous statement. They do not in themselves disclose a claim or cause of action against the defendants. Therefore I need not determine whether any cause of action arising from Mr. Croker's publication of the letter in 1994 is statute barred.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1990 TENANCY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other aspects of the plaintiffs' claim that the defendants contend is barred by the Limitation Act are the allegations in paragraphs 25(a) and (b) of the Statement of Claim. Therein the plaintiffs allege that from 1991 to 1994 Mr. Croker violated the plaintiffs' 1990 tenancy agreement by denying them quiet enjoyment in various ways. The six-year limitation for an action alleging breach of the tenancy agreement expired sometime in 2001. The plaintiffs commenced this action on March 15, 2002. The allegations in paragraph 25(a) and (b) involve events that the plaintiffs knew of when they occurred, so there is no issue of postponement of the limitation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am satisfied that in light of the Limitation Act the facts alleged in paragraphs 25(a) and (b) cannot now sustain a claim.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REPUBLICATIONS OF STATEMENTS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For purposes of this application, the defendants' counsel acknowledged that the court should presume that Mr. Croker's 1994 letter is libelous. The defendants' main point is that, since it was republished on two occasions of absolute or qualified privilege, that is, two proceedings before arbitrators under the RTA, the plaintiffs' libel action cannot succeed.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Two other documents were also before the arbitrators who heard disputes between the plaintiffs and the corporate defendants in January and June 2001. These are "incident reports" written to the corporate defendants and signed by the defendants Mr. Cody and Mr. Baillargeon.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first report alleges that on October 3, 2000, the plaintiffs threw a rock from the roof deck of the Surfside that narrowly missed both Mr. Cody and Mr. Baillargeon, who were on the ground. The second alleges that on October 8, 2000, a rock was thrown from the plaintiffs' ninth-floor suite that also narrowly missed Mr. Baillargeon, who was on the ground. In both reports Mr. Cody expresses the opinion that the rocks "would most probably have killed" him or Mr. Baillargeon if the rocks had hit either on the head.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Paragraph 12 of the Statement of Claim asserts that the reports are false and "meant ... the Plaintiffs were capable of murder" and "bear the meaning of criminal conduct".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Paragraph 14 of the Statement of Claim alleges that the reports were "republished at a Judicial Proceeding" ... "in a deliberate attempt to pervert justice". Again, the referenced proceeding was an arbitration under the RTA.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For purposes of this application, I presume the two reports are libelous. The issue is whether the initial publications to Susan Wong, the principal of the corporate defendants, and the republications at the arbitrations were on occasions of absolute or qualified privilege.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to the publications to Ms. Wong, reports made by employees to employers may be protected by qualified privilege. This is more often the case if defamatory statements are made in response to specific inquiries than if they are volunteered.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Further, malice may vitiate qualified privilege in such a situation. Paragraph 12 of the Statement of Claim alleges the reports were made by the personal defendants "in deliberate attempt (sic) to damage the reputations of the Plaintiffs". I interpret this as an allegation of express malice.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only evidence relevant to the truth of the reports and the absence of malice is in paragraph 5 of Mr. Cody's affidavit sworn August 2, 2002, where he deposes "I deny I have spread falsehoods about the rock throwing incidents".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Unlike Haight-Smith v. Neden, </w:t>
      </w:r>
      <w:hyperlink r:id="rId414" w:history="1">
        <w:r>
          <w:rPr>
            <w:rFonts w:ascii="arial" w:eastAsia="arial" w:hAnsi="arial" w:cs="arial"/>
            <w:i/>
            <w:color w:val="0077CC"/>
            <w:sz w:val="20"/>
            <w:u w:val="single"/>
            <w:shd w:val="clear" w:color="auto" w:fill="FFFFFF"/>
            <w:lang w:val="en-US" w:eastAsia="en-US" w:bidi="ar-SA"/>
          </w:rPr>
          <w:t>[2002] B.C.J. No. 375</w:t>
        </w:r>
      </w:hyperlink>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2002 BCCA 132</w:t>
        </w:r>
      </w:hyperlink>
      <w:r>
        <w:rPr>
          <w:rFonts w:ascii="arial" w:eastAsia="arial" w:hAnsi="arial" w:cs="arial"/>
          <w:color w:val="000000"/>
          <w:sz w:val="20"/>
          <w:lang w:val="en-US" w:eastAsia="en-US" w:bidi="ar-SA"/>
        </w:rPr>
        <w:t>, which is relied upon by the defendants, these employees, who made allegedly libelous statements, did not swear affidavits deposing that what they told their employer was true. Neither Mr. Cody nor Mr. Baillargeon has sworn that the contents of the reports are true or denied the allegation of malice.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conclude that there is insufficient evidence before the court to determine under Rule 18A that Mr. Cody or Mr. Baillargeon published the reports to Ms. Wong on occasions of qualified privilege.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Counsel for the defendants argued that absolute privilege applies to all communications made in the course of, or incidental to, judicial or quasi-judicial proceedings, even if those communications are false or introduced with malice. Counsel for the defendants rely upon Brown, The Law of Defamation in Canada, 2d ed. vol. 1 (Scarborough: Carswell, 1994) pp. 554, 573-577, 587-589, 605-609 and 634-637 and Fridman, The Law of Torts in Canada, vol. 2 (Toronto: Carswell, 1990) pp. 168-169.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did not argue that this was not the law, but argued that arbitration proceedings under the RTA are not quasi-judicial, despite pleading that these very proceedings were "quasi-judicial" and "judicial" in paragraphs 10 and 14 of the Statement of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indicated their intention to apply to amend these paragraphs to delete the words "judicial" and "quasi-judicial", in the light of cases that had come to their attention since filing the Statement of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understood their argument to be that since the arbitrators did not have authority to grant a remedy for introducing false documents, such as finding the defendants in contempt, the proceedings were not quasi-judicial in nature.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reject that submission. Many arbitrators and administrative tribunals lack the full powers of a court, such as the powers to punish for contempt or to enforce their own orders. That does not mean that their proceedings are not quasi-judicial.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am satisfied that the powers granted arbitrators under sections 54 and 55 of the RTA are such that the proceedings in question are properly characterized as quasi-judicial.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proposition that irrelevant and allegedly defamatory statements made or introduced in the quasi-judicial proceedings do not attract absolute privilege was expressly rejected in Kosendiak v. Parsons, </w:t>
      </w:r>
      <w:hyperlink r:id="rId415" w:history="1">
        <w:r>
          <w:rPr>
            <w:rFonts w:ascii="arial" w:eastAsia="arial" w:hAnsi="arial" w:cs="arial"/>
            <w:i/>
            <w:color w:val="0077CC"/>
            <w:sz w:val="20"/>
            <w:u w:val="single"/>
            <w:shd w:val="clear" w:color="auto" w:fill="FFFFFF"/>
            <w:lang w:val="en-US" w:eastAsia="en-US" w:bidi="ar-SA"/>
          </w:rPr>
          <w:t>[1993] B.C.J. No. 1579</w:t>
        </w:r>
      </w:hyperlink>
      <w:r>
        <w:rPr>
          <w:rFonts w:ascii="arial" w:eastAsia="arial" w:hAnsi="arial" w:cs="arial"/>
          <w:color w:val="000000"/>
          <w:sz w:val="20"/>
          <w:lang w:val="en-US" w:eastAsia="en-US" w:bidi="ar-SA"/>
        </w:rPr>
        <w:t xml:space="preserve"> at paragraph 23.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courts have held that the absolute privilege that attaches to evidence given at quasi-judicial proceedings precludes "civil actions of all sorts", including those based on alleged conspiracy to commit perjury,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defamation: see Redman v. Fisher, </w:t>
      </w:r>
      <w:hyperlink r:id="rId416" w:history="1">
        <w:r>
          <w:rPr>
            <w:rFonts w:ascii="arial" w:eastAsia="arial" w:hAnsi="arial" w:cs="arial"/>
            <w:i/>
            <w:color w:val="0077CC"/>
            <w:sz w:val="20"/>
            <w:u w:val="single"/>
            <w:shd w:val="clear" w:color="auto" w:fill="FFFFFF"/>
            <w:lang w:val="en-US" w:eastAsia="en-US" w:bidi="ar-SA"/>
          </w:rPr>
          <w:t>[1986] B.C.J. No. 2675</w:t>
        </w:r>
      </w:hyperlink>
      <w:r>
        <w:rPr>
          <w:rFonts w:ascii="arial" w:eastAsia="arial" w:hAnsi="arial" w:cs="arial"/>
          <w:color w:val="000000"/>
          <w:sz w:val="20"/>
          <w:lang w:val="en-US" w:eastAsia="en-US" w:bidi="ar-SA"/>
        </w:rPr>
        <w:t xml:space="preserve"> (B.C.S.C.), pages 2-3 and Kravit v. Dilli, </w:t>
      </w:r>
      <w:hyperlink r:id="rId417" w:history="1">
        <w:r>
          <w:rPr>
            <w:rFonts w:ascii="arial" w:eastAsia="arial" w:hAnsi="arial" w:cs="arial"/>
            <w:i/>
            <w:color w:val="0077CC"/>
            <w:sz w:val="20"/>
            <w:u w:val="single"/>
            <w:shd w:val="clear" w:color="auto" w:fill="FFFFFF"/>
            <w:lang w:val="en-US" w:eastAsia="en-US" w:bidi="ar-SA"/>
          </w:rPr>
          <w:t>[1998] B.C.J. No. 1479</w:t>
        </w:r>
      </w:hyperlink>
      <w:r>
        <w:rPr>
          <w:rFonts w:ascii="arial" w:eastAsia="arial" w:hAnsi="arial" w:cs="arial"/>
          <w:color w:val="000000"/>
          <w:sz w:val="20"/>
          <w:lang w:val="en-US" w:eastAsia="en-US" w:bidi="ar-SA"/>
        </w:rPr>
        <w:t xml:space="preserve"> (B.C.S.C.), paragraph 31.</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OBSTRUCTION OF JUSTICE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paragraphs 26-30 of the Statement of Claim, the plaintiffs allege that the defendants "did wilfully attempt to obstruct or defeat justice" by presenting false evidence (the incident reports) at the arbitration proceedings. This is somewhat akin to an allegation of perjury. Assuming that a civil cause of action could be based on such an allegation, it would be precluded in this case by absolute privilege on the basis of the authorities just cited.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No cause of action based on libel,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attempted obstruction of justice is maintainable on the basis that the defendants presented Mr. Croker's 1994 letter and the two incident reports as evidence at the arbitration proceedings.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PLAINTIFFS' NAMES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At paragraphs 31 and 32 of the Statement of Claim the plaintiffs allege that the defendants breached the Privacy Act,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when they introduced to the tenants a form of petition bearing the plaintiffs' names as parties to the RTA arbitration of June/August 2001.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petition refers on its face to the arbitration and describes it by reference to the plaintiffs' names. The plaintiffs initiated this arbitration to contest the defendants' decision to close the roof garden and to curtail swimming pool hours at the Surfside. The defendants circulated the petition amongst the tenants to ascertain if they opposed this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explanation of this aspect of their claim was that the defendants attempted, by using a document bearing the plaintiffs' names at the arbitration, to trade in the property that the plaintiffs have in their names to gain an advantage, namely, winning the arbitration.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effect, the plaintiffs are alleging that the defendants, by asking other Surfside tenants what they thought of the plaintiffs' application to the arbitrator, violated the Privacy Act and thereby committed a tort.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This is a novel claim. I am satisfied that the allegations at paragraphs 31 and 32 disclose no reasonable cause of action. If I am wrong, the claim for relief based on the defendants' use of the petition in the arbitration, an occasion of absolute privilege, is precluded for the reasons stated above in relation to the libel and obstruction of justice claims.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result, I order that paragraphs 5 to 10, 13 to 15, 25(a) and (b) and 26 to 32 be struck out of the Statement of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are entitled to costs of this application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E.R.A. EDWARDS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Asselin v. Petter, [2008] B.C.J. No. 2099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S.J. Shabbits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21-25 and 28-31,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S6913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Campbell River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2099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1511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173 A.C.W.S. (3d) 457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Alex Asselin, Keith Morrill, Henryk Buturla, Jesse Tidmarsh, John Zoney, Kenny Hunter, Plaintiffs, and Martin Petter, Don Gillingham, North Island College, Ruedi Pletscher,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1"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0" w:name="Keywords_20"/>
      <w:bookmarkEnd w:id="140"/>
      <w:r>
        <w:rPr>
          <w:rFonts w:ascii="arial" w:eastAsia="arial" w:hAnsi="arial" w:cs="arial"/>
          <w:b/>
          <w:color w:val="000000"/>
          <w:sz w:val="20"/>
          <w:lang w:val="en-US" w:eastAsia="en-US" w:bidi="ar-SA"/>
        </w:rPr>
        <w:t>Education law — Civil liabilities — Of school boards and schools — Action by the plaintiffs dismissed — The plaintiffs sued the defendant college in contract and tort for failure to offer a course that was authorized and accredited by Transport Canada — The court found that there was no breach of contract between the parties, as the defendant never agreed to provide such course — The course was taught in a competent and professional manner — The course was not misrepresented in its description in the school catalogue — None of the defendant's representatives made misrepresentations regarding the nature of the course.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Negligent misrepresentation — Action by the plaintiffs dismissed — The plaintiffs sued the defendant college in contract and tort for failure to offer a course that was authorized and accredited by Transport Canada — The court found that there was no breach of contract between the parties, as the defendant never agreed to provide such course — The course was taught in a competent and professional manner — The course was not misrepresented in its description in the school catalogue — None of the defendant's representatives made misrepresentations regarding the nature of the course.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1" w:name="Case Summary_16"/>
            <w:bookmarkEnd w:id="1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Asselin and five others, against the defendant, North Island College, for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The plaintiffs took an aircraft and transport manufacturing technician's course offered by the defendant. They alleged that the defendant's failure to provide a course authorized by Transport Canada and leading to Transport Canada accreditation was a breach of contract. They alleged that the failure to inform registrants that the course was not approved was a breach of the duty of care. They claimed the course was provided in a negligent manner and not in accordance with Transport Canada guidelines regarding course content. They claimed that their enrollment in the course was a consequence of deceitful and negligent misrepresentations made by representatives of the defendant regarding whether the course would be accredited by Transport Canada by the end of the academic year.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2" w:name="Holdings of Court_14"/>
            <w:bookmarkEnd w:id="14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breach of a contract between the parties. None of the plaintiffs believed that they were enrolling in a course approved by Transport Canada. The defendant never agreed to provide any of the plaintiffs with a course approved by Transport Canada. The defendant provided to each of the plaintiffs the exact course it had agreed to provide. The course was not taught in a negligent manner. The teacher was qualified pursuant to Transport Canada standards for accreditation as an instructor. The course was taught competently and professionally. Transport Canada determined that the course content met its certification criteria. The other plaintiffs were aware that the defendant was not an approved training organization when they enrolled in the course, as it was an apprenticeship rather than a Transport Canada course. The nature of the course was sufficiently described in the course catalogue. There was no evidence that the defendant's representatives personally advised any of the plaintiffs that the course was anything other than one designed to provide skills for a particular occupation as described by the provincial apprenticeship system.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3" w:name="Counsel_20"/>
      <w:bookmarkEnd w:id="1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2"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Alex Asselin, Keith Morrill, Henryk Buturla, Jesse Tidmarsh John Zoney: G.P. Sinnott.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North Island College: W.E. MacDonald.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4" w:name="Judgment_20"/>
      <w:bookmarkEnd w:id="144"/>
      <w:r>
        <w:pict>
          <v:line id="_x0000_s1133" style="position:absolute;z-index:2517821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5" w:name="S.J. SHABBITS J."/>
            <w:bookmarkEnd w:id="145"/>
            <w:r>
              <w:rPr>
                <w:rFonts w:ascii="arial" w:eastAsia="arial" w:hAnsi="arial" w:cs="arial"/>
                <w:b/>
                <w:color w:val="000000"/>
                <w:sz w:val="30"/>
                <w:lang w:val="en-US" w:eastAsia="en-US" w:bidi="ar-SA"/>
              </w:rPr>
              <w:t>S.J. SHABBITS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was discontinued against Martin Petter, Don Gillingham and Ruedi Pletscher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claim of Kenny Hunter was settled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Those parties were therefore not represented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took the Aircraft and Transport Manufacturing Technician's course given by North Island College during the 2002-2003 academic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have pleaded various causes of action. All of their claims arise from their participation in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plead that the defendant's failure to provide them with a course authorized by Transport Canada and leading to Transport Canada accreditation was a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find that none of the plaintiffs believed that they were enrolling in a Transport Canada approved course. I find that the defendant never agreed to provide any of the plaintiffs with a course that was approved by Transport Canada. I find that the defendant provided to each of the plaintiffs the exact course that it had agreed to provide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my opinion, none of the plaintiffs has a claim for damages arising from breach of contract. There was no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plead that the course they took was provided by the defendant in a negligent, careless and neglectful manner and not in accordance with the guidelines of Transport Canada with regard to course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claim that the instruction was inadequate rests in the evidence of the plaintiffs. The plaintiffs presented no evidence from anybody having expertise in education. Mr. Zoney was particularly critical of the 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course instructor was Ruedi Pletscher. He gave evidence about his qualifications and about he conducted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Zoney said that attendance records were inadequate or attendance was not kept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Pletscher said that he took attendance regularly, and kept record of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Zoney did not explain how he knows proper attendance records were not kept. The defendant's communication to Mr. Asselin, to which I refer in paragraph 57 of these reasons, suggests that accurate attendance records were maintained. I find that adequate attendance records were kept.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Zoney said that the students were given the answers to tests they had taken after the tests were completed. He did not explain what was wrong with that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Pletscher said that it was a requirement that tests be fully corrected with the students so that they would know the answers to the questions that had been asked. I accept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Pletscher denied Mr. Zoney's allegation that students who missed a test were given the answers to it before they wrote the test. Mr. Zoney did not provide particulars of this allegation-that is, he did not say which students wrote tests improperly or when. This allegation has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Although this was not pleaded as a separate cause of action, two of the plaintiffs, Mr. Morrilla and Mr. Burtula, said that Mr. Pletscher humiliated them during instruction, and caused them to lose confidence in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Pletscher said that he did correct students as necessary, and that he did point out their deficiencies to them, particularly with the pace of fabrication work. He said such correction is a necessary part of the instruction, and that students can not hope for a successful career in aviation structure without being able to meet the commercial demands of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Both Mr. Morrill and Mr. Burtula passed the course. I have concluded that each of them is not now in a career in aviation because they have chosen not to pursue such a career, and not because of anything Mr. Pletscher said to them during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Zoney wrote to the president of the defendant college on October 30, 2003. He then had these complaints:</w:t>
      </w:r>
      <w:r>
        <w:rPr>
          <w:rFonts w:ascii="arial" w:eastAsia="arial" w:hAnsi="arial" w:cs="arial"/>
          <w:sz w:val="20"/>
          <w:lang w:val="en-US" w:eastAsia="en-US" w:bidi="ar-SA"/>
        </w:rPr>
        <w:cr/>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course curriculum did not meet the Ministry of Transport criteria</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college should have obtained an A.T.O. prior to offering the course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instructor was not qualified pursuant to the Ministry of Transport standards for accreditation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shop inspection by the Ministry of Transport did not meet their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Zoney made his complaints known to Transport Canada before it assessed the course he took and before it considered the defendant's application for accreditation.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Transport Canada determined the course content met its certification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Zoney, and the other plaintiffs, were all aware that the defendant was not an Approved Training Organization when they enrolled in the course. The plaintiffs enrolled in a B.C. Apprenticeship System course, and not in a Transport Canada course. In my opinion, it was open to the defendant to offer a B.C. Apprenticeship course. Mr. Zoney's complaint seems to be that the college could not offer a B.C. Apprenticeship System course, and that only Transport Canada courses could be taught. I do not accept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am satisfied that Mr. Pletscher was qualified pursuant to Transport Canada standards for accreditation as an instructor. Transport Canada accepted that that was so. Mr. Pletscher's evidence as to his training suggested to me that he is highly trained.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Finally, Transport Canada accepted the defendant's shop for the purposes of it being accredited as an Approved Training Organization. Although there have been some deficiencies with the shop, they have been corrected.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have not established that the course they took was delivered in a neglectful or deficient fashion. I find that the course was delivered in a competent and professional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plead that the defendants failure to make clear to all those who wished to register for the course, including the plaintiffs, that the course was not approved and recognized by Transport Canada, was a negligent breach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course that the defendant offered during the 2002 - 2003 academic year was described in its catalogue. The catalogue explained that the course was intended to provide its graduates with the skills required to enter the occupation of Aircraft Structures Technician as described by the B.C. apprenticeship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catalogue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Aircraft structures technicians are responsible for the assessment, planning and implementation of aircraft structural fabrication and manufacturing. You will also gain the skills to work in entry level manufacturing positions in industries such as the fabrication and manufacturing of light rapid transit vehicles and commercial highway tractor and trailers.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catalogue made no reference to Transport Canada accreditation.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Pletscher said that there are different kinds of courses and different accreditation tracks. Apprenticeship courses do lead to careers in aviation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my opinion, there was no obligation on the defendant to explain to prospective students what the course was not-there was only the obligation to accurately explain to them what it was, and that the defendant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the course description of the "Aircraft &amp; Transportation Manufacturing Technician" course in the defendant's catalogue was a fair and accurate description of what the defendant was offering, and that the defendant was not negligent in describing the course to prospective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primary claim of each of the plaintiffs is that as a consequence of misrepresentations made to each of them by representatives of the defendant, they enrolled in the defendant's Aircraft and Transport Manufacturing Technicians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pleaded misrepresentations include that the defendant misrepresented that the course would be accredited by Transport Canada before the end of the 2002/2003 academic year, and that that misrepresentation was made negligently and with deceit.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applied to Transport Canada for Approved Training Organization status on July 25,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obtained certification as a Transport Canada Training Organization on May 10,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Students who now take the course receive credit for basic (technical) training and credit for 11 months of experience towards Transport Canada's Aircraft Maintenance Engineer - Structures Certification, commonly called the "S"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 licensing requirements include that to be successful a candidate must: (i) complete basic training by successful completion of an acceptable aircraft maintenance course OR by successfully challenging Transport Canada's technical training test after having taken a training course with a curriculum acceptable to Transport Canada, AND (ii) passing Transport Canada's regulatory requirements examination, AND (iii) acquiring a minimum of 36 months approved experience that must have included completion of a number of specified aircraft maintenance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claims of each of the plaintiffs in respect of misrepresentation is different. Each must be considered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Alex Asselin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Gregory Alexander Asselin was born in April of 1982. He is 26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After completing high school in 1998, Mr. Asselin was employed in the installation of alarm systems in automobiles.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Asselin took a welding course during the 2001/2002 academic year. He passed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Asselin started the defendants' 2002/2003 Aircraft and Transportation Manufacturing Technician course about two months after the end of the welding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Asselin testified that he applied for the Aircraft and Transportation Manufacturing Technician course in the fall of 2001 when he was still in the welding course. He said he applied to take the Aircraft and Transportation Manufacturing Technician course because he did not like welding, but he did like fabrication.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Asselin said that prior to registration he spoke to Mary Preston, an admissions advisor employed by the defendant in the admission department of its Campbell River Regional Campus, and he spoke to the instructor of the 2001 - 2002 academic year course. Mr. Asselin said that he cannot recall what either of them told him about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Asselin said he thought he had read the course description in the defendants' calendar. The defendants' calendar at that time said that the course would provide its graduates with the skills required to enter the occupation of Aircraft Structures Technician as described by the B.C. Apprenticeship System. That information was correct. The calendar made no reference to certification or accreditation by Transport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Asselin's participation in the course was facilitated by funding provided by the Ministry of Advanced Education, Student Services Branch. Its assessment notification dated July 25, 2002 set out the funding being made available to Mr. Asselin.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Asselin was advised of his acceptance into the course in a letter dated June 19, 2002, from Ms. Preston. Ms. Preston, in that letter, recommended that Mr. Asselin contact the instructor, Bill McPherson, to arrange for an informational interview prior to registration.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2002-2003 course was actually instructed by Mr. Ruedi Pletscher. Mr. McPherson had instructed the 2001/2002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Asselin was unsure whether he spoke to Mr. Pletscher before starting the course, but he was sure that he did not have an informational interview with a course instructor before the start of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Asselin said that at the commencement of the course, Mr. Pletscher told him and others in his class that the defendant was working on obtaining "S" licence accreditation for the benefit of course participants.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Asselin said that at some point he became aware that the defendant might not obtain that accreditation. He thought that occurred after Christmas of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Asselin said that he attended classes until about one and one-half months before the end of the program. He said that he then came to the conclusion that the course would not be accredited by Transport Canada, and that he therefore left the program. He said that he then started employment as a self-employed mechanic.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Asselin is presently employed as a mechanic in a truck and automobile repair facility in Courtenay. He has been there for about two years. Mr. Asselin is in the third year of a four year apprenticeship program relating to mechanics. He said at trial that he intended to challenge the fourth year final test after completing his third year of apprenticeship.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cross examination, Mr. Asselin was confronted with a letter written by the Department Chair, Mechanical and Metal Trades, North Island College, dated April 22,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letter sets out that the Department Chair was advised by the course instructor (Mr. Pletscher) that Mr. Asselin was absent 16 days and late on numerous occasions, which exceeded the 5% limit on the absent attendance requirements, as described by the program regulations, and that Mr. Asselin had missed five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that letter that confirms Mr. Pletscher's evidence that attendance records were kept.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letter set out a number of conditions that Mr. Asselin would have to meet to remain a student. It said that Mr. Asselin's failure to meet the conditions would result in him receiving a grade F in the program on study and that he would have to leave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conditions included that he arrive at class on time each day, that he arrive each day prepared for class, and that he make up the time missed to reduce the accumulative amount of absences to no more than 5% of the total program, and that he complete the assignments and the exams that were overdue.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letter requested that Mr. Asselin sign the letter in order to confirm that he received a copy of the document and that he discussed the content with the course instructor and department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letter concluded with this observation: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desire is to help you succeed in your studies. Please note, however, that we do require an immediate change in your behaviours and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Asselin testified that he didn't think that he had received the letter. He did not challenge that the content of the letter was correct. He agreed that he did not get credit for the course. He said he left the course because there was no point in being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Asselin's claim is based in misrepresentation and deceit. Mr. Asselin pleads that he enrolled in the course as a consequence of misrepresentations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tort of negligent misrepresentation was discussed in </w:t>
      </w:r>
      <w:r>
        <w:rPr>
          <w:rFonts w:ascii="arial" w:eastAsia="arial" w:hAnsi="arial" w:cs="arial"/>
          <w:b/>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Sopinka and Iacobucci J.J. wrote this for the majority of the court at page 110: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required elements for a successful </w:t>
      </w:r>
      <w:r>
        <w:rPr>
          <w:rFonts w:ascii="arial" w:eastAsia="arial" w:hAnsi="arial" w:cs="arial"/>
          <w:b/>
          <w:i/>
          <w:color w:val="000000"/>
          <w:sz w:val="20"/>
          <w:lang w:val="en-US" w:eastAsia="en-US" w:bidi="ar-SA"/>
        </w:rPr>
        <w:t>Hedley Byrne</w:t>
      </w:r>
      <w:r>
        <w:rPr>
          <w:rFonts w:ascii="arial" w:eastAsia="arial" w:hAnsi="arial" w:cs="arial"/>
          <w:color w:val="000000"/>
          <w:sz w:val="20"/>
          <w:lang w:val="en-US" w:eastAsia="en-US" w:bidi="ar-SA"/>
        </w:rPr>
        <w:t>, [1963] 2 All E.R. 575, claim have been stated in many authorities, sometimes in varying forms. The decisions of this Court cited above suggest five general requirements: (1) 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 (5) 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my opinion, Mr. Asselin's claim is completely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 is no evidence that before he started the course the defendant or any of its employees or instructors or personnel advised Mr. Asselin that the course was anything other than a course designed to provide its graduates with the skills required to enter the occupation of Aircraft Structures Technician as described by the B.C. Apprenticeship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There is no evidence that the defendant or anybody associated with the defendant made any misrepresentations to Mr. Asselin that caused him to do anything to his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Asselin decided to enrol in a B.C. apprenticeship system course long before the defendant even considered applying to have the course accredited by Transport Canada for "S" licence purposes. Mr. Asselin was told that the defendant would be applying to have the course receive Transport Canada accreditation only after he was already in the course. Mr. Asselin did not register in or embark on the course because he was told it was a course accredited by Transport Canada or because he was told the course would be accredited by Transport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 is a second reason why Mr. Asselin's claim cannot succeed. Mr. Asselin did not complete the course. He did not fulfill its attendance requirements. He did not take required tests. His performance was unsatisfactory. He abandoned the course before its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Had Mr. Asselin completed the course, he could have embarked on a career in aviation structures fabrication even without Transport Canada accreditation. The course content was later approved by Transport Canada following its review of the defendant's application. Had Mr. Asselin completed the course, he could then have received basic training accreditation by writing Transport Canada's test under its CARS 566 regulations. Mr. Pletscher told Mr. Asselin and the others in his class about that alternative at the outset of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Asselin could not have received credit for any of the "hands on" experience he received during the course. Transport Canada regulations do not allow for recognition of pre-accreditation practical training. Mr. Pletscher denies that he told any of the students that after accreditation they would receive recognition for pre-accreditation hands on experience. But it is now over 60 months since the course ended. Had Mr. Asselin wanted a career in aviation structure, and had he pursued such a career, enough time has passed that he could already have completed the B.C. apprenticeship program as well as obtained "S" standing status. In those circumstances, the issue as to whether he was misled as to whether he could receive recognition for hands on experience, and as to whether that caused him damages would be of relevance. It is not now of any possible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am satisfied, on a balance of probabilities, that Mr. Asselin quit the course because he decided to pursue a career in auto mechanics, and not because the course was not yet recognized by Transport Canada for "S" licensing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Asselin's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Keith Allan Morrill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Morrill is 48 years of age. He is not presently employed. Mr. Morrill's education includes grade 12 standing that he obtained in Alberta and his completion of the defendant's Aircraft and Transportation Manufacturing Technician course which he took during the 2002 - 2003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Morrill had been on social assistance for about two years before he began the defendant's course. As a result, he was eligible for government funded retraining.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Morrill's first choice was to take a course in power engineering. He was unable to take that course because he did not have a sponsor.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Morrill then saw the description of this course on the defendant's web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Morrill applied to take this course in April of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Morrill met with Mr. McPherson and Mr. Pletscher. He testified that Mr. Pletscher told him that the course was being changed to an Aircraft Structures course and that the syllabus for the course would easily exceed what was required for formal "S" training. Mr. Morrill said that he was not told that the defendant was an approved training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Those representations, if they were made,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Morrill said that it was on the first day of class that he and the others were told that the defendant would be applying to have the course formally recognised by Transport Canada for "S" licensing.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That was also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Morrill said that he was made aware of the CARS 566 Regulations, and that he could later apply to take Transport Canada's test relating to basic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Morrill said Mr. Pletscher told them that he anticipated the approval would be received by the end of the school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Pletscher denied that he ever told any members of the class when Transport Canada might approve an application. He testified that he could not predict how long Transport Canada approval might take and that for that reason alone he did not say that the approval would be obtained before the course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prefer Mr. Pletscher's evidence on this point to that of the plaintiffs. It seems to me most unlikely that Mr. Pletscher would have given the students any assurance as to when Transport Canada might do something. Furthermore, there was no reason for him to do that-the class had already started. I find that Mr. Pletscher made no such assurance.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was a delay in the defendant applying for accreditation. This was because of the need to prepare course documentation, particularly a detailed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As it was, Transport Canada took from July of 2003 to May of 2004 to complete the process and approve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Morrill completed the course, and passed it. He was not successful in finding employment in the aviation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Morrill said that the aviation industry did not appeal to him by the time he had finished the course. Although he passed the course, he said that it was obvious to him that Mr. Pletscher considered him unsuitable for a career in aviation structures and that in the result he lost self-confidence and decided not to pursue a career in aviation.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am of the opinion that Mr. Morrill has no cause of action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was only after Mr. Morrill was already in the course that he was told that the defendant was applying to be designated as an Approved Training Organization and that the defendant was applying to have the course formally recognized by Transport Canada for "S" licensing standards. When Mr. Morrill was told that, he was already taking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course was later approved by Transport Canada, although the approval was not received until the spring of 2004. Mr. Morrill could have then applied to be tested. He chose not to do that. He said that one reason why he did not was because since the course was inadequate (at least in his opinion), he would have been deceiving Transport Canada had he applied to take the test on the basis that he had received the necessary training. That explanation, in my view, is absurd. Transport Canada made its own assessment as to the merits of the course, and Mr. Morrill would not have been involved in any deception by taking its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my opinion, the real reason why Mr. Morrill is not in the aviation industry is that he is not interested in pursuing an aviation career. Mr. Morrill seems to have decided that he is not well suited for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am of the view that Mr. Morrill's action must fail for two reasons. The first is that there were no misrepresentations made by the defendant or any of its employees that caused him to do anything. The second is that Mr. Morrill has suffered no loss. He is not in the aviation industry by choice - he could have taken employment in the aviation industry at the end of the course and he could have written the "S" licence test and he could have pursued getting the practical hourly experience required for an "S" licence. He has not done those things. The delay in accreditation did not cause Mr. Burrill any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Henryk Buturla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Buturla is 47 years of age. He is presently employed in Calgary as a labourer.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Buturla immigrated to Canada from Europe in 1990. After working in Alberta for several years he began work near Campbell River in 1995 in a coal mine. He was injured in 1998 and became entitled to Workers' Compensation Board benefits. Mr. Buturla became aware of the defendants Aircraft and Transportation Manufacturing Technician course in 2001. After speaking with an admissions person at the college, he took English 10 and 11 to satisfy the course pre-requisites, and he successfully wrote the mathematical test, which he had challenged. On April 12, 2002, he went to the college and met Mr. Pletscher. Mr. Buturla said that on April 12th he was told by Mr. Pletscher that the defendant was in the process of getting government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Buturla's registration fee for the course was paid in April 2002. He said that he did not meet Mr. Pletscher again before the course started. Mr. Buturla said that in class Mr. Pletscher told the members that this was a brand new course and by the time the course had finished it would be certified by Transport Canada. Mr. Buturla said that he understood that what was meant by that was that after the completion of the course he would have to take two years of on job experience before he could be licensed.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Buturla completed the course, passing the exams.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Buturla testified that during the term, Mr. Pletscher put him down in front of the class. He said Mr. Pletscher said that he was too slow and shouldn't be in the trade. Mr. Buturla said that after Mr. Pletscher's comments with him he lost confidence in himself and decided that he would not pursue an aviation career. He said that in the result he looked for different work after June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He worked in a steel manufacturing shop for awhile, and then moved to Calgary where he worked for a waste management company. He continues to work in Calgary.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Buturla's evidence is that he met Mr. Pletscher on one occasion - April 12th - before the course started. By then, Mr. Buturla had already decided to enrol in the course. He had decided to pursue the course in 2001, although he did not enrol in the course until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am satisfied that Mr. Pletscher did not tell Mr. Buturla in April of 2002 that the course would be accredited by Transport Canada, or that the defendant was applying for Transport Canada accreditation. The defendant's decision to do that had not yet been made. The defendant could have decided to leave the course as a provincial apprenticeship course only, or it could have decided to pursue accreditation other than Transport Canada. It was not until late June of 2002 that the defendant opted for the Transport Canada track of accreditation. Mr. Pletscher denied that in April of 2002 he told Mr. Buturla that the course would be a Transport Canada approved course. I find that he did not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find that no misrepresentations were made to Mr. Buturla before he registered in the course, and that it was only after he was in the course that he was told of the defendant's intent to apply for Transport Canada accreditation. The course that was provided to Mr. Burturla was the course that he had enrolled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am for that reason alone of the opinion that Mr. Buturla's action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There is, as well, a further reason why Mr. Buturla has no cause of action. This course was just the first step of a career in the aviation industry. Mr. Buturla knew that. He knew that he would have to have at least two years practical training before he could obtain any accreditation from anybody for formal standing. After he took the course, Mr. Buturla could have obtained employment in the aviation industry but he did not pursue it. I am of the opinion that the reason that Mr. Buturla did not do that is that he, too, came to the conclusion that he was not well suited for the aviation industry in structures.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Buturla also criticized Mr. Pletscher's teaching methods. He said Mr. Pletscher demeaned him, thereby causing him to lose self-confidence. I do not find that Mr. Pletscher belittled him. Mr. Pletscher said there were shortcomings in his fabrication practices, but he passed the course. Surely the real reason why Mr. Buturla is not in aviation is that he decided that his aptitude for this particular career was not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dismiss Mr. Buturla's claim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Jesse Tidmarsh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Jesse Paul Tidmarsh is 29 years of age. He is one of the graduates of the 2002 to 2003 course that is employed in the aircraft industry. He is working as a sheet-metal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Tidmarsh worked in the logging industry after he graduated from high school. In 2002 he was unemployed when his employer downsized.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Tidmarsh made enquiries about the defendant's course. He was told the course was not an accredited program but that Mr. Pletscher told him that steps were being taken to obtain accreditation and that he, Mr. Pletscher, was confident that the course would be approved before the end of the course. In chief, Mr. Tidmarsh testified that after speaking with Mr. Pletscher, he then spoke with Ms. Preston in admissions who gave him the same information. He said Ms. Preston told him that the defendant had faulty manuals that were being updated and that there would be a re-evaluation conducted before the end of the term, and that he was confident the manuals would be eventually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This testimony was clearly in error. Mr. Tidmarsh conceded in cross examination that Ms. Preston in admissions referred him to Mr. Pletscher, and that he, Mr. Tidmarsh, was wrong in asserting, (and he had done so with considerable confidence) that he had spoken to Mr. Pletscher first. Second, Ms. Preston knew nothing about changes that were proposed to the course. She was in admissions, and she had available to her only information and documentation that was generally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find as a fact that Ms. Preston did not give Mr. Tidmarsh any of the information and assurances of which he spoke for this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 February 21, 2003, Ms. Preston emailed Mr. Gillingham with this inquiry about the course: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Are we waiting on some approval from Transport Canada? I have a student who is basing his decision to register upon a receipt of some approval he had heard was pending?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On February 22, 2003, Mr. Gillingham replied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preparing to submit our proposal for Transport Canada certification as an A.T.O. (authorized training organisation). This will enable students to receive recognized credit toward their T.C.A.M.E.-S licence "transport Canada Aircraft Maintenance Engineer Structures." We hope to have this process complete before the next intake of students in 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am satisfied from those e-mails that prior to February of 2003 Ms. Preston did not know that the defendant was applying for certification as a Transport Canada Authorized Training Organisation, nor did she know that certification would enable students to receive recognized credit toward an "S" licence. I accept Ms. Preston's evidence that she did not know of those things before February, 2003, and that she did not give any of the plaintiffs any pre-course information relating to the accreditation application or to recognition of credits by Transport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After Mr. Tidmarsh completed the course, he obtained employment in aviation fabrication. He continues to work in that area. Mr. Tidmarsh has now applied for a log book, which enables his employment to be accepted for eventual accreditation for an "S". licence. Mr. Tidmarsh did not earlier apply to take any steps toward "S" accreditation, because he did not need that accreditation for his employment, and he was satisfied with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Tidmarsh agrees that he could have applied earlier to have his work experience accepted for eventual "S" accreditation, but he did not do that. He also agrees that having taken the defendant's course he can apply to take the basic training test. He has not yet done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Tidmarsh knew the course was not a Transport Canada accredited course before he started it. Had the defendant's course been accredited by Transport Canada prior to Mr. Tidmarsh beginning the program, Mr. Tidmarsh's successful completion of the course would have meant that he would not have to take the test in respect of formal training, and that he would have received 11 months credit against the three year job experience required for "S" licensing. The experience required is at least three years. It could be longer, as there is not only the three year requirement, but the experience must be in specific work areas. It is unusual for a person to be able to obtain all of the practical training needed from one employer. In either case, that is whether Mr. Tidmarsh attended an accredited training centre or not, Mr. Tidmarsh would have to pass a test on Federal aviation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my opinion, Mr. Tidmarsh has not shown that the fact the defendant's course was not accredited before it ended has made any difference to his career. Although it is true that he must take the Transport Canada Test for his formal training to be recognized and that he would not have had to have taken that test had the defendant's course been accredited when he first enrolled in it, there is no reason to think that he can not successfully complete the test. Transport Canada has accepted that the course Mr. Tidmarsh took meets their requirements. Mr. Tidmarsh now has considerable experience in aviation fabrication.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Furthermore, although Mr. Tidmarsh would have received 11 months experience credit against his experience requirements had the program been approved before he started it, Mr.Tidmarsh has not shown that that has delayed his career. Mr. Tidmarsh has been employed in the aviation industry for four years. The reason why he has not already obtained the "S" licence accreditation is due to his decision not to pursue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There is, however, a more fundamental and basic reason why, in my opinion, Mr. Tidmarsh's claim is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my opinion, there were no misrepresentations made to Mr. Tidmarsh that caused him to do anything that he was not already doing. The program was not accredited by Transport Canada when Mr. Tidmarsh enrolled in it and started to take it, but neither the defendant nor any of its employees said that it was. Mr. Tidmarsh was not misled. Furthermore, the lack of transport Canada accreditation has made no difference to his career. It has not caused him any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John Zoney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John Zoney is 51 years of age. He is presently employed in Langley in the aerospace industry as a production manager with a manufacturing company. His employer manufactures aviation training devices.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Zoney had been a logger. He was injured in 1997. He had a Workers' Compensation Board claim. In the summer of 2002 Mr. Zoney had a vocational rehabilitation counsellor with Workers' Compensation Board. That counsellor, a Mr. Whitehead, was trying to get Mr. Zoney back into the work force. It was Mr. Whitehead that steered Mr. Zoney into the aircraft industry. He did that because the aircraft industry had good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Zoney said that he spoke with Mr. Gillingham of the defendant and was told that the course was not accredited by Transport Canada but that the defendant was engaging Mr. Pletscher, a new instructor.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Zoney testified that he spoke to Mr. Pletscher in August, 2002, and Mr. Pletscher told him that he was reworking documentation, and that the program would be approved by Transport Canada before the 2002 class graduated.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As I have noted, Mr. Pletscher denies saying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Court of Appeal of British Columbia discussed claims for damages for misrepresentation in </w:t>
      </w:r>
      <w:r>
        <w:rPr>
          <w:rFonts w:ascii="arial" w:eastAsia="arial" w:hAnsi="arial" w:cs="arial"/>
          <w:b/>
          <w:i/>
          <w:color w:val="000000"/>
          <w:sz w:val="20"/>
          <w:lang w:val="en-US" w:eastAsia="en-US" w:bidi="ar-SA"/>
        </w:rPr>
        <w:t>P.D. Management Ltd. v. Chemposite Inc</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2006 BCCA 489</w:t>
        </w:r>
      </w:hyperlink>
      <w:r>
        <w:rPr>
          <w:rFonts w:ascii="arial" w:eastAsia="arial" w:hAnsi="arial" w:cs="arial"/>
          <w:color w:val="000000"/>
          <w:sz w:val="20"/>
          <w:lang w:val="en-US" w:eastAsia="en-US" w:bidi="ar-SA"/>
        </w:rPr>
        <w:t>. Kirkpatrick J.A. said this for the court at paras. 13 and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even if, as found by the learned chambers judge, the alleged representations were true representations, they did not give rise to actionable misrepresentations. A "misrepresentation" is an "intentional false statement respecting a matter of fact, made by one of the parties to a contract, which is material to the contract and influential in producing it" (</w:t>
      </w:r>
      <w:r>
        <w:rPr>
          <w:rFonts w:ascii="arial" w:eastAsia="arial" w:hAnsi="arial" w:cs="arial"/>
          <w:b/>
          <w:i/>
          <w:color w:val="000000"/>
          <w:sz w:val="20"/>
          <w:lang w:val="en-US" w:eastAsia="en-US" w:bidi="ar-SA"/>
        </w:rPr>
        <w:t>Black's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supra</w:t>
      </w:r>
      <w:r>
        <w:rPr>
          <w:rFonts w:ascii="arial" w:eastAsia="arial" w:hAnsi="arial" w:cs="arial"/>
          <w:color w:val="000000"/>
          <w:sz w:val="20"/>
          <w:lang w:val="en-US" w:eastAsia="en-US" w:bidi="ar-SA"/>
        </w:rPr>
        <w:t xml:space="preserve"> at 1301).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settled law that an alleged misrepresentation must pertain to a matter of fact. In </w:t>
      </w:r>
      <w:r>
        <w:rPr>
          <w:rFonts w:ascii="arial" w:eastAsia="arial" w:hAnsi="arial" w:cs="arial"/>
          <w:b/>
          <w:i/>
          <w:color w:val="000000"/>
          <w:sz w:val="20"/>
          <w:lang w:val="en-US" w:eastAsia="en-US" w:bidi="ar-SA"/>
        </w:rPr>
        <w:t>MacMillan v. Kaiser Equipment Ltd.,</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2003 BCSC 672</w:t>
        </w:r>
      </w:hyperlink>
      <w:r>
        <w:rPr>
          <w:rFonts w:ascii="arial" w:eastAsia="arial" w:hAnsi="arial" w:cs="arial"/>
          <w:color w:val="000000"/>
          <w:sz w:val="20"/>
          <w:lang w:val="en-US" w:eastAsia="en-US" w:bidi="ar-SA"/>
        </w:rPr>
        <w:t xml:space="preserve"> (CanLII), </w:t>
      </w:r>
      <w:hyperlink r:id="rId427" w:history="1">
        <w:r>
          <w:rPr>
            <w:rFonts w:ascii="arial" w:eastAsia="arial" w:hAnsi="arial" w:cs="arial"/>
            <w:i/>
            <w:color w:val="0077CC"/>
            <w:sz w:val="20"/>
            <w:u w:val="single"/>
            <w:shd w:val="clear" w:color="auto" w:fill="FFFFFF"/>
            <w:lang w:val="en-US" w:eastAsia="en-US" w:bidi="ar-SA"/>
          </w:rPr>
          <w:t>2003 BCSC 672</w:t>
        </w:r>
      </w:hyperlink>
      <w:r>
        <w:rPr>
          <w:rFonts w:ascii="arial" w:eastAsia="arial" w:hAnsi="arial" w:cs="arial"/>
          <w:color w:val="000000"/>
          <w:sz w:val="20"/>
          <w:lang w:val="en-US" w:eastAsia="en-US" w:bidi="ar-SA"/>
        </w:rPr>
        <w:t xml:space="preserve">, aff'd </w:t>
      </w:r>
      <w:hyperlink r:id="rId428" w:history="1">
        <w:r>
          <w:rPr>
            <w:rFonts w:ascii="arial" w:eastAsia="arial" w:hAnsi="arial" w:cs="arial"/>
            <w:i/>
            <w:color w:val="0077CC"/>
            <w:sz w:val="20"/>
            <w:u w:val="single"/>
            <w:shd w:val="clear" w:color="auto" w:fill="FFFFFF"/>
            <w:lang w:val="en-US" w:eastAsia="en-US" w:bidi="ar-SA"/>
          </w:rPr>
          <w:t>2004 BCCA 270</w:t>
        </w:r>
      </w:hyperlink>
      <w:r>
        <w:rPr>
          <w:rFonts w:ascii="arial" w:eastAsia="arial" w:hAnsi="arial" w:cs="arial"/>
          <w:color w:val="000000"/>
          <w:sz w:val="20"/>
          <w:lang w:val="en-US" w:eastAsia="en-US" w:bidi="ar-SA"/>
        </w:rPr>
        <w:t xml:space="preserve"> (CanLII), </w:t>
      </w:r>
      <w:hyperlink r:id="rId428" w:history="1">
        <w:r>
          <w:rPr>
            <w:rFonts w:ascii="arial" w:eastAsia="arial" w:hAnsi="arial" w:cs="arial"/>
            <w:i/>
            <w:color w:val="0077CC"/>
            <w:sz w:val="20"/>
            <w:u w:val="single"/>
            <w:shd w:val="clear" w:color="auto" w:fill="FFFFFF"/>
            <w:lang w:val="en-US" w:eastAsia="en-US" w:bidi="ar-SA"/>
          </w:rPr>
          <w:t>2004 BCCA 270</w:t>
        </w:r>
      </w:hyperlink>
      <w:r>
        <w:rPr>
          <w:rFonts w:ascii="arial" w:eastAsia="arial" w:hAnsi="arial" w:cs="arial"/>
          <w:color w:val="000000"/>
          <w:sz w:val="20"/>
          <w:lang w:val="en-US" w:eastAsia="en-US" w:bidi="ar-SA"/>
        </w:rPr>
        <w:t>, this Court dismissed the claims for damages for misrepresentation because "it is clear that each of the alleged representations relate to a future occurrence, and not to an existing state of events. A future offer is not an actionable representation" (para. 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am of the opinion that it has not been shown that anything Mr. Pletscher is alleged to have said to Mr. Zoney was an actionable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am of the opinion that it has not been proven that anything Mr. Pletscher said to him was said deceitfully or negligently. I find that Mr. Pletscher did not tell Mr. Zoney Transport Canada accreditation would be received before the course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Zoney said that he wrote the Math and English prerequisite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Zoney wrote his WCB advisor on August 22, 2002. Mr. Zoney told him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course is recognized and Transport Canada approved for licensing.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Zoney testified that although he knew the course wasn't approved for licensing, he told his advisor that it was approved because Mr. Pletscher had told him that the course would be approved. Mr. Zoney's letter to his advisor reflects poorly on his veracity and reliability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Zoney testified that he wouldn't have taken the course if he had know that there was a problem in respect of accreditation and that nobody had told him the course might not be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fact, there was no particular problem with accreditation, other than that the time involved was longer than he had anticipated.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Zoney said that he attended the course and enjoyed the work. He said that it was a good learning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After completing the course, Mr. Zoney was unsuccessful in finding employment in the aviation industry. He attributed that to some potential employers not accepting his training and to others not having work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After pursuing matters with W.C.B., Mr. Zoney was approved to take a similar course in the 2004/2005 academic year, this time at Abbotsford, which by then was an Approved Training Organization. He completed that course. He then obtained his present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Zoney has not pursued "S" accreditation. It is not required for his present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Zoney was critical of the manner in which Mr. Pletscher conducted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referred to those complaints earlier. Mr. Zoney's complaints were, at least in part, directed at his theory that if he had applied to have his training with the defendant accredited, he would have been misleading Transport Canada. Mr. Zoney said that was why he did not apply to take the CARS basic training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fact, Transport Canada evaluated the program after Mr. Zoney made his allegations known to them, and it approved the defendant's facility and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am of the opinion that there is no credible reason why Mr. Zoney could have been thought to have being misleading Transport Canada by taking the Transport Canada CARS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After the program had been evaluated, which was before Mr. Zoney took the second course, Mr. Zoney could have taken the Transport Canada CARS test and had his basic training with the defendant recognized by Transport Canada for "S" licensing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Zoney has now decided that he will not get an "S" licence at all. He is satisfied with his present work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am of the opinion that Mr. Zoney's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First, Mr. Zoney was not misled. He knew that the course was not Transport Canada approved when he started it. He was told that application would be made for approval. That was done. I find that he was not given any assurance that Transport Canada approval would be obtained before the course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Second, I see no reason why Mr. Zoney took the course over again. He could have obtained basic training accreditation by writing the Cars test. He could have done that before he started the Abbotsford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Abbotsford course did provide Mr. Zoney with the equivalent of about 11 month's experience, but he would have received the same experience had he simply started working, and not retaken the same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fact the defendant's course could not retroactively provide him with recognized experience has made no difference to his career. He is not pursuing "S"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am of the opinion that Mr. Zoney's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plaintiffs' claims are dismissed. The defendant is entitled to its costs on Scale B, unless there are matters of which I am not aware. In that event, the parties may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S.J. SHABBITS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4" style="position:absolute;z-index:2518333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Bader v. British Columbia (Minister of Public Safety), [2015] B.C.J. No. 885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G. Taylor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30 and April 14,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S137280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885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715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Travis Bader and Silvercore Advanced Training Systems Inc., Plaintiffs, and Her Majesty the Queen in Right of the Province of British Columbia (Minister of Public Safety and Solicitor General), Constable David Clarke, Constable Michael Everitt and Jeff Harrison,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5"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6" w:name="Keywords_21"/>
      <w:bookmarkEnd w:id="146"/>
      <w:r>
        <w:rPr>
          <w:rFonts w:ascii="arial" w:eastAsia="arial" w:hAnsi="arial" w:cs="arial"/>
          <w:b/>
          <w:color w:val="000000"/>
          <w:sz w:val="20"/>
          <w:lang w:val="en-US" w:eastAsia="en-US" w:bidi="ar-SA"/>
        </w:rPr>
        <w:t xml:space="preserve">Civil litigation — Civil procedure — Parties — Adding or substituting — After expiry of limitation period — Application by plaintiffs to add defendants dismissed — Police executed search warrants at plaintiffs' residence and business premises in connection with firearms investigation — Plaintiffs subsequently commenced action for damages for, among other things, unlawful interference with contractual and economic relations,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and misfeasance of public office — Plaintiffs sought to add five individual police defendants to action — Application refused due to late stage of proceedings, unexplained delay, prior availability of relevant information regarding proposed defendants, expiration of limitation period, and potential prejudice — Supreme Court Civil Rules, Rule 6-2(7).</w:t>
      </w:r>
    </w:p>
    <w:p>
      <w:pPr>
        <w:jc w:val="both"/>
        <w:rPr>
          <w:rFonts w:ascii="arial" w:eastAsia="arial" w:hAnsi="arial" w:cs="arial"/>
          <w:sz w:val="20"/>
          <w:lang w:val="en-US" w:eastAsia="en-US" w:bidi="ar-SA"/>
        </w:rPr>
      </w:pPr>
      <w:bookmarkStart w:id="147" w:name="Legislation Cited_17"/>
      <w:bookmarkEnd w:id="1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6"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Police Act, </w:t>
      </w:r>
      <w:hyperlink r:id="rId436" w:history="1">
        <w:r>
          <w:rPr>
            <w:rFonts w:ascii="arial" w:eastAsia="arial" w:hAnsi="arial" w:cs="arial"/>
            <w:i/>
            <w:color w:val="0077CC"/>
            <w:sz w:val="20"/>
            <w:u w:val="single"/>
            <w:shd w:val="clear" w:color="auto" w:fill="FFFFFF"/>
            <w:lang w:val="en-US" w:eastAsia="en-US" w:bidi="ar-SA"/>
          </w:rPr>
          <w:t>RSBC 1996, CHAPTER 367, s. 11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6-2</w:t>
      </w:r>
      <w:r>
        <w:rPr>
          <w:rFonts w:ascii="arial" w:eastAsia="arial" w:hAnsi="arial" w:cs="arial"/>
          <w:color w:val="000000"/>
          <w:sz w:val="20"/>
          <w:lang w:val="en-US" w:eastAsia="en-US" w:bidi="ar-SA"/>
        </w:rPr>
        <w:t>(7), Rule 6-2(9), Rule 6-2(10)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8" w:name="Counsel_21"/>
      <w:bookmarkEnd w:id="14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7"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J.B. Gratl.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Minister of Public Safety and Solicitor General and Jeff Harrison: G. Stark.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Constable M. Everitt: T. Milne.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9" w:name="Judgment_21"/>
      <w:bookmarkEnd w:id="149"/>
      <w:r>
        <w:pict>
          <v:line id="_x0000_s1138" style="position:absolute;z-index:2518343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0" w:name="MASTER G. TAYLOR"/>
            <w:bookmarkEnd w:id="150"/>
            <w:r>
              <w:rPr>
                <w:rFonts w:ascii="arial" w:eastAsia="arial" w:hAnsi="arial" w:cs="arial"/>
                <w:b/>
                <w:color w:val="000000"/>
                <w:sz w:val="30"/>
                <w:lang w:val="en-US" w:eastAsia="en-US" w:bidi="ar-SA"/>
              </w:rPr>
              <w:t>MASTER G. TAYLOR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seek an order pursuant to Rule 6-2(7)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to permit them to add as defendants in the action Staff Sergeant M. Connor ("S/Sgt. Connor"), Superintendent Janis Gray ("Supt. Gray"), Chief Superintendent Jim Gresham ("C/Supt. Gresham"), Deputy Commissioner Craig Callens ("D/Comr. Callens") and Inspector Jim Cunningham ("Insp. Cunningham"), and to grant leave to file and deliver an amended notice of civil claim in the same form as attached to the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Rule 6-2(7) provides:</w:t>
      </w:r>
      <w:r>
        <w:rPr>
          <w:rFonts w:ascii="arial" w:eastAsia="arial" w:hAnsi="arial" w:cs="arial"/>
          <w:sz w:val="20"/>
          <w:lang w:val="en-US" w:eastAsia="en-US" w:bidi="ar-SA"/>
        </w:rPr>
        <w:cr/>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cease to be party if that person is not, or has ceased to be, a proper or necessary party,</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Subrules (9) and (10) are not involved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May 16, 2008, search warrants were executed on the residence of Travis Bader ("Bader") and the business premises of Silvercore Advanced Training Systems Inc. ("Silvercore").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May 14, 2010, Bader and Silvercore, together with Gordon Bader, Jane Bader, Sylvan Bader, and Jared Bader (collectively, the "Bader family") filed a writ of summons commencing action number S103436. The cause of action arose out of a firearms investigation which resulted in the execution of the search warrants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Jeff Harrison, one of the defendants, was examined for discovery on November 4,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November 30, 2012, a notice of trial was filed in the Bader family action with a trial date scheduled for June 2, 2014 for 15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December 6, 2012, Bader and Silvercore filed a notice of appointment or change of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September 27, 2013, Master Tokarek granted leave to Bader and Silvercore to allow them to commence a new action. That action was commenced by writ and statement of claim on October 1, 2013 against the Minister, Constable David Clarke, Constable Michael Everitt and Jeff Harrison. The action number is S137280, which is the same action number, and style of cause, as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Bader and Silvercore, were granted leave to amend the statement of claim and to file a notice of civil claim on November 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On November 15, 2013, Bader and Silvercore filed a notice of civil claim which pled the same cause of action as previously pled, but added the torts of malicious procurement and execution of a search warrant, injurious falsehood, unlawful interference with economic relations, unlawful interference with contractual relations, misfeasance in public office,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malicious or wilful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An application by the Minister and Jeff Harrison on November 15, 2013 to strike the notice of civil claim was dismissed. Thereafter, further amended lists of documents were exchanged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By application heard on January 21, 2015, Bader and Silvercore sought to compel examinations for discovery of Supt. Gray, C/Supt. Gresham, D/Comr. Callens and S/Sgt. M. Connor. Following the hearing, Master Scarth ordered that only Supt. Gray attend an examination for discovery before February 13, 2015 as a representative of the Minister of Justice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one of the few substantive factual paragraphs in the plaintiff's notice of application, the plaintiffs say that at her examination for discovery on February 13, 2015, Supt. Gray admitted that she, as a Sergeant in 2008, C/Supt. Gresham and D/Comr. Callens effectively formed part of the "command triangle" that was in charge of the investigation. Further, the plaintiff says that according to the evidence of Supt. Gray, each of Supt. Gray, C/Supt. Gresham and D/Comr. Callens, provided oversight, supervision and contributed elements of the team commander role to the investigation of Bader and Silvercore.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also say in their notice of application that a major case management command triangle consist of a file coordinator, a primary investigator and a team commander.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plaintiffs submit that the alleged conduct of the four intended defendants did not come to light until a disclosure in June of 2014 when briefing notes of the intended execution of the search warrants were provided to the plaintiffs. The plaintiffs allege that the roles of the four intended defendants were advertently or inadvertently concealed by this non-disclosure. Therefore, the plaintiffs say they should not be found culpable of delay in bringing this application and that the court should not consider the application of the </w:t>
      </w:r>
      <w:r>
        <w:rPr>
          <w:rFonts w:ascii="arial" w:eastAsia="arial" w:hAnsi="arial" w:cs="arial"/>
          <w:i/>
          <w:color w:val="000000"/>
          <w:sz w:val="20"/>
          <w:lang w:val="en-US" w:eastAsia="en-US" w:bidi="ar-SA"/>
        </w:rPr>
        <w:t>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intended defendants submit that the plaintiffs merely missed the mention of these individuals in other documents which had been provided to the plaintiffs almost from the start of the action, but in no way say or concede that the mention of them in any way inculpates them in anything tortious. In fact, these defendants and intended defendants submit that the intended defendants were mentioned in documents provided well before November 2011 such that their alleged involvement could have been discerned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Moreover, maintain the proposed defendants, any involvement of the proposed defendants could have been the subject of discovery had the plaintiffs exercised their rights under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to examine a representative of the Minister of Justice for British Columbia before February 13, 2015 which was when Supt. Gray was examined in that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That the test to add defendants in an ongoing action is a two-part test is undeniable. As was said in </w:t>
      </w:r>
      <w:r>
        <w:rPr>
          <w:rFonts w:ascii="arial" w:eastAsia="arial" w:hAnsi="arial" w:cs="arial"/>
          <w:i/>
          <w:color w:val="000000"/>
          <w:sz w:val="20"/>
          <w:lang w:val="en-US" w:eastAsia="en-US" w:bidi="ar-SA"/>
        </w:rPr>
        <w:t>Strata Plan LMS 1816 v. Acastina Investments Ltd</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2004 BCCA 578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joinder under subrule (5)(a)(iii) has two branches. The court must be satisfied: (1) that there is a question or issue between the parties relating to the relief, remedy, or subject matter of the suit; and (2) it is just and convenient to determine the issue in the proceedings in question. The first branch of the test requires that the judge must be satisfied that a real and not frivolous issue exists between the plaintiff and the person sought to be added. The question before us is whether that determination can be made on the pleadings alone, without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subrule referred to in </w:t>
      </w:r>
      <w:r>
        <w:rPr>
          <w:rFonts w:ascii="arial" w:eastAsia="arial" w:hAnsi="arial" w:cs="arial"/>
          <w:i/>
          <w:color w:val="000000"/>
          <w:sz w:val="20"/>
          <w:lang w:val="en-US" w:eastAsia="en-US" w:bidi="ar-SA"/>
        </w:rPr>
        <w:t>Acastina</w:t>
      </w:r>
      <w:r>
        <w:rPr>
          <w:rFonts w:ascii="arial" w:eastAsia="arial" w:hAnsi="arial" w:cs="arial"/>
          <w:color w:val="000000"/>
          <w:sz w:val="20"/>
          <w:lang w:val="en-US" w:eastAsia="en-US" w:bidi="ar-SA"/>
        </w:rPr>
        <w:t xml:space="preserve"> is essentially identical to subrule (7) in Rule 6-2 as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Another issue for determination is whether there is to be a weighing of the evidence. In that regard, Madam Justice Russell said in </w:t>
      </w:r>
      <w:r>
        <w:rPr>
          <w:rFonts w:ascii="arial" w:eastAsia="arial" w:hAnsi="arial" w:cs="arial"/>
          <w:i/>
          <w:color w:val="000000"/>
          <w:sz w:val="20"/>
          <w:lang w:val="en-US" w:eastAsia="en-US" w:bidi="ar-SA"/>
        </w:rPr>
        <w:t>Forde v. Interior Health Authority,</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2007 BCSC 1706</w:t>
        </w:r>
      </w:hyperlink>
      <w:r>
        <w:rPr>
          <w:rFonts w:ascii="arial" w:eastAsia="arial" w:hAnsi="arial" w:cs="arial"/>
          <w:color w:val="000000"/>
          <w:sz w:val="20"/>
          <w:lang w:val="en-US" w:eastAsia="en-US" w:bidi="ar-SA"/>
        </w:rPr>
        <w:t xml:space="preserve"> at paragraph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branch of the Rule 15(5)(a)(iii) test will be met when a plaintiff can show that it has a possible cause of action against a proposed defendant. The threshold at this stage is low, and evidence is not to be analyzed. In </w:t>
      </w:r>
      <w:r>
        <w:rPr>
          <w:rFonts w:ascii="arial" w:eastAsia="arial" w:hAnsi="arial" w:cs="arial"/>
          <w:i/>
          <w:color w:val="000000"/>
          <w:sz w:val="20"/>
          <w:lang w:val="en-US" w:eastAsia="en-US" w:bidi="ar-SA"/>
        </w:rPr>
        <w:t>MacMillan Bloedel Ltd. v. Binstead</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[1982] B.C.W.L.D. 494 (C.A.) at para. 16, the court set out the correct approach that a trial judge should take when evaluating the first branch of the test: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clear that one of the functions of the chambers judge hearing an application under this rule must be to decide whether there may exist between the appropriate parties a question which can be answered or an issue which can be decided by a court of law or by a judge exercising jurisdiction in a judicial capacity and to see, through whatever means, and not necessarily affidavits, that the question or issue is a real one in the sense that it is not entirely frivolous and would result in courts wasting judicial time. It is not the function, in my opinion, to decide whether on any kind of balance it is likely that the plaintiff would be able to prove its allegations on a balance of probabilities or to any other degree beyond showing that there may exist a question or such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Paragraph 58a of the intended pleadings contains an allegation against all the intended defendants as set out herein: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58a. The Defendants Janis Gray, Jim Gresham and Craig Callens supervised the investigation and were responsible to provide oversight and direction to other investigators. The Defendant Jim Cunningham was responsible to provide oversight and direction in respect of firearms offences to other investigators. The Defendants Janis Gray. Jim Gresham, Craig Callens and Jim Cunningham knew that the Plaintiffs Travis Bader and Silvercore had ongoing business relationships and contracts with policing and public security agencies and their members and private security agencies and their employees, as well as training facilities. They were aware that the Plaintiffs were developing a new venture to build a firearms range and use of force training facility and had approached investors. They were also aware that these business relationships, contracts, business expectations, and ventures would be jeopardized and undermined by the arrest and prosecution of the Plaintiffs. The Defendants Janis Gray, Jim Gresham. Craig Callens and Jim Cunningham were grossly negligent and willfully permitted the Plaintiffs suffer the injuries set out above knowing that they had not committed any criminal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Then at paragraph 71 of the pleadings, the plaintiffs allege that the Province is jointly and severally liable for the actions and omissions of the defendants and, among other things, allege the province was liable for failing to remove the defendant, Harrison, from a position that allowed him to undermine the business interests of Bader and Silvercore, when it was known or ought to have been known that the defendant Harrison had a business interest in conflict with the interests of Bader and Silvercore.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proposed defendants submit that paragraph 71 of the pleadings is in keeping with section 11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second branch of the test is whether or not it is just and convenient to add the intended parties. In determining what is just and convenient: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court will consider a number of factors to determine whether it would be just and convenient to add the proposed defendants. These factors may include: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stage of the proceedings at which the application is made;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a delay in bringing the application;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 for the delay;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limitation period has expired;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prejudice caused by the delay;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any connection between the existing claims and the proposed new causes of action and whether it is suitable that the issues be tried together;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 whether the proposed new claims will not only increase the number of parties but also the issues and overall scope of the litigation, with resulting costs and delay: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Odyssey Tower Properties Ltd.</w:t>
      </w:r>
      <w:r>
        <w:rPr>
          <w:rFonts w:ascii="arial" w:eastAsia="arial" w:hAnsi="arial" w:cs="arial"/>
          <w:color w:val="000000"/>
          <w:sz w:val="20"/>
          <w:lang w:val="en-US" w:eastAsia="en-US" w:bidi="ar-SA"/>
        </w:rPr>
        <w:t xml:space="preserve">, at para. 31; </w:t>
      </w:r>
      <w:r>
        <w:rPr>
          <w:rFonts w:ascii="arial" w:eastAsia="arial" w:hAnsi="arial" w:cs="arial"/>
          <w:i/>
          <w:color w:val="000000"/>
          <w:sz w:val="20"/>
          <w:lang w:val="en-US" w:eastAsia="en-US" w:bidi="ar-SA"/>
        </w:rPr>
        <w:t>Court of Milan Bankruptcy Proceedings v. Yorkton Securities Inc.</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1999 BCCA 774</w:t>
        </w:r>
      </w:hyperlink>
      <w:r>
        <w:rPr>
          <w:rFonts w:ascii="arial" w:eastAsia="arial" w:hAnsi="arial" w:cs="arial"/>
          <w:color w:val="000000"/>
          <w:sz w:val="20"/>
          <w:lang w:val="en-US" w:eastAsia="en-US" w:bidi="ar-SA"/>
        </w:rPr>
        <w:t xml:space="preserve"> at para. 18; and </w:t>
      </w:r>
      <w:r>
        <w:rPr>
          <w:rFonts w:ascii="arial" w:eastAsia="arial" w:hAnsi="arial" w:cs="arial"/>
          <w:i/>
          <w:color w:val="000000"/>
          <w:sz w:val="20"/>
          <w:lang w:val="en-US" w:eastAsia="en-US" w:bidi="ar-SA"/>
        </w:rPr>
        <w:t>L.A.D. v. T.G.D.</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2005 BCSC 1802</w:t>
        </w:r>
      </w:hyperlink>
      <w:r>
        <w:rPr>
          <w:rFonts w:ascii="arial" w:eastAsia="arial" w:hAnsi="arial" w:cs="arial"/>
          <w:color w:val="000000"/>
          <w:sz w:val="20"/>
          <w:lang w:val="en-US" w:eastAsia="en-US" w:bidi="ar-SA"/>
        </w:rPr>
        <w:t xml:space="preserve"> at para.26.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(Holmes v. United Furniture Warehouse, </w:t>
      </w:r>
      <w:hyperlink r:id="rId442" w:history="1">
        <w:r>
          <w:rPr>
            <w:rFonts w:ascii="arial" w:eastAsia="arial" w:hAnsi="arial" w:cs="arial"/>
            <w:i/>
            <w:color w:val="0077CC"/>
            <w:sz w:val="20"/>
            <w:u w:val="single"/>
            <w:shd w:val="clear" w:color="auto" w:fill="FFFFFF"/>
            <w:lang w:val="en-US" w:eastAsia="en-US" w:bidi="ar-SA"/>
          </w:rPr>
          <w:t>[2009] B.C.J. No. 2630</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[1996] B.C.J. No. 234</w:t>
        </w:r>
      </w:hyperlink>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19 B.C.L.R. (3d) 282</w:t>
        </w:r>
      </w:hyperlink>
      <w:r>
        <w:rPr>
          <w:rFonts w:ascii="arial" w:eastAsia="arial" w:hAnsi="arial" w:cs="arial"/>
          <w:color w:val="000000"/>
          <w:sz w:val="20"/>
          <w:lang w:val="en-US" w:eastAsia="en-US" w:bidi="ar-SA"/>
        </w:rPr>
        <w:t>, discretion to permit amendments is unfettered, subject only to the general rule that it be exercised judicially.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consider all of the above factors in making my determination of the application:</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has been brought very late in the proceedings. There have already been other trial dates set, the most recent one of March 2, 2015 for 15 days which was adjourned, where the current applicants were prepared to proceed without the intended defendants. The next trial date has been set for January 18, 2016 for 35 days;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has already been discussed, this application could have been brought much earlier as the information was available to the plaintiffs;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reason given for the delay is that the plaintiffs say they only just received the information in a further disclosure made in June, 2014. By that time each party was on its 6th or 7th Further Amended List of Documents. The plaintiffs suggest to the court that this late disclosure was either advertent or inadvertent, but provide no evidence of either, save by implication only;</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 period has expired;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and will be prejudice to the proposed defendants caused by the delay in bringing this application given the passage of time since the expiry of the limitation period;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the proposed defendants will not add anything to the plaintiffs' claims, but will add parties, issues, and add costs and likely further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also take the view, much like Russell J. in </w:t>
      </w:r>
      <w:r>
        <w:rPr>
          <w:rFonts w:ascii="arial" w:eastAsia="arial" w:hAnsi="arial" w:cs="arial"/>
          <w:i/>
          <w:color w:val="000000"/>
          <w:sz w:val="20"/>
          <w:lang w:val="en-US" w:eastAsia="en-US" w:bidi="ar-SA"/>
        </w:rPr>
        <w:t>Forde, supra</w:t>
      </w:r>
      <w:r>
        <w:rPr>
          <w:rFonts w:ascii="arial" w:eastAsia="arial" w:hAnsi="arial" w:cs="arial"/>
          <w:color w:val="000000"/>
          <w:sz w:val="20"/>
          <w:lang w:val="en-US" w:eastAsia="en-US" w:bidi="ar-SA"/>
        </w:rPr>
        <w:t>, that the plaintiffs seek to make blanket allegations against the proposed defendants which are imprecise and overly general as these proposed defendants are merely being added as the superior officers of the current defendants at the time. Many of the allegations in the proposed amendments are that the proposed defendants knew or ought to have known certain facts about the plaintiffs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point out further that this application could possibly be seen to be an abuse of process since the plaintiff have already unsuccessfully applied to court to examine the proposed defendants on discovery rather than add them as proposed defendants some time ago, and now seek to add them as parties, which would allow them to examine each as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Accordingly, I have determined that the plaintiffs' application be dismissed with costs payable to the defendants in any event of the cause but not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 observation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my view, the material filed on behalf of the plaintiffs in support of this application was inadequate. In that regard, I commend to all concerned paragraphs 44 to 56 of the judgment of Adair J. in </w:t>
      </w:r>
      <w:r>
        <w:rPr>
          <w:rFonts w:ascii="arial" w:eastAsia="arial" w:hAnsi="arial" w:cs="arial"/>
          <w:i/>
          <w:color w:val="000000"/>
          <w:sz w:val="20"/>
          <w:lang w:val="en-US" w:eastAsia="en-US" w:bidi="ar-SA"/>
        </w:rPr>
        <w:t>Dupre v. Patterson</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2013 BCSC 1561</w:t>
        </w:r>
      </w:hyperlink>
      <w:r>
        <w:rPr>
          <w:rFonts w:ascii="arial" w:eastAsia="arial" w:hAnsi="arial" w:cs="arial"/>
          <w:color w:val="000000"/>
          <w:sz w:val="20"/>
          <w:lang w:val="en-US" w:eastAsia="en-US" w:bidi="ar-SA"/>
        </w:rPr>
        <w:t>, and, in particular, paragraph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G. TAYLOR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9"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Bains v. Chatakanonda, [2018] B.C.J. No. 7101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K.W. Ball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29-November 2, 2018.</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November 2, 2018.</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M180408</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[2018] B.C.J. No. 7101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2018 BCSC 2412</w:t>
      </w:r>
    </w:p>
    <w:p>
      <w:pPr>
        <w:spacing w:before="120" w:line="260" w:lineRule="atLeast"/>
        <w:rPr>
          <w:lang w:val="en-US" w:eastAsia="en-US" w:bidi="ar-SA"/>
        </w:rPr>
      </w:pPr>
      <w:r>
        <w:rPr>
          <w:rFonts w:ascii="arial" w:eastAsia="arial" w:hAnsi="arial" w:cs="arial"/>
          <w:color w:val="000000"/>
          <w:sz w:val="20"/>
          <w:lang w:val="en-US" w:eastAsia="en-US" w:bidi="ar-SA"/>
        </w:rPr>
        <w:t>Between Rupninder Kaur Bains, Plaintiff, and Sophanat Chatakanonda,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0" style="position:absolute;z-index:25168179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51" w:name="Keywords_22"/>
      <w:bookmarkEnd w:id="15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Determination of liability in a motor vehicle collision case — On June 12, 2014, the plaintiff was driving behind the defendant's vehicle — The defendant planned to turn left into an alley — The defendant's vehicle was stopped with brake and signal lights operating when it was struck by the plaintiff's vehicle — The defendant stopped for a proper safety reason — The defendant's vehicle was there to be seen, with signal and brake lights illuminated — The plaintiff was following too closely for safety — The plaintiff was negligent and 100 per cent responsible for the accident.</w:t>
      </w:r>
    </w:p>
    <w:p>
      <w:pPr>
        <w:jc w:val="both"/>
        <w:rPr>
          <w:lang w:val="en-US" w:eastAsia="en-US" w:bidi="ar-SA"/>
        </w:rPr>
      </w:pPr>
      <w:bookmarkStart w:id="152" w:name="Legislation Cited_18"/>
      <w:bookmarkEnd w:id="15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41" style="position:absolute;z-index:2517329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Act, </w:t>
      </w:r>
      <w:hyperlink r:id="rId452" w:history="1">
        <w:r>
          <w:rPr>
            <w:rFonts w:ascii="arial" w:eastAsia="arial" w:hAnsi="arial" w:cs="arial"/>
            <w:i/>
            <w:color w:val="0077CC"/>
            <w:sz w:val="20"/>
            <w:u w:val="single"/>
            <w:shd w:val="clear" w:color="auto" w:fill="FFFFFF"/>
            <w:lang w:val="en-US" w:eastAsia="en-US" w:bidi="ar-SA"/>
          </w:rPr>
          <w:t>R.S.B.C. 1996, c. 318, s. 156</w:t>
        </w:r>
      </w:hyperlink>
      <w:r>
        <w:rPr>
          <w:rFonts w:ascii="arial" w:eastAsia="arial" w:hAnsi="arial" w:cs="arial"/>
          <w:color w:val="000000"/>
          <w:sz w:val="20"/>
          <w:lang w:val="en-US" w:eastAsia="en-US" w:bidi="ar-SA"/>
        </w:rPr>
        <w:t>, s. 158(1)(a)</w:t>
      </w:r>
      <w:r>
        <w:rPr>
          <w:lang w:val="en-US" w:eastAsia="en-US" w:bidi="ar-SA"/>
        </w:rPr>
        <w:cr/>
      </w:r>
    </w:p>
    <w:p>
      <w:pPr>
        <w:keepNext/>
        <w:spacing w:before="240" w:line="340" w:lineRule="atLeast"/>
        <w:rPr>
          <w:lang w:val="en-US" w:eastAsia="en-US" w:bidi="ar-SA"/>
        </w:rPr>
      </w:pPr>
      <w:bookmarkStart w:id="153" w:name="Counsel_22"/>
      <w:bookmarkEnd w:id="153"/>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2" style="position:absolute;z-index:2517841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D. Gautam.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M. Jeftic, M. Jeftic.</w:t>
      </w:r>
      <w:r>
        <w:rPr>
          <w:lang w:val="en-US" w:eastAsia="en-US" w:bidi="ar-SA"/>
        </w:rPr>
        <w:cr/>
      </w:r>
    </w:p>
    <w:p>
      <w:pPr>
        <w:spacing w:after="240"/>
        <w:rPr>
          <w:lang w:val="en-US" w:eastAsia="en-US" w:bidi="ar-SA"/>
        </w:rPr>
      </w:pPr>
      <w:bookmarkStart w:id="154" w:name="Judgment_22"/>
      <w:bookmarkEnd w:id="154"/>
      <w:r>
        <w:pict>
          <v:line id="_x0000_s1143" style="position:absolute;z-index:25183539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Ruling Re Finding of Liability in a</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Motor Vehicle Collision Case</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55" w:name="K.W. BALL J. (orally)"/>
            <w:bookmarkEnd w:id="155"/>
            <w:r>
              <w:rPr>
                <w:rFonts w:ascii="arial" w:eastAsia="arial" w:hAnsi="arial" w:cs="arial"/>
                <w:b/>
                <w:color w:val="000000"/>
                <w:sz w:val="30"/>
                <w:lang w:val="en-US" w:eastAsia="en-US" w:bidi="ar-SA"/>
              </w:rPr>
              <w:t>K.W. BALL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oral reasons for judgment in a motor vehicle collision case. As with all oral reasons, I reserve the right to edit should the need arise. The outcome will not change.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June 12, 2014, the plaintiff was driving northbound on 156th Street in Surrey, British Columbia. Her vehicle was following the defendant's vehicle. She testified that she was travelling at more than 50 kilometres an hour one car length behind the defendant's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planned to turn left into an alley located on the west side of 156th Street, north of 93rd Avenue in Surrey. The defendant testified that he had driven along this road on a daily basis for five years. His evidence was that north of 93rd Avenue he was driving below 30 kilometres an hour because he did not have far to go before his planned turn. That evidence was not challenged in cross-examination. I accept that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testified he illuminated his left-turn signal and braked to stop while moving his vehicle to the left onto a painted traffic island opposite the entrance into the alley into which he intended to turn. As acknowledged by the plaintiff and shown in photos Exhibit 6 and 7, the two driver's side tires of the defendant's vehicle and a substantial portion of that vehicle were fully on top of the painted traffic island. The evidence, which I accept, was that the defendant's vehicle, while absorbing the impact of the plaintiff's vehicle, did not move during or after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testified that she did not see either brake lights nor signal lights deployed by the defendant. The defendant was not cross-examined on either lights being operated by him. There was no evidence to suggest that the signal lights or brake lights on the defendant's vehicle were either inoperative or defective.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I find the defendant's vehicle was stopped with brake and left-turn signal lights operating while sitting partially on the painted traffic island, the collision then occurred. The plaintiff's vehicle struck the passenger side rear corner of the defendant's vehicle with the driver's side front corner of the plaintiff's vehicle. The defendant was, I find, waiting for a pedestrian to clear the opening of the westbound alley. The plaintiff also testified she did not see a pedestrian.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 evidence of the defendant, which I prefer, this was a case where the defendant was driving slowly to a location where his turn to the left could be conducted in safety. He had made the turn safely for five years. His neighbours did the same. He braked to a stop for a proper safety reason to ensure the alley entrance was clear, but then on this occasion he did not turn because of the presence of a pedestrian.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left turn over a traffic island was not a prohibited activity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because of the effect of s. 156 of that 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 provided a number of cases in argument. First was </w:t>
      </w:r>
      <w:r>
        <w:rPr>
          <w:rFonts w:ascii="arial" w:eastAsia="arial" w:hAnsi="arial" w:cs="arial"/>
          <w:i/>
          <w:color w:val="000000"/>
          <w:sz w:val="20"/>
          <w:lang w:val="en-US" w:eastAsia="en-US" w:bidi="ar-SA"/>
        </w:rPr>
        <w:t>Gibson v. Matthies</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2017 BCSC 839</w:t>
        </w:r>
      </w:hyperlink>
      <w:r>
        <w:rPr>
          <w:rFonts w:ascii="arial" w:eastAsia="arial" w:hAnsi="arial" w:cs="arial"/>
          <w:color w:val="000000"/>
          <w:sz w:val="20"/>
          <w:lang w:val="en-US" w:eastAsia="en-US" w:bidi="ar-SA"/>
        </w:rPr>
        <w:t>, a decision of Crawford J. of this court, which involved a collision on an access ramp where the defendant vehicle applied its brakes and the plaintiff collided with the defendant. It was agreed by the parties in that case that when the defendant braked, he was not in an area where the following vehicle would expect the defendant to slow down or stop. It was a highway ramp without an exit.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court was satisfied that the plaintiff could have stopped if travelling at the speed and the distance behind to which the plaintiff had testified. The plaintiff was found not to be reliable. The court ordered a 50/50 split of liability. Given the location of the case at bar, where access from and to an alley was available, this case is distinguishable on its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court was provided with the trial judgment in </w:t>
      </w:r>
      <w:r>
        <w:rPr>
          <w:rFonts w:ascii="arial" w:eastAsia="arial" w:hAnsi="arial" w:cs="arial"/>
          <w:i/>
          <w:color w:val="000000"/>
          <w:sz w:val="20"/>
          <w:lang w:val="en-US" w:eastAsia="en-US" w:bidi="ar-SA"/>
        </w:rPr>
        <w:t>Ayers v. Singh</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(1995), 59 A.C.W.S. (3d) 1030</w:t>
        </w:r>
      </w:hyperlink>
      <w:r>
        <w:rPr>
          <w:rFonts w:ascii="arial" w:eastAsia="arial" w:hAnsi="arial" w:cs="arial"/>
          <w:color w:val="000000"/>
          <w:sz w:val="20"/>
          <w:lang w:val="en-US" w:eastAsia="en-US" w:bidi="ar-SA"/>
        </w:rPr>
        <w:t xml:space="preserve"> (B.C.S.C.), and reviewed the Court of Appeal judgment </w:t>
      </w:r>
      <w:hyperlink r:id="rId12" w:history="1">
        <w:r>
          <w:rPr>
            <w:rFonts w:ascii="arial" w:eastAsia="arial" w:hAnsi="arial" w:cs="arial"/>
            <w:i/>
            <w:color w:val="0077CC"/>
            <w:sz w:val="20"/>
            <w:u w:val="single"/>
            <w:shd w:val="clear" w:color="auto" w:fill="FFFFFF"/>
            <w:lang w:val="en-US" w:eastAsia="en-US" w:bidi="ar-SA"/>
          </w:rPr>
          <w:t>[1997] B.C.J. No. 350</w:t>
        </w:r>
      </w:hyperlink>
      <w:r>
        <w:rPr>
          <w:rFonts w:ascii="arial" w:eastAsia="arial" w:hAnsi="arial" w:cs="arial"/>
          <w:color w:val="000000"/>
          <w:sz w:val="20"/>
          <w:lang w:val="en-US" w:eastAsia="en-US" w:bidi="ar-SA"/>
        </w:rPr>
        <w:t>, which involved a defendant driving a vehicle with inoperative brake lights. The trial judge concluded the inoperative lights had little to do with the matter but found as a fact on the evidence that several witnesses said the defendant came to an abrupt stop while driving towards a green light in an intersection. There was no justification for the stop, and the defendant was clearly negligent. That case is distinguishable on its facts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case of </w:t>
      </w:r>
      <w:r>
        <w:rPr>
          <w:rFonts w:ascii="arial" w:eastAsia="arial" w:hAnsi="arial" w:cs="arial"/>
          <w:i/>
          <w:color w:val="000000"/>
          <w:sz w:val="20"/>
          <w:lang w:val="en-US" w:eastAsia="en-US" w:bidi="ar-SA"/>
        </w:rPr>
        <w:t>Vahman v. Cutts</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2015 BCSC 298</w:t>
        </w:r>
      </w:hyperlink>
      <w:r>
        <w:rPr>
          <w:rFonts w:ascii="arial" w:eastAsia="arial" w:hAnsi="arial" w:cs="arial"/>
          <w:color w:val="000000"/>
          <w:sz w:val="20"/>
          <w:lang w:val="en-US" w:eastAsia="en-US" w:bidi="ar-SA"/>
        </w:rPr>
        <w:t>, involved a collision between a vehicle travelling straight along 23rd Avenue near Lonsdale in North Vancouver and a vehicle, the plaintiff's, turning left across the path of the defendant's vehicle. In a summary trial application, the defendant succeeded by obtaining an order dismissing the action. The plaintiff in that action made a left turn in circumstances where he could not see or determine if he could make his planned turn in safety, and in fact he could not. The defendant was not reasonably expected to see the plaintiff suddenly appear, hence the dismissal of the plaintiff's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As noted consistently in the case law, motor vehicle cases are fact specific. The </w:t>
      </w:r>
      <w:r>
        <w:rPr>
          <w:rFonts w:ascii="arial" w:eastAsia="arial" w:hAnsi="arial" w:cs="arial"/>
          <w:i/>
          <w:color w:val="000000"/>
          <w:sz w:val="20"/>
          <w:lang w:val="en-US" w:eastAsia="en-US" w:bidi="ar-SA"/>
        </w:rPr>
        <w:t>Vahman</w:t>
      </w:r>
      <w:r>
        <w:rPr>
          <w:rFonts w:ascii="arial" w:eastAsia="arial" w:hAnsi="arial" w:cs="arial"/>
          <w:color w:val="000000"/>
          <w:sz w:val="20"/>
          <w:lang w:val="en-US" w:eastAsia="en-US" w:bidi="ar-SA"/>
        </w:rPr>
        <w:t xml:space="preserve"> case is clearly distinguishable as the defendant's vehicle in the case at bar, was ahead of the plaintiff's vehicle travelling at not more than 30 kilometres an hour, signalled a left turn, pulled onto a traffic island partially out of the northbound lane and then stopped. The defendant's vehicle was there to be seen, stopped with signal and brake lights illuminated. The plaintiff apparently did not see the defendant's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the case of </w:t>
      </w:r>
      <w:r>
        <w:rPr>
          <w:rFonts w:ascii="arial" w:eastAsia="arial" w:hAnsi="arial" w:cs="arial"/>
          <w:i/>
          <w:color w:val="000000"/>
          <w:sz w:val="20"/>
          <w:lang w:val="en-US" w:eastAsia="en-US" w:bidi="ar-SA"/>
        </w:rPr>
        <w:t>Jopling v. Brodowich</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2009 BCSC 653</w:t>
        </w:r>
      </w:hyperlink>
      <w:r>
        <w:rPr>
          <w:rFonts w:ascii="arial" w:eastAsia="arial" w:hAnsi="arial" w:cs="arial"/>
          <w:color w:val="000000"/>
          <w:sz w:val="20"/>
          <w:lang w:val="en-US" w:eastAsia="en-US" w:bidi="ar-SA"/>
        </w:rPr>
        <w:t>, cited by the defendant, there is a remarkable factual congruence with the case at bar when at paragraph 10 the following appears: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defendant's evidence was that she was following the plaintiff at a distance of approximately one car length and was travelling at a speed over 50 km per hour. At this speed, a distance of one car length was not a reasonable or prudent following distance, particularly if, as the defendant testified, the plaintiff had slowed down several times and appeared to be lost. From the testimony of the parties and the corroborative evidence of damage to the vehicles, I find that the defendant drove negligently and is liable for failing to keep a reasonable distance behind the vehicle in front.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These findings coincide with the facts in the case at bar.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Cue v. Breitkreuz</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2010 BCSC 617</w:t>
        </w:r>
      </w:hyperlink>
      <w:r>
        <w:rPr>
          <w:rFonts w:ascii="arial" w:eastAsia="arial" w:hAnsi="arial" w:cs="arial"/>
          <w:color w:val="000000"/>
          <w:sz w:val="20"/>
          <w:lang w:val="en-US" w:eastAsia="en-US" w:bidi="ar-SA"/>
        </w:rPr>
        <w:t>, Smith J. described briefly in a frequently cited passage the law relating to rear end collisions as follows at para. 15: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Where there has been a rear-end collision, the onus shifts to the following driver to show that he or she was not at fault: </w:t>
      </w:r>
      <w:r>
        <w:rPr>
          <w:rFonts w:ascii="arial" w:eastAsia="arial" w:hAnsi="arial" w:cs="arial"/>
          <w:i/>
          <w:color w:val="000000"/>
          <w:sz w:val="20"/>
          <w:lang w:val="en-US" w:eastAsia="en-US" w:bidi="ar-SA"/>
        </w:rPr>
        <w:t>Robbie v. King</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2003 BCSC 1553</w:t>
        </w:r>
      </w:hyperlink>
      <w:r>
        <w:rPr>
          <w:rFonts w:ascii="arial" w:eastAsia="arial" w:hAnsi="arial" w:cs="arial"/>
          <w:color w:val="000000"/>
          <w:sz w:val="20"/>
          <w:lang w:val="en-US" w:eastAsia="en-US" w:bidi="ar-SA"/>
        </w:rPr>
        <w:t xml:space="preserve"> at para. 13. It is also the case that the driver of a following vehicle must allow a sufficient distance to stop safely in the event of a sudden or unanticipated stop by the vehicles ahead: </w:t>
      </w:r>
      <w:r>
        <w:rPr>
          <w:rFonts w:ascii="arial" w:eastAsia="arial" w:hAnsi="arial" w:cs="arial"/>
          <w:i/>
          <w:color w:val="000000"/>
          <w:sz w:val="20"/>
          <w:lang w:val="en-US" w:eastAsia="en-US" w:bidi="ar-SA"/>
        </w:rPr>
        <w:t>Pryndik v. Manju</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2001 BCSC 502</w:t>
        </w:r>
      </w:hyperlink>
      <w:r>
        <w:rPr>
          <w:rFonts w:ascii="arial" w:eastAsia="arial" w:hAnsi="arial" w:cs="arial"/>
          <w:color w:val="000000"/>
          <w:sz w:val="20"/>
          <w:lang w:val="en-US" w:eastAsia="en-US" w:bidi="ar-SA"/>
        </w:rPr>
        <w:t xml:space="preserve"> at para. 21, aff'd </w:t>
      </w:r>
      <w:hyperlink r:id="rId460" w:history="1">
        <w:r>
          <w:rPr>
            <w:rFonts w:ascii="arial" w:eastAsia="arial" w:hAnsi="arial" w:cs="arial"/>
            <w:i/>
            <w:color w:val="0077CC"/>
            <w:sz w:val="20"/>
            <w:u w:val="single"/>
            <w:shd w:val="clear" w:color="auto" w:fill="FFFFFF"/>
            <w:lang w:val="en-US" w:eastAsia="en-US" w:bidi="ar-SA"/>
          </w:rPr>
          <w:t>2002 BCCA 639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Rai v. Fowler</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2007 BCSC 1678</w:t>
        </w:r>
      </w:hyperlink>
      <w:r>
        <w:rPr>
          <w:rFonts w:ascii="arial" w:eastAsia="arial" w:hAnsi="arial" w:cs="arial"/>
          <w:color w:val="000000"/>
          <w:sz w:val="20"/>
          <w:lang w:val="en-US" w:eastAsia="en-US" w:bidi="ar-SA"/>
        </w:rPr>
        <w:t xml:space="preserve"> at para. 30.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the case at bar, the defendant's vehicle was stopped substantially on a traffic island out of the northbound lane. Signal and brake lights were operational. The plaintiff was following too close for safety. There was a wide area to the east or right of the defendant's vehicle where the plaintiff could have steered, but the plaintiff was not driving in a reasonable or a prudent fashion.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s. 158(1)(a) would not prohibit passing on the right side of a left-turning vehicle in these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find in this case that the defendant was not negligent. I find the plaintiff was negligent and 100 percent responsible for this accident. The plaintiff has not met the onus to show she was not at fault. Therefore the claim of the plaintiff is dismissed. Unless there are facts of which I am not aware and either of the parties wish to make submissions on costs, I am inclined to order costs to the defendant, Mr. Chatakanonda, in light of his success in having the action against him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Any submissions with respect to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JEFTIC: My Lord, the defendant will be seeking double costs, but perhaps that is something my friend and I can discuss and give submissions on at a later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COURT: All right. I will leave that opportunity for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GAUTAM: I am prepared to argue it right now, as to why double costs should not be awarded and make submissions, My Lord.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COURT: Well, carry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JEFTIC: My Lord, the facts of the case did not change in any way. Simply put the defendant's submission is that it was a clear case of liability. It really was not a matter of being split or not -- this action ought not to have been started to begin with. We do believe that double costs are warranted.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COURT: Mr. Gautam, I do not need to hear from you.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will be costs to the defendant on Appendix B in the usual way. Thank you.</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K.W. BALL J.</w:t>
      </w:r>
      <w:r>
        <w:rPr>
          <w:lang w:val="en-US" w:eastAsia="en-US" w:bidi="ar-SA"/>
        </w:rPr>
        <w:cr/>
      </w:r>
    </w:p>
    <w:p>
      <w:pPr>
        <w:spacing w:line="260" w:lineRule="atLeast"/>
        <w:ind w:left="2520"/>
        <w:rPr>
          <w:lang w:val="en-US" w:eastAsia="en-US" w:bidi="ar-SA"/>
        </w:rPr>
      </w:pPr>
      <w:r>
        <w:rPr>
          <w:rFonts w:ascii="arial" w:eastAsia="arial" w:hAnsi="arial" w:cs="arial"/>
          <w:color w:val="000000"/>
          <w:sz w:val="20"/>
          <w:lang w:val="en-US" w:eastAsia="en-US" w:bidi="ar-SA"/>
        </w:rPr>
        <w:t>* * * * *</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Corrected Reasons: These Reasons for Judgment were corrected on the cover page on December 19, 2018.</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Bain v. Nanji, [2000] B.C.J. No. 429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Clancy J.</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22 - 26, 1999.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29,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Nos. B960658 and B980147</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429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103</w:t>
      </w:r>
    </w:p>
    <w:p>
      <w:pPr>
        <w:spacing w:before="120" w:line="260" w:lineRule="atLeast"/>
        <w:rPr>
          <w:lang w:val="en-US" w:eastAsia="en-US" w:bidi="ar-SA"/>
        </w:rPr>
      </w:pPr>
      <w:r>
        <w:rPr>
          <w:rFonts w:ascii="arial" w:eastAsia="arial" w:hAnsi="arial" w:cs="arial"/>
          <w:color w:val="000000"/>
          <w:sz w:val="20"/>
          <w:lang w:val="en-US" w:eastAsia="en-US" w:bidi="ar-SA"/>
        </w:rPr>
        <w:t>Between Tania Marie Bain, plaintiff, and Amirali S.A. Nanji and Studio 54 Hair Design Ltd., defendants (Vancouver Registry No. B960658) And between Tania Marie Bain, plaintiff, and Sanjay K. Permal and Able Autobody (Surrey) Ltd., defendants (Vancouver Registry No. B980147)</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5" style="position:absolute;z-index:25168281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56" w:name="Keywords_23"/>
      <w:bookmarkEnd w:id="156"/>
      <w:r>
        <w:rPr>
          <w:rFonts w:ascii="arial" w:eastAsia="arial" w:hAnsi="arial" w:cs="arial"/>
          <w:b/>
          <w:color w:val="000000"/>
          <w:sz w:val="20"/>
          <w:lang w:val="en-US" w:eastAsia="en-US" w:bidi="ar-SA"/>
        </w:rPr>
        <w:t>Damage awards — Injury and death — Body injuries — Shoulder — Damages — Assessment — Overlapping damages from separate causes — General damages — General damages for personal injury — Impairment of earning capacity — Pre-trial loss of wages or earnings — Calculation and method of assessment, present value.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57" w:name="Case Summary_17"/>
            <w:bookmarkEnd w:id="15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These were two actions brought by Bain against Nanji and Studio 54 Hair Design for damages for injuries sustained in two motor vehicle accidents. The defendants admitted liability and conceded that Bain had suffered injuries to her neck and upper back which caused her to suffer from headaches, pain in her jaw and emotional tension. However, they disputed Bain's allegation that her left shoulder had been injured in the accident. After the first accident, Bain attended a medical clinic complaining of shoulder pain. Bain's orthopaedic surgeon determined that Bain suffered from impingement tendonitis which he felt had been caused by rotation of the left shoulder around the seatbelt during the first accident. He believed that this condition was aggravated during the second accident and recommended surgery for her shoulder. A defence expert was of the opinion that the accident did not cause Bain's shoulder injuries and that her pain was strongly influenced by non-physical factors. After Bain had the surgery on her shoulder, the pain was relieved. Bain's family physician testified that before the second accident, Bain had reached two-thirds of her pre-accident health level and the recovery process would have continued. After the second accident her neck, her back and shoulder pain was worse. Bain had been employed as a waitress and her ability to work was interrupted by the accidents. Although her income tax return reported her income to be $7,000 per year including tips, Bain gave evidence that her tips were in fact much higher and that her income was closer to $24,000. She also presented evidence that the average annual income for high school educated females was $21,444. </w:t>
            </w:r>
            <w:r>
              <w:rPr>
                <w:lang w:val="en-US" w:eastAsia="en-US" w:bidi="ar-SA"/>
              </w:rPr>
              <w:cr/>
            </w:r>
          </w:p>
          <w:p>
            <w:pPr>
              <w:spacing w:before="120" w:line="260" w:lineRule="atLeast"/>
              <w:ind w:left="240"/>
              <w:jc w:val="both"/>
              <w:rPr>
                <w:lang w:val="en-US" w:eastAsia="en-US" w:bidi="ar-SA"/>
              </w:rPr>
            </w:pPr>
            <w:bookmarkStart w:id="158" w:name="Holdings of Court_15"/>
            <w:bookmarkEnd w:id="158"/>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Bain was awarded $35,000 in general damages 70 per cent of which was apportioned to the first accident and 30 per cent to the second accident. Based on average earnings and her earnings history, she was awarded two- thirds of her potential income or $10,000 for lost income resulting from the first accident and $7,000 for the second accident. Regarding her claim for loss of future income, she was awarded $12,500, which represented the present value of a loss of $500 per year over the next 40 years. Bain injured her left shoulder in the first accident and this injury was aggravated by the second accident. The diagnosis of Bain's orthopaedic surgeon was proven to be correct by the success of the surgery. The contrary reports were rejected. Bain's entitlement to past income loss did not depend on her declared income on her tax return. </w:t>
            </w:r>
            <w:r>
              <w:rPr>
                <w:lang w:val="en-US" w:eastAsia="en-US" w:bidi="ar-SA"/>
              </w:rPr>
              <w:cr/>
            </w:r>
          </w:p>
          <w:p>
            <w:pPr>
              <w:rPr>
                <w:lang w:val="en-US" w:eastAsia="en-US" w:bidi="ar-SA"/>
              </w:rPr>
            </w:pPr>
          </w:p>
        </w:tc>
      </w:tr>
    </w:tbl>
    <w:p>
      <w:pPr>
        <w:jc w:val="both"/>
        <w:rPr>
          <w:lang w:val="en-US" w:eastAsia="en-US" w:bidi="ar-SA"/>
        </w:rPr>
      </w:pPr>
      <w:bookmarkStart w:id="159" w:name="Counsel_23"/>
      <w:bookmarkEnd w:id="15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6" style="position:absolute;z-index:2517340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J.K. Logan, for the plaintiff. K. Sanderson, for the defendants.</w:t>
      </w:r>
      <w:r>
        <w:rPr>
          <w:lang w:val="en-US" w:eastAsia="en-US" w:bidi="ar-SA"/>
        </w:rPr>
        <w:cr/>
      </w:r>
    </w:p>
    <w:p>
      <w:pPr>
        <w:spacing w:after="240"/>
        <w:rPr>
          <w:lang w:val="en-US" w:eastAsia="en-US" w:bidi="ar-SA"/>
        </w:rPr>
      </w:pPr>
      <w:bookmarkStart w:id="160" w:name="Judgment_23"/>
      <w:bookmarkEnd w:id="160"/>
      <w:r>
        <w:pict>
          <v:line id="_x0000_s1147" style="position:absolute;z-index:25178521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61" w:name="CLANCY J."/>
            <w:bookmarkEnd w:id="161"/>
            <w:r>
              <w:rPr>
                <w:rFonts w:ascii="arial" w:eastAsia="arial" w:hAnsi="arial" w:cs="arial"/>
                <w:b/>
                <w:color w:val="000000"/>
                <w:sz w:val="30"/>
                <w:lang w:val="en-US" w:eastAsia="en-US" w:bidi="ar-SA"/>
              </w:rPr>
              <w:t>CLANCY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Bain was involved in two motor vehicle accidents. In both instances she was the driver and sole occupant of her vehicle. On May 24, 1994, she was struck from the rear by the Nanji vehicle. On November 19, 1996, the Permal vehicle failed to stop at a stop sign, Ms. Bain was unable to stop and her vehicle struck the Permal vehicle when it crossed her path. She was injured in both accidents and brings these actions for damages. Liability has been admitted by the defendants in each action.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respect of the May 24, 1994 accident, it is conceded that Ms. Bain suffered injuries to her neck and upper back and that, as a result, she suffered from headaches, pain in her jaw area, emotional tension and upset. The one area of dispute is over her allegation that she also injured her left shoulder.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She went to a medical clinic immediately following the accident. Their records show that she complained of headaches and pain in her neck, back and shoulders. She saw her family physician, Dr. Barbara Davidson, on May 27, 1994. At that time her complaints were of neck and back pain. She continued to see Dr. Davidson through June and July. There were three visits and each time the complaints were primarily of neck pain with headaches. Her first recorded complaint of shoulder pain to Dr. Davidson was on August 19, 1994. Following that date, she repeatedly reported shoulder pain until she had surgery in November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Immediately following her accident of May 24, 1994, she said she was in considerable pain and only felt good if she was lying down. Over the next two months her neck improved. She did stretching exercises and that fall attended the Canadian Back Institute where she did weight training and stretching for four hours per day. She felt that attendance helped her neck but aggravated her shoulder.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She did not work during that period except for one day as a waitress in mid-August. When she found she was unable to perform her usual tasks, she left. Except for an unpaid position assisting her mother in her gift shop in early 1995, she did not work again until the summer of 1995 when she worked as a waitress in the Big Bay Marina on Stuart Island.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Bain was assessed by the Canadian Back Institute on October 11, 1994, attended for a course of treatment and was discharged November 28, 1994. The defendants object to the opinion evidence contained in the reports of the Canadian Back Institute. That objection is well founded. The authors were not qualified as experts. The reports are, however, admissible to show the advice Ms. Bain was given at the end of her session at the Institute so that her work history can be placed in context. The discharge report indicates that Ms. Bain was advised that she was physically capable of "challenging her work demands." She was advised to continue with a regular strengthening and conditioning program. There is no evidence that she did so. As to challenging her work demands, Ms. Bain testified that the Institute did not have a proper understanding of the demands that would be placed on her. Her opinion seems justified by her description of her work which was supported, in part, by the evidence of one of her employers.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Davidson referred Ms. Bain to Dr. Riad Shahid, an orthopaedic surgeon. He saw her on December 6, 1994 and commented that Ms. Bain had no objective findings which would explain her pain. He felt there was a large functional or psychological component to her subjective complaints. He advised her to discontinue further exercises recommended by the Canadian Back Institute and told her that there was no contraindication to her return to work as a waitress.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Bain was referred by counsel to Dr. Paul Bishop, a specialist in musculoskeletal medicine. He saw her on June 9, 1995. At that time she was complaining of neck stiffness and "near constant pain in her neck, upper back and shoulders." She also reported a "pins and needles" sensation in her arms and forearms, frequent headaches and intermittent pain in her jaw. Like Dr. Davidson, Dr. Bishop diagnosed soft tissue injuries but said he was unable to account for the "pins and needles" sensation in her arms. He conducted an impingement test on the left shoulder. The results were negative.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Bain's visits to Dr. Davidson continued until her second accident of November 19, 1996. The defendants concede that in that collision, Ms. Bain aggravated the injuries to her neck and back, lacerated her tongue and bruised her ribs and knees. Her face was swollen and her headaches, jaw pain and emotional upset increased. The defendants accept, as well, that, by the time of the second accident, Ms. Bain had injured her left shoulder and that that injury was aggravated. They suggest, however, that the cause of her shoulder injury must have been something other than the first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the second accident, Ms. Bain was driven home by her father. She testified that on that day, she was very sore and had a headache. The soreness was in her neck, shoulder, upper back, ribs, face and knees. Her tongue was pierced and bleeding.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following day, her knees were no longer sore and her tongue had stopped bleeding, but in all other respects, she had the same symptoms as the previous day. She saw Dr. Davidson on November 20th and complained of pain in her neck, shoulders, ribs, back, ankles, both knees, the left side of her face and the left side of her tongue. On examination, Dr. Davidson noted swelling to the left side of the face and the laceration to the tongue. She recommended that Ms. Bain not work for one week and advised her to rest, take Tylenol 3s and muscle relaxants and see whether her symptoms settled down. Over the next few days she continued to have headaches, shoulder, neck and facial pain. She had trouble eating but her ribs and knees felt better. Later still, her facial pain eased but then returned intermittently, at which time she felt as if a knife had been placed in her cheekbone. Dr. Davidson saw Ms. Bain again on November 25th and advised her not to work for a further two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By Christmas of that year, Ms. Bain's ribs had completely healed, her upper back was better, but her neck, shoulder and headaches had not improved. She still had facial pain intermittently and her tongue still caused her difficulties.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Davidson continued to treat Ms. Bain and is still her family physician. She prepared two medical/legal reports, one of April 21, 1995 and one of May 2, 1997. In the earlier report, she described her attendances on Ms. Bain up to April 1995. There were continuing complaints of sore neck and shoulders throughout that period. Dr. Davidson noted that Ms. Bain had a low functioning thyroid gland which would make her feel tired and which may have contributed to muscle aches and muscle fatigue. At the time of the accident, she was not taking medication for her thyroid condition and Dr. Davidson prescribed medication. In her summary, Dr. Davidson referred to soft tissue injuries in the neck and left shoulder with symptoms aggravated by the underactive thyroid gland. She expected a full recovery.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her report of May 2, 1997, Dr. Davidson reiterated her conclusion that Ms. Bain had a soft tissue injury of the left neck and left shoulder. She advised physiotherapy. There is some dispute but I find that Ms. Bain did not wish to put herself through physiotherapy and did not go. She did attend for massage therapy, which she found relaxing at the time it was administered but it had no lasting effect.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Counsel for the defendants asked the court to draw adverse inferences against Ms. Bain. Although Dr. Davidson continued to see Ms. Bain, she filed no report subsequent to May 1997. Ms. Bain saw Dr. Bishop on a second occasion but no subsequent report was filed. In Barker v. McQuahe (1964), 49 W.W.R. 685 (B.C.C.A.), the court held that an adverse inference can be drawn if no sufficient explanation is offered for the failure to call a witness who might be expected to give supporting evidence. Dr. Davidson's clinical records to May 14, 1999 were produced. They contain her findings.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see no reason to draw an adverse inference for her failure to file an additional report. To the extent that Dr. Bishop's opinions, in his first report, were adverse in interest to the defendants, they have been addressed by the subsequent reports of Dr. Regan and Dr. Favero. Nothing would be added to the defendants' submissions by the drawing of an adverse inference.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stated earlier, the defendants do not accept Ms. Bain's assertion that she injured her left shoulder in the accident of May 24, 1996. Their position is that the pain she has suffered in that region must have its cause in some event other than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Bain saw Dr. W.D. Regan, an orthopaedic surgeon, on October 3, 1997. He opined that she had suffered an axial spine strain in the first accident which was aggravated by the impact of the second accident. Contrary to the findings of Dr. Shahid and Dr. Bishop, he found impingement tendinitis in the left shoulder which he felt had been caused by rotation of the left shoulder around the seatbelt as a fulcrum. He assumed that she had "developed this problem later on." In his evidence, he described how aggravation of the bursa could cause swelling which, in turn, caused swelling in the tendons. In his view, that process explained the delay of Ms. Bain in reporting of shoulder pain to Dr. Davidson.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Regan did not feel there was "intrinsic pathology in the right shoulder." He was also of the opinion that the irritation of her temporomandibular joint resulted from the first accident and was aggravated by the second. He believed that the passage of time, flexibility and muscle toning would address her axial spine pain. He recommended surgery in the form of subacromial decompression which he felt would not bring total relief but would result in improved pain relief and improved function of her left shoulder. He also noted irritability of the brachial plexus which he felt might be explained by the inflammation in and about the subacromial bursa.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During his examination, Dr. Regan injected Ms. Bain's shoulder with an anesthetic. That procedure brought her immediate but temporary relief and helped to persuade her that surgery was advisable. The surgery did not take place until the fall of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From the fall of 1997 until the surgery in 1998, Ms. Bain worked in a gift shop, and took some time off work, allegedly because of her shoulder problems. She then returned to Big Bay Marina for the summer of 1998 where she again worked as a waitress during the dinner hour. She missed no time from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October 15, 1997, after she had seen Dr. Regan, Ms. Bain was examined by Dr. K.J. Favero, an orthopaedic surgeon, at the request of counsel for the defendants. His impingement tests were negative and he was skeptical that the subacromial decompression suggested by Dr. Regan would alter Ms. Bain's complaints. He did not think that Ms. Bain had suffered any specific orthopaedic or neurologic injury to her neck, shoulder girdles or left upper extremity. He opined that her complaints were strongly influenced by non-physical or behavioral factors. He recommended that she return to her recreational and occupational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Regan saw Ms. Bain again in August 1998 and continued to recommend surgery. That surgery was performed in mid-November 1998. She was delighted with the result. She stated that in addition to virtually eliminating the pain in her left shoulder, the surgery had the additional effect of eliminating her pain in her neck, right shoulder and jaw. Dr. Regan reported on June 2, 1999 that as of that date Ms. Bain had a full range of painless motion. In response to her asking whether she could continue with her occupation as a waitress, he said that he had stressed to her that if she overused her shoulder, her rotator cuff tendons would likely become more irritable and produce more pain. She advised him that she would modify the way in which she performed her waitressing by placing less load on her left upper extremity and reducing the number of hours worked. Dr. Regan gave his approval to that proposal and stated that he had made Ms. Bain "aware that she has an increased risk of repeated injury to her left shoulder and this puts her in a high risk environment."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Following the surgery, Dr. Favero provided a second report of March 24, 1999. He conceded that some of Ms. Bain's complaints might have been due to a rotator cuff tendinitis or anterior impingement syndrome. He felt that her complaints were significantly influenced by non-organic factors. He went on to say "Regarding the causation of Ms. Bain's left rotator cuff tendinitis, it is my opinion that it cannot be causally related to her motor vehicle accident of May 24, 1994." He based that opinion on the evidence in Dr. Davidson's records that there was no specific left shoulder pain complaints until August 1994 and the fact that Ms. Bain had reported that her left shoulder pain became more pronounced after her rehabilitation program at the Canadian Back Institute. He thought it more probable that Ms. Bain developed tendinitis after May 24, 1994 and that she had aggravated her tendinitis by the exercises performed at the Canadian Back Institute. Her work activities and deconditioning were contributing factors to that aggravation.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am satisfied that Ms. Bain did injure her left shoulder in the first motor vehicle accident of May 24, 1994. She reported pain in her shoulders that evening at the medical clinic. She spoke of intense pain which virtually prevented her from using her left arm. She said that her father had fashioned a sling for her about one week after the accident. She is supported in that evidence by her mother and friends. I prefer the medical evidence of Dr. Regan. He satisfactorily explained any delay in reporting pain in the left shoulder. After the surgery, Dr. Favero conceded that there was tendinitis in the left shoulder. He was troubled only by causation. I can find no reason to disagree with the diagnosis of Dr. Regan. He was proven to be correct by the success of the surgery. The contrary reports of Dr. Shahid, Dr. Bishop and Dr. Favero cannot be accepted.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trial, Ms. Bain said that she now has headaches which are occasional and not as intense. They flare up in conjunction with occasional neck and shoulder pain. She has more movement in her left shoulder and not as much pain. She very rarely has bad days since she knows how to stretch out her shoulder and does not overdo physical demands. She does not lift heavy things, nor carry things for too long a period. She does not reach for things, nor reach above her shoulder. She avoids repetitive movements. She demonstrated excellent and apparently pain-free mobility when asked to demonstrate her use of the shoulder.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Prior to the first accident, Ms. Bain's medical history was unremarkable. She was in good health. After the first accident, she had obviously suffered soft tissue injuries to her back, neck and shoulders. She developed headaches and suffered from continuing pain in her neck, left jaw, back and left shoulder areas. By the time of the second accident, her symptoms were settling down and would most probably have resolved themselves in time. Dr. Davidson, at trial, felt that Ms. Bain had reached a physical recovery level of approximately two-thirds of her pre-accident level by the time of the second motor vehicle accident. She felt that the recovery process would have continued.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find further that the second accident aggravated the injuries to the spine, neck and shoulder areas. Ms. Bain's headaches were exacerbated. Her tongue was pierced. It still gives her difficulty today when she eats spicy foods.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As to both accidents, a further claim is made for emotional upset. Ms. Bain is entitled to have that claim considered in the assessment of damages. Her failure to take her thyroid medication may have been a contributing cause of her upset but certainly the pain from her injuries contributed as well. In Athey v. Leonati </w:t>
      </w:r>
      <w:hyperlink r:id="rId469" w:history="1">
        <w:r>
          <w:rPr>
            <w:rFonts w:ascii="arial" w:eastAsia="arial" w:hAnsi="arial" w:cs="arial"/>
            <w:i/>
            <w:color w:val="0077CC"/>
            <w:sz w:val="20"/>
            <w:u w:val="single"/>
            <w:shd w:val="clear" w:color="auto" w:fill="FFFFFF"/>
            <w:lang w:val="en-US" w:eastAsia="en-US" w:bidi="ar-SA"/>
          </w:rPr>
          <w:t>(1996), 140 D.L.R. (4th) 235</w:t>
        </w:r>
      </w:hyperlink>
      <w:r>
        <w:rPr>
          <w:rFonts w:ascii="arial" w:eastAsia="arial" w:hAnsi="arial" w:cs="arial"/>
          <w:color w:val="000000"/>
          <w:sz w:val="20"/>
          <w:lang w:val="en-US" w:eastAsia="en-US" w:bidi="ar-SA"/>
        </w:rPr>
        <w:t xml:space="preserve"> (S.C.C.), the court made it clear that causation requires only proof on a balance of probabilities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was a contributing cause of the loss. The injuries suffered by Ms. Bain were undoubtedly a contributing cause of her emotional upset.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a result of the injuries Ms. Bain suffered in both accidents, her ability to carry on with her employment was interrupted. Before the accident of May 24, 1994, Ms. Bain had worked as a waitress for approximately five years. Following the accident, she worked intermittently, first as a cashier in her mother's gift shop and later as a waitress. She described in some detail her lack of strength in her left arm and shoulder, coupled with continuing pain and headaches. As stated, she did not return to work as a waitress until the summer of 1995. When she took a job as a waitress at the Big Bay Marina at that time, she testified that she was hampered in her work, particularly by her injured left shoulder but she did work that full summer. She then worked intermittently in the off season and returned to Big Bay Marina as a waitress for the summer of 1996. That fall she worked briefly at Boston Pizza. She was looking for work as a waitress when the accident of November 19, 1996 occurred. Following that accident, she did not work until March 1997. She then had employment as a waitress in a nightclub and in a restaurant until June, when she returned to Big Bay Marina. That summer she switched from serving breakfast and lunch to serving dinners. She said the work was heavier which caused her more left shoulder problems and led to her missing six days of work. I am satisfied there is an increased risk of repeated injury to her left shoulder which may have an adverse affect on her employability in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Before the first accident, she testified that she belonged to sporting clubs, she rode horseback and played wallyball. She enjoyed going to parks and taking children to the beach or the park. She participated in outdoor sports. After the two accidents, she avoids overstressing her shoulder but otherwise appears to be capable of continuing with her pre-accident levels of activity.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think it likely that, in the future, her only restriction both at work and in her recreational pursuits will be from becoming involved in heavy demands on her shoulder. Even then, there is only a risk of injury. She may well be able to withstand even heavy exercise. Her complaints at the present time seem minimal.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Counsel for the plaintiff referred the court to Herrmann v. Benn, </w:t>
      </w:r>
      <w:hyperlink r:id="rId470" w:history="1">
        <w:r>
          <w:rPr>
            <w:rFonts w:ascii="arial" w:eastAsia="arial" w:hAnsi="arial" w:cs="arial"/>
            <w:i/>
            <w:color w:val="0077CC"/>
            <w:sz w:val="20"/>
            <w:u w:val="single"/>
            <w:shd w:val="clear" w:color="auto" w:fill="FFFFFF"/>
            <w:lang w:val="en-US" w:eastAsia="en-US" w:bidi="ar-SA"/>
          </w:rPr>
          <w:t>[1998] B.C.J. No. 66</w:t>
        </w:r>
      </w:hyperlink>
      <w:r>
        <w:rPr>
          <w:rFonts w:ascii="arial" w:eastAsia="arial" w:hAnsi="arial" w:cs="arial"/>
          <w:color w:val="000000"/>
          <w:sz w:val="20"/>
          <w:lang w:val="en-US" w:eastAsia="en-US" w:bidi="ar-SA"/>
        </w:rPr>
        <w:t xml:space="preserve">, (16 January 1998), Vancouver Registry, B935612, B936077, B935613 (B.C.S.C.); Comeau v. Siemens, </w:t>
      </w:r>
      <w:hyperlink r:id="rId471" w:history="1">
        <w:r>
          <w:rPr>
            <w:rFonts w:ascii="arial" w:eastAsia="arial" w:hAnsi="arial" w:cs="arial"/>
            <w:i/>
            <w:color w:val="0077CC"/>
            <w:sz w:val="20"/>
            <w:u w:val="single"/>
            <w:shd w:val="clear" w:color="auto" w:fill="FFFFFF"/>
            <w:lang w:val="en-US" w:eastAsia="en-US" w:bidi="ar-SA"/>
          </w:rPr>
          <w:t>[1996] B.C.J. No. 1710</w:t>
        </w:r>
      </w:hyperlink>
      <w:r>
        <w:rPr>
          <w:rFonts w:ascii="arial" w:eastAsia="arial" w:hAnsi="arial" w:cs="arial"/>
          <w:color w:val="000000"/>
          <w:sz w:val="20"/>
          <w:lang w:val="en-US" w:eastAsia="en-US" w:bidi="ar-SA"/>
        </w:rPr>
        <w:t xml:space="preserve">, (25 July 1996) Prince George Registry, 28546 (B.C.S.C.); and Martel v. Peetoom, </w:t>
      </w:r>
      <w:hyperlink r:id="rId472" w:history="1">
        <w:r>
          <w:rPr>
            <w:rFonts w:ascii="arial" w:eastAsia="arial" w:hAnsi="arial" w:cs="arial"/>
            <w:i/>
            <w:color w:val="0077CC"/>
            <w:sz w:val="20"/>
            <w:u w:val="single"/>
            <w:shd w:val="clear" w:color="auto" w:fill="FFFFFF"/>
            <w:lang w:val="en-US" w:eastAsia="en-US" w:bidi="ar-SA"/>
          </w:rPr>
          <w:t>[1995] B.C.J. No. 1784</w:t>
        </w:r>
      </w:hyperlink>
      <w:r>
        <w:rPr>
          <w:rFonts w:ascii="arial" w:eastAsia="arial" w:hAnsi="arial" w:cs="arial"/>
          <w:color w:val="000000"/>
          <w:sz w:val="20"/>
          <w:lang w:val="en-US" w:eastAsia="en-US" w:bidi="ar-SA"/>
        </w:rPr>
        <w:t>, (14 August 1995), New Westminster Registry, S0-2046 (B.C.S.C.). Without exception, those authorities dealt with injuries which were far more serious than those suffered by Ms. Bain. I found them of little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Counsel for the defendants referred the court to Haycock v. Jacyna, </w:t>
      </w:r>
      <w:hyperlink r:id="rId473" w:history="1">
        <w:r>
          <w:rPr>
            <w:rFonts w:ascii="arial" w:eastAsia="arial" w:hAnsi="arial" w:cs="arial"/>
            <w:i/>
            <w:color w:val="0077CC"/>
            <w:sz w:val="20"/>
            <w:u w:val="single"/>
            <w:shd w:val="clear" w:color="auto" w:fill="FFFFFF"/>
            <w:lang w:val="en-US" w:eastAsia="en-US" w:bidi="ar-SA"/>
          </w:rPr>
          <w:t>[1999] B.C.J. No. 316</w:t>
        </w:r>
      </w:hyperlink>
      <w:r>
        <w:rPr>
          <w:rFonts w:ascii="arial" w:eastAsia="arial" w:hAnsi="arial" w:cs="arial"/>
          <w:color w:val="000000"/>
          <w:sz w:val="20"/>
          <w:lang w:val="en-US" w:eastAsia="en-US" w:bidi="ar-SA"/>
        </w:rPr>
        <w:t xml:space="preserve">, (9 February 1999), New Westminster Registry, S037277 (B.C.S.C.); Hyndman v. Singh, </w:t>
      </w:r>
      <w:hyperlink r:id="rId474" w:history="1">
        <w:r>
          <w:rPr>
            <w:rFonts w:ascii="arial" w:eastAsia="arial" w:hAnsi="arial" w:cs="arial"/>
            <w:i/>
            <w:color w:val="0077CC"/>
            <w:sz w:val="20"/>
            <w:u w:val="single"/>
            <w:shd w:val="clear" w:color="auto" w:fill="FFFFFF"/>
            <w:lang w:val="en-US" w:eastAsia="en-US" w:bidi="ar-SA"/>
          </w:rPr>
          <w:t>[1998] B.C.J. No. 612</w:t>
        </w:r>
      </w:hyperlink>
      <w:r>
        <w:rPr>
          <w:rFonts w:ascii="arial" w:eastAsia="arial" w:hAnsi="arial" w:cs="arial"/>
          <w:color w:val="000000"/>
          <w:sz w:val="20"/>
          <w:lang w:val="en-US" w:eastAsia="en-US" w:bidi="ar-SA"/>
        </w:rPr>
        <w:t xml:space="preserve">, (26 February 1998), Vancouver Registry, B963757 (B.C.S.C.); and Savage v. Dore, </w:t>
      </w:r>
      <w:hyperlink r:id="rId475" w:history="1">
        <w:r>
          <w:rPr>
            <w:rFonts w:ascii="arial" w:eastAsia="arial" w:hAnsi="arial" w:cs="arial"/>
            <w:i/>
            <w:color w:val="0077CC"/>
            <w:sz w:val="20"/>
            <w:u w:val="single"/>
            <w:shd w:val="clear" w:color="auto" w:fill="FFFFFF"/>
            <w:lang w:val="en-US" w:eastAsia="en-US" w:bidi="ar-SA"/>
          </w:rPr>
          <w:t>[1998] B.C.J. No. 253</w:t>
        </w:r>
      </w:hyperlink>
      <w:r>
        <w:rPr>
          <w:rFonts w:ascii="arial" w:eastAsia="arial" w:hAnsi="arial" w:cs="arial"/>
          <w:color w:val="000000"/>
          <w:sz w:val="20"/>
          <w:lang w:val="en-US" w:eastAsia="en-US" w:bidi="ar-SA"/>
        </w:rPr>
        <w:t>, (4 February 1998), Vancouver Registry, B943196, B945780, (B.C.S.C.). Each of those judgments dealt with injuries less serious than those of Ms. Bain. They, too, were of minimal value.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one authority to which attention must be paid is Madsen v. School District No. 75 (Mission), </w:t>
      </w:r>
      <w:hyperlink r:id="rId476" w:history="1">
        <w:r>
          <w:rPr>
            <w:rFonts w:ascii="arial" w:eastAsia="arial" w:hAnsi="arial" w:cs="arial"/>
            <w:i/>
            <w:color w:val="0077CC"/>
            <w:sz w:val="20"/>
            <w:u w:val="single"/>
            <w:shd w:val="clear" w:color="auto" w:fill="FFFFFF"/>
            <w:lang w:val="en-US" w:eastAsia="en-US" w:bidi="ar-SA"/>
          </w:rPr>
          <w:t>[1999] B.C.J. No. 1716</w:t>
        </w:r>
      </w:hyperlink>
      <w:r>
        <w:rPr>
          <w:rFonts w:ascii="arial" w:eastAsia="arial" w:hAnsi="arial" w:cs="arial"/>
          <w:color w:val="000000"/>
          <w:sz w:val="20"/>
          <w:lang w:val="en-US" w:eastAsia="en-US" w:bidi="ar-SA"/>
        </w:rPr>
        <w:t>, (30 June 1999), Chilliwack Registry, S0006522 (B.C.S.C.), on which counsel for the defendants also relied. In Madsen, the court made an award of $25,000 to a young man whose collarbone was broken with the result that he was left with some laxity in the shoulder joint. At trial, he continued to experience pain when moving the shoulder through its full range. He had difficulty carrying heavy objects and working at part time jobs as a window washer and as a waiter. His participation in sports activities was also restricted.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While there is a superficial similarity on the facts, Mr. Madsen did not undergo surgery. He was treated with physiotherapy. His recovery period was approximately two years as opposed to the four year period claimed by Ms. Bain. In the circumstances, I am satisfied that an appropriate award of non-pecuniary damages is $35,000.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am obliged to apportion liability as between the two accidents. Apart from the piercing of her tongue and minor bruising, Ms. Bain suffered similar injuries in both accidents. Her most serious injuries were the result of the first accident. Those injuries were aggravated in November 1996. In those circumstances, I attribute 70 percent of her injuries to the first accident and 30 percent to the second.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both actions before the court, the defendants plead that Ms. Bain's injuries were caused by her failure to use, or properly use, her seatbelt and headrest. That claim was not pursued in the Permal action but in the Nanji action counsel agree that no evidence was adduced on the question of whether Ms. Bain had buckled her seatbelt. Her counsel has applied to reopen the case to adduce that evidence. He confesses that it was inadvertence on his part that led to his failure to do so. There is some authority which would allow a reopening. See, for example, Swami v. Lo (No. 2) </w:t>
      </w:r>
      <w:hyperlink r:id="rId477" w:history="1">
        <w:r>
          <w:rPr>
            <w:rFonts w:ascii="arial" w:eastAsia="arial" w:hAnsi="arial" w:cs="arial"/>
            <w:i/>
            <w:color w:val="0077CC"/>
            <w:sz w:val="20"/>
            <w:u w:val="single"/>
            <w:shd w:val="clear" w:color="auto" w:fill="FFFFFF"/>
            <w:lang w:val="en-US" w:eastAsia="en-US" w:bidi="ar-SA"/>
          </w:rPr>
          <w:t>(1979), 15 B.C.L.R. 321</w:t>
        </w:r>
      </w:hyperlink>
      <w:r>
        <w:rPr>
          <w:rFonts w:ascii="arial" w:eastAsia="arial" w:hAnsi="arial" w:cs="arial"/>
          <w:color w:val="000000"/>
          <w:sz w:val="20"/>
          <w:lang w:val="en-US" w:eastAsia="en-US" w:bidi="ar-SA"/>
        </w:rPr>
        <w:t xml:space="preserve"> (S.C.). There are also contrary authorities which might persuade the court to refuse the application: Vance v. Vance, </w:t>
      </w:r>
      <w:hyperlink r:id="rId478" w:history="1">
        <w:r>
          <w:rPr>
            <w:rFonts w:ascii="arial" w:eastAsia="arial" w:hAnsi="arial" w:cs="arial"/>
            <w:i/>
            <w:color w:val="0077CC"/>
            <w:sz w:val="20"/>
            <w:u w:val="single"/>
            <w:shd w:val="clear" w:color="auto" w:fill="FFFFFF"/>
            <w:lang w:val="en-US" w:eastAsia="en-US" w:bidi="ar-SA"/>
          </w:rPr>
          <w:t>[1982] 2 W.W.R. 472</w:t>
        </w:r>
      </w:hyperlink>
      <w:r>
        <w:rPr>
          <w:rFonts w:ascii="arial" w:eastAsia="arial" w:hAnsi="arial" w:cs="arial"/>
          <w:color w:val="000000"/>
          <w:sz w:val="20"/>
          <w:lang w:val="en-US" w:eastAsia="en-US" w:bidi="ar-SA"/>
        </w:rPr>
        <w:t xml:space="preserve"> (B.C.S.C.); Clayton v. British American Securities Ltd. et al, </w:t>
      </w:r>
      <w:hyperlink r:id="rId479" w:history="1">
        <w:r>
          <w:rPr>
            <w:rFonts w:ascii="arial" w:eastAsia="arial" w:hAnsi="arial" w:cs="arial"/>
            <w:i/>
            <w:color w:val="0077CC"/>
            <w:sz w:val="20"/>
            <w:u w:val="single"/>
            <w:shd w:val="clear" w:color="auto" w:fill="FFFFFF"/>
            <w:lang w:val="en-US" w:eastAsia="en-US" w:bidi="ar-SA"/>
          </w:rPr>
          <w:t>[1934] 3 W.W.R. 257</w:t>
        </w:r>
      </w:hyperlink>
      <w:r>
        <w:rPr>
          <w:rFonts w:ascii="arial" w:eastAsia="arial" w:hAnsi="arial" w:cs="arial"/>
          <w:color w:val="000000"/>
          <w:sz w:val="20"/>
          <w:lang w:val="en-US" w:eastAsia="en-US" w:bidi="ar-SA"/>
        </w:rPr>
        <w:t xml:space="preserve"> (B.C.C.A.); R.W.D. Developments Inc. v. Brown Bros. Motor Lease Canada, </w:t>
      </w:r>
      <w:hyperlink r:id="rId480" w:history="1">
        <w:r>
          <w:rPr>
            <w:rFonts w:ascii="arial" w:eastAsia="arial" w:hAnsi="arial" w:cs="arial"/>
            <w:i/>
            <w:color w:val="0077CC"/>
            <w:sz w:val="20"/>
            <w:u w:val="single"/>
            <w:shd w:val="clear" w:color="auto" w:fill="FFFFFF"/>
            <w:lang w:val="en-US" w:eastAsia="en-US" w:bidi="ar-SA"/>
          </w:rPr>
          <w:t>[1985] B.C.J. No. 2244</w:t>
        </w:r>
      </w:hyperlink>
      <w:r>
        <w:rPr>
          <w:rFonts w:ascii="arial" w:eastAsia="arial" w:hAnsi="arial" w:cs="arial"/>
          <w:color w:val="000000"/>
          <w:sz w:val="20"/>
          <w:lang w:val="en-US" w:eastAsia="en-US" w:bidi="ar-SA"/>
        </w:rPr>
        <w:t xml:space="preserve">, (5 March 1985), Vancouver Registry, CA000787 (B.C.S.C.); Allcock Laight and Westwood Ltd. v. Patten, </w:t>
      </w:r>
      <w:hyperlink r:id="rId481" w:history="1">
        <w:r>
          <w:rPr>
            <w:rFonts w:ascii="arial" w:eastAsia="arial" w:hAnsi="arial" w:cs="arial"/>
            <w:i/>
            <w:color w:val="0077CC"/>
            <w:sz w:val="20"/>
            <w:u w:val="single"/>
            <w:shd w:val="clear" w:color="auto" w:fill="FFFFFF"/>
            <w:lang w:val="en-US" w:eastAsia="en-US" w:bidi="ar-SA"/>
          </w:rPr>
          <w:t>[1967] 1 O.R. 18</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Here, however, the question is moot. The onus is on the defendants to prove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evidence was adduced to connect any failure to wear a seatbelt to the injuries or their severity. In those circumstances, the defendants' plea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succeed.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decline to allow the plaintiff to reopen her case. In both actions, the claim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Past Wage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After the first accident of May 1994, Ms. Bain did not work for a period of some nine months. Before the accident, she had been working as a waitress at Patrick's Bistro in New Westminster. The work was heavy and demanded the use of both hands. Her counsel contended that, had she not been injured, she would have remained employed there at a wage of $1,000 per month plus her earnings from tips. On the basis of Ms. Bain's evidence and the evidence of another witness, he estimated those tips at 2.25 x her earnings or $2,250 per month. He estimated the total earnings for the nine month period at $20,000.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Bain's tax returns for the period 1990 through 1993 show earnings of approximately $7,000 per annum, including tips. Ms. Bain stated that she had been advised by a tax accountant to declare tips at $1,000 per month but, in fact, they had been much higher and in the range of two or three times earnings.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defendants' position is that Ms. Bain should be awarded $3,500 for the nine month period based on her declared earnings. If she did not declare her tip income, she should not be entitled to recover lost earnings based on that revenue. As a minimum before advancing her claim, she should have been required to file an amended tax return with Revenue Canada as was done in Bell v. Behan, </w:t>
      </w:r>
      <w:hyperlink r:id="rId482" w:history="1">
        <w:r>
          <w:rPr>
            <w:rFonts w:ascii="arial" w:eastAsia="arial" w:hAnsi="arial" w:cs="arial"/>
            <w:i/>
            <w:color w:val="0077CC"/>
            <w:sz w:val="20"/>
            <w:u w:val="single"/>
            <w:shd w:val="clear" w:color="auto" w:fill="FFFFFF"/>
            <w:lang w:val="en-US" w:eastAsia="en-US" w:bidi="ar-SA"/>
          </w:rPr>
          <w:t>[1998] B.C.J. No. 2429</w:t>
        </w:r>
      </w:hyperlink>
      <w:r>
        <w:rPr>
          <w:rFonts w:ascii="arial" w:eastAsia="arial" w:hAnsi="arial" w:cs="arial"/>
          <w:color w:val="000000"/>
          <w:sz w:val="20"/>
          <w:lang w:val="en-US" w:eastAsia="en-US" w:bidi="ar-SA"/>
        </w:rPr>
        <w:t>, (20 October 1998), Powell River Registry, S697 (B.C.S.C.).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defendants' submissions cannot succeed. They are based on the contention that the courts will not, as a matter of public policy, allow recovery of unreported income. The authorities are clear. The principle that a plaintiff's amoral or illegal conduct will act as a bar to recovery does not operate in tort to deny damages for personal injury. In a personal injury action, the plaintiff is not seeking to profit for illegal or immoral acts but to claim compensation for losses related to injury: Hall v. Hebert, </w:t>
      </w:r>
      <w:hyperlink r:id="rId483" w:history="1">
        <w:r>
          <w:rPr>
            <w:rFonts w:ascii="arial" w:eastAsia="arial" w:hAnsi="arial" w:cs="arial"/>
            <w:i/>
            <w:color w:val="0077CC"/>
            <w:sz w:val="20"/>
            <w:u w:val="single"/>
            <w:shd w:val="clear" w:color="auto" w:fill="FFFFFF"/>
            <w:lang w:val="en-US" w:eastAsia="en-US" w:bidi="ar-SA"/>
          </w:rPr>
          <w:t>[1993] 2 S.C.R. 159</w:t>
        </w:r>
      </w:hyperlink>
      <w:r>
        <w:rPr>
          <w:rFonts w:ascii="arial" w:eastAsia="arial" w:hAnsi="arial" w:cs="arial"/>
          <w:color w:val="000000"/>
          <w:sz w:val="20"/>
          <w:lang w:val="en-US" w:eastAsia="en-US" w:bidi="ar-SA"/>
        </w:rPr>
        <w:t xml:space="preserve"> (S.C.C.); Iannone v. Hoogenraad </w:t>
      </w:r>
      <w:hyperlink r:id="rId484" w:history="1">
        <w:r>
          <w:rPr>
            <w:rFonts w:ascii="arial" w:eastAsia="arial" w:hAnsi="arial" w:cs="arial"/>
            <w:i/>
            <w:color w:val="0077CC"/>
            <w:sz w:val="20"/>
            <w:u w:val="single"/>
            <w:shd w:val="clear" w:color="auto" w:fill="FFFFFF"/>
            <w:lang w:val="en-US" w:eastAsia="en-US" w:bidi="ar-SA"/>
          </w:rPr>
          <w:t>(1993), 66 B.C.L.R. (2d) 106</w:t>
        </w:r>
      </w:hyperlink>
      <w:r>
        <w:rPr>
          <w:rFonts w:ascii="arial" w:eastAsia="arial" w:hAnsi="arial" w:cs="arial"/>
          <w:color w:val="000000"/>
          <w:sz w:val="20"/>
          <w:lang w:val="en-US" w:eastAsia="en-US" w:bidi="ar-SA"/>
        </w:rPr>
        <w:t xml:space="preserve"> (C.A.). Ms. Bain is entitled to compensation for her loss of tip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range of the minimum wage, $1,000 per month is not unreasonable for lost earnings without taking tips into account. I do not accept, without any documentary evidence, that tip income would have been as high as estimated. According to the calculations of the economist employed by Ms. Bain, the average annual earnings in 1995 for a female with a high school education was $21,444. Taking that statistic and Ms. Bain's earnings in previous years into account, I find it highly unlikely that she would have worked for the full period had she not been injured. Had she worked for the full nine months lost, her earnings would have been $15,000 based on average earnings. Her earnings history from 1990 through 1993 indicates she worked, on average, perhaps seven months of the year. A relatively generous assessment of her lost earnings based on two-thirds of her potential income is appropriate. I allow $10,000 for lost wages to March 1, 1995.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After that point in time, Ms. Bain's counsel suggested a somewhat complex calculation of her lost income, based on time lost and the difference between what she could have been expected to earn and her actual earnings. I find that calculation speculative and unreliable. As an alternative, Ms. Bain's counsel suggested the use of the economist's report and a finding of a loss of approximately $25,000. The position of the defendants was that Ms. Bain might be entitled to one week's wages for her time off at Big Bay Marina but otherwise she was as fully employed as she would have been had she not been injured.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find that in addition to the loss she suffered up to March 1, 1995, Ms. Bain was also unemployed for a period of approximately three months after her second motor vehicle accident, one week during the summer of 1997 at Big Bay Marina and approximately two and one-half months as she recuperated from her surgery and went through rehabilitation. Apart from those periods, I agree with counsel for the defendants that she suffered no compensable loss. Her ability to work was not impeded to any significant extent. Doing the best I can, I award $7,000 for lost wages for those periods.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Bain will recover $17,000 for past loss of wages.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That award must be reduced if Ms. Bain is entitled to recover damages for delay in completing her education.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Delay in Completing Education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Bain testified that she had not done well in school. She had failed the ninth grade and had missed courses in high school. She did graduate but did not complete an academic program. Her evidence was that she had always intended a career as a child and youth care worker. That profession requires, as a minimum, completion of a two year program at the university level. Before entering that program, Ms. Bain felt that she needed to upgrade her qualifications. That upgrading would have taken an additional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She did nothing to pursue that career until 1993, at which time she said that she had obtained the entrance form applications for Douglas College in New Westminster. That evidence is somewhat difficult to accept since there was no documentary evidence to substantiate it, but assuming she did have the application forms, she did not apply. Her grandmother took sick and she assisted in nursing her. Her grandmother passed away in August 1993 but she made no application then, because of the stress she felt over the death in the family.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Bain said that she had a plan to enter school in the fall of 1994 but that the May 1994 accident prevented her enrolment. That evidence is also suspect. She said that she was in pain and unable to concentrate and, as a result, had not applied. The difficulty is that her mind was unaffected, yet there is no evidence that she made any attempt to study.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1995 and 1996, she did not apply for enrolment in the program. At first she felt that she was unable to concentrate and she needed to do so in order to get good marks. Then she was involved in the second accident. In 1997, she was anticipating surgery and did not apply. In 1998, she said she was still recovering from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find that Ms. Bain very probably had little interest in upgrading her education and pursuing a new career before the accident of May 1994. She has shown no interest since her surgery. Her injuries did not affect her mental capacities. She has failed to persuade me that her education has been delayed. Had she not been injured, I find that she would most likely have continued in her occupation as a waitress.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may be that she may now pursue a different career because of the potential for reinjuring her left shoulder. That potential for injury has already been taken into account in the award of non-pecuniary damages. To engage in the speculative exercise of assessing her claim for a delay in her education, when a successful result for her would reduce the award for past wage loss is not a useful exercise.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make no award for delay in education. The award for past wage loss need not be reduced.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Future Wage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report of Lyla Quastel, an occupational therapy consultant with North West Rehabilitation, is dated September 16, 1998. Since it does not take into account the injuries of Ms. Bain caused by the second motor vehicle accident, there are limitations to its use. It is helpful, however, in establishing that while Ms. Bain had not done well in school, her potential for retraining is very good. If she is appropriately motivated, her test scores indicate that she would be successful at the two to four year college level. Her particular interests are in the service industry and a number of occupations are open to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Simplistically, the motor vehicle accidents have improved her earning potential. If she is motivated by the possibility of reinjuring her shoulder to upgrade her education, her earnings will be increased rather than decreased. That increase in earnings would offset any earnings she may lose by returning to school.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That is not to say that Ms. Bain has suffered no loss. If she continues to work as a waitress, she runs the risk of reduced income. That would seem to be her plan since she has indicated an intention to return to Big Bay Marina in the summer of 2000. Even as an employee there, her earnings may be reduced. During the summer of 1999, she was given the task of operating the marina store although she did occasionally relieve other waitresses in the dining room. She accepted that change without complaint but her earnings have apparently been reduced. That situation may continue.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Taking those factors into account, I am obliged to assess her claim for loss of future opportunity. I find that her earning capacity has been reduced but that the evidence adduced in support of her claim is of little value. The assumptions given to the economist are such that they have little bearing on Ms. Bain's circumstances as I have found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risk to Ms. Bain is minimal. The impact on her earning capacity is small. Assuming that she may, on average, suffer a loss of $500 per year over the next 40 years, the present value of that loss is $12,500. I award that amount for loss of future income.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are expenses claimed by Ms. Bain which are not controversial. There will, accordingly, be an award to her for the following: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30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Prescriptions</w:t>
            </w:r>
          </w:p>
        </w:tc>
        <w:tc>
          <w:tcPr>
            <w:tcW w:w="4301"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$355.00</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647"/>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53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Dr. Wittenberg's consultation fee</w:t>
            </w:r>
          </w:p>
        </w:tc>
        <w:tc>
          <w:tcPr>
            <w:tcW w:w="307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195.00</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960"/>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83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Allen McGavin Sports Medicine Clinic</w:t>
            </w:r>
          </w:p>
        </w:tc>
        <w:tc>
          <w:tcPr>
            <w:tcW w:w="2765"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837"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(Appointment with Dr. Regan)</w:t>
            </w:r>
          </w:p>
        </w:tc>
        <w:tc>
          <w:tcPr>
            <w:tcW w:w="2765"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20.00</w:t>
            </w:r>
          </w:p>
        </w:tc>
        <w:tc>
          <w:tcPr>
            <w:tcW w:w="102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647"/>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53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Air travel - Big Bay to Vancouver</w:t>
            </w:r>
          </w:p>
        </w:tc>
        <w:tc>
          <w:tcPr>
            <w:tcW w:w="307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281.41</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7"/>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32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Travel expenses post-surgery</w:t>
            </w:r>
          </w:p>
        </w:tc>
        <w:tc>
          <w:tcPr>
            <w:tcW w:w="3277"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415.40</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542"/>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Mileage (medical treatment and</w:t>
            </w:r>
          </w:p>
        </w:tc>
        <w:tc>
          <w:tcPr>
            <w:tcW w:w="317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consultations (1,288 km x .40/km)</w:t>
            </w:r>
          </w:p>
        </w:tc>
        <w:tc>
          <w:tcPr>
            <w:tcW w:w="317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515.20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427"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17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$1,782.01</w:t>
            </w:r>
          </w:p>
        </w:tc>
        <w:tc>
          <w:tcPr>
            <w:tcW w:w="102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defendants dispute their responsibility for an orthopaedic mattress, box spring and a feather mattress pad. Ms. Bain claims for a cost of $1,070. I would have been disposed to allow that claim on the basis of her evidence that she was in considerable pain and purchased the bedding in order to ameliorate it. There is authority for such an award, even in the absence of medical evidence: Corrigan v. Yiu, </w:t>
      </w:r>
      <w:hyperlink r:id="rId485" w:history="1">
        <w:r>
          <w:rPr>
            <w:rFonts w:ascii="arial" w:eastAsia="arial" w:hAnsi="arial" w:cs="arial"/>
            <w:i/>
            <w:color w:val="0077CC"/>
            <w:sz w:val="20"/>
            <w:u w:val="single"/>
            <w:shd w:val="clear" w:color="auto" w:fill="FFFFFF"/>
            <w:lang w:val="en-US" w:eastAsia="en-US" w:bidi="ar-SA"/>
          </w:rPr>
          <w:t>[1993] B.C.J. No. 2245</w:t>
        </w:r>
      </w:hyperlink>
      <w:r>
        <w:rPr>
          <w:rFonts w:ascii="arial" w:eastAsia="arial" w:hAnsi="arial" w:cs="arial"/>
          <w:color w:val="000000"/>
          <w:sz w:val="20"/>
          <w:lang w:val="en-US" w:eastAsia="en-US" w:bidi="ar-SA"/>
        </w:rPr>
        <w:t>, (5 November 1993), Vancouver Registry, B921301 (B.C.S.C.). The difficulty is that no evidence was adduced to support the allegation that Ms. Bain expended the funds. In the absence of evidence or an agreement between counsel, no award can be made. No foundation has been laid for the claim. For the same reason, there will be no award for the cost of pillows she acquired.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defendants also dispute liability for $363.50 paid to Dr. Regan to cover the portion of his fees not paid by Medical Services Plan and the sum of $1,500 payable to the Cambie Clinic for Ms. Bain's surgical stay. The evidence was that, had Ms. Bain waited for two months, she could have had the surgery in January 1999 at no cost to her. It is understandable that she would wish to have the surgery as soon as possible but she had waited for approximately one year and a further wait of two months does not seem unreasonable. She is not entitled to recover those amounts.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result, there will be an award of $1,782.01 for special damages.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Summary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Bain will recover: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For non-pecuniary damages</w:t>
            </w:r>
          </w:p>
        </w:tc>
        <w:tc>
          <w:tcPr>
            <w:tcW w:w="3789"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$35,000.00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For past wage loss</w:t>
            </w:r>
          </w:p>
        </w:tc>
        <w:tc>
          <w:tcPr>
            <w:tcW w:w="3789"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17,000.00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For future wage loss</w:t>
            </w:r>
          </w:p>
        </w:tc>
        <w:tc>
          <w:tcPr>
            <w:tcW w:w="3789"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12,500.00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For special damages</w:t>
            </w:r>
          </w:p>
        </w:tc>
        <w:tc>
          <w:tcPr>
            <w:tcW w:w="3789"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1,782.01</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789"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$66,282.01</w:t>
            </w:r>
          </w:p>
        </w:tc>
        <w:tc>
          <w:tcPr>
            <w:tcW w:w="102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In addition, she is entitled to court order interest at the Registrar's rates for the pecuniary awards. Counsel did not speak to costs. They will follow the event on Scale 3 unless counsel wish to make submissions on the question of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CLANCY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364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Bartley v. Buckley, [2005] B.C.J. No. 2903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Johnston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30,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00/4131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2903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1795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146 A.C.W.S. (3d) 424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Patricia Lynn Bartley, plaintiff, and Mary Barbara Buckley,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9"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2" w:name="Keywords_24"/>
      <w:bookmarkEnd w:id="162"/>
      <w:r>
        <w:rPr>
          <w:rFonts w:ascii="arial" w:eastAsia="arial" w:hAnsi="arial" w:cs="arial"/>
          <w:b/>
          <w:color w:val="000000"/>
          <w:sz w:val="20"/>
          <w:lang w:val="en-US" w:eastAsia="en-US" w:bidi="ar-SA"/>
        </w:rPr>
        <w:t>Civil procedure — Costs — Offers to settle — Special orders — Plaintiff was successful at trial but did not achieve total success — She did better than the defendant's offer to settle but fell short of her own offer — Court awarded the plaintiff costs — It refused to apportion costs between the plaintiff and the defendant since the plaintiff's claim was genuine.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3" w:name="Case Summary_18"/>
            <w:bookmarkEnd w:id="1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Buckley to apportion the trial costs between the parties -- Bartley sued Buckley for damages for personal injuries -- Trial lasted for two and a half days -- Bartley was successful but not to the extent sought by her in her closing argument -- Her trial award exceeded Buckley's offer to settle but fell short of her own offer to settle -- Buckley submitted that a portion of her costs related to the time spent at trial by Bartley to pursue her loss of income claim from the date of the accident to the trial should be disallowed -- Bartley was unable to convince the judge that these losses were caused by her injuries -- Buckley further submitted that the disbursements paid to one of the physicians should be disallowed because his evidence was not accepted -- HELD: Application dismissed -- Bartley was awarded her trial costs and a reasonable amount for her necessarily-incurred disbursements -- She was successful at trial -- She was not to be deprived of costs because she asked for more than she was awarded -- Trial would not have finished sooner if Bartley did not advance her claim for loss of income -- Bartley had the right to assert that her injuries which were caused by the accident continued to affect her for more than a year after the accident -- Trial time was not wasted because this claim was advanced or because she tendered the physician's written opinion which was reasonable and necessary for her claim -- Bartley's lack of success in establishing the causal connection between her ongoing complaints and Buckley's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disentitle her to reasonable costs -- Court would not apportion costs because Bartley honestly believed that her claim was genuine and was not exaggerated.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4" w:name="Legislation Cited_19"/>
      <w:bookmarkEnd w:id="1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0"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37, Rule 37(29.1), Rule 41A, Rule 57(15), Rule 66, Rule 66(29)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5" w:name="Counsel_24"/>
      <w:bookmarkEnd w:id="16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1"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Farquhar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 Milne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6" w:name="Judgment_24"/>
      <w:bookmarkEnd w:id="166"/>
      <w:r>
        <w:pict>
          <v:line id="_x0000_s1152" style="position:absolute;z-index:25183744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January 20, 2006.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7" w:name="JOHNSTON J."/>
            <w:bookmarkEnd w:id="167"/>
            <w:r>
              <w:rPr>
                <w:rFonts w:ascii="arial" w:eastAsia="arial" w:hAnsi="arial" w:cs="arial"/>
                <w:b/>
                <w:color w:val="000000"/>
                <w:sz w:val="30"/>
                <w:lang w:val="en-US" w:eastAsia="en-US" w:bidi="ar-SA"/>
              </w:rPr>
              <w:t>JOHNSTON J.</w:t>
            </w:r>
          </w:p>
        </w:tc>
      </w:tr>
    </w:tbl>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t>
      </w:r>
      <w:r>
        <w:rPr>
          <w:rFonts w:ascii="arial" w:eastAsia="arial" w:hAnsi="arial" w:cs="arial"/>
          <w:b/>
          <w:color w:val="000000"/>
          <w:sz w:val="18"/>
          <w:lang w:val="en-US" w:eastAsia="en-US" w:bidi="ar-SA"/>
        </w:rPr>
        <w:t>JOHNSTON J.</w:t>
      </w:r>
      <w:r>
        <w:rPr>
          <w:rFonts w:ascii="arial" w:eastAsia="arial" w:hAnsi="arial" w:cs="arial"/>
          <w:color w:val="000000"/>
          <w:sz w:val="18"/>
          <w:lang w:val="en-US" w:eastAsia="en-US" w:bidi="ar-SA"/>
        </w:rPr>
        <w:t xml:space="preserve"> The defendant asks that I exercise discretion, which the defendant says is conferred by Rules 66(29) and 57(15), to apportion between the parties the costs of the trial in this matter, and to disallow the plaintiff's entitlement to certain disbursements in the prosecution of the trial.</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t>
      </w:r>
      <w:r>
        <w:rPr>
          <w:rFonts w:ascii="arial" w:eastAsia="arial" w:hAnsi="arial" w:cs="arial"/>
          <w:color w:val="000000"/>
          <w:sz w:val="18"/>
          <w:lang w:val="en-US" w:eastAsia="en-US" w:bidi="ar-SA"/>
        </w:rPr>
        <w:t>The trial of this matter proceeded under Rule 66, and the plaintiff succeeded, though not to the extent sought by her in argument at the close of the trial.</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t>
      </w:r>
      <w:r>
        <w:rPr>
          <w:rFonts w:ascii="arial" w:eastAsia="arial" w:hAnsi="arial" w:cs="arial"/>
          <w:color w:val="000000"/>
          <w:sz w:val="18"/>
          <w:lang w:val="en-US" w:eastAsia="en-US" w:bidi="ar-SA"/>
        </w:rPr>
        <w:t>The trial lasted some two and one-half days, over September 7, 8 and 9, 2005. The plaintiff's case closed early in the afternoon of September 8, 2005. The defendant led evidence on the afternoon of September 8, 2005, and the trial resumed shortly after noon on September 9, 2005, for the balance of the defence evidence and argument of counsel.</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t>
      </w:r>
      <w:r>
        <w:rPr>
          <w:rFonts w:ascii="arial" w:eastAsia="arial" w:hAnsi="arial" w:cs="arial"/>
          <w:color w:val="000000"/>
          <w:sz w:val="18"/>
          <w:lang w:val="en-US" w:eastAsia="en-US" w:bidi="ar-SA"/>
        </w:rPr>
        <w:t>In addition to testifying herself, the plaintiff called one other witness. She tendered the written opinions of two treating physicians under Rule 41A, and she presented both doctors for cross-examination at the request of the defendant.</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t>
      </w:r>
      <w:r>
        <w:rPr>
          <w:rFonts w:ascii="arial" w:eastAsia="arial" w:hAnsi="arial" w:cs="arial"/>
          <w:color w:val="000000"/>
          <w:sz w:val="18"/>
          <w:lang w:val="en-US" w:eastAsia="en-US" w:bidi="ar-SA"/>
        </w:rPr>
        <w:t>The defendant testified, and in addition called the evidence of a physiotherapist who had treated the plaintiff briefly and a material damage estimator employed by I.C.B.C..</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t>
      </w:r>
      <w:r>
        <w:rPr>
          <w:rFonts w:ascii="arial" w:eastAsia="arial" w:hAnsi="arial" w:cs="arial"/>
          <w:color w:val="000000"/>
          <w:sz w:val="18"/>
          <w:lang w:val="en-US" w:eastAsia="en-US" w:bidi="ar-SA"/>
        </w:rPr>
        <w:t>The defendant submits that a portion of the costs relating to the time spent at trial by the plaintiff pursuing her claim for loss of income or opportunity from the date of the accident to trial and beyond should be disallowed because the defendant says the plaintiff failed to persuade me that those losses were caused by the injuries she suffered in the automobile accident. The evidence at trial showed, and I found, that the plaintiff's income did not start dropping until about one year after the accident, and I found that a causal link had not been established between the injuries suffered by the plaintiff in the accident and the reduction in her income.</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t>
      </w:r>
      <w:r>
        <w:rPr>
          <w:rFonts w:ascii="arial" w:eastAsia="arial" w:hAnsi="arial" w:cs="arial"/>
          <w:color w:val="000000"/>
          <w:sz w:val="18"/>
          <w:lang w:val="en-US" w:eastAsia="en-US" w:bidi="ar-SA"/>
        </w:rPr>
        <w:t>The defendant also submits that I ought to disallow the disbursements paid to one of the physicians presented for cross-examination, Dr. Morin, both for his written opinions and for his attendance in court. The defendant argues that the result of the trial shows that I clearly did not accept Dr. Morin's evidence and therefore disbursements related to his evidence ought not to be recovered by the plaintiff. The defendant further says that the disbursements related to a report of an economist, setting out the calculations of present value of future losses, should also be disallowed because the sole utility of the opinions in the economic report depended upon proof of future losses.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t>
      </w:r>
      <w:r>
        <w:rPr>
          <w:rFonts w:ascii="arial" w:eastAsia="arial" w:hAnsi="arial" w:cs="arial"/>
          <w:color w:val="000000"/>
          <w:sz w:val="18"/>
          <w:lang w:val="en-US" w:eastAsia="en-US" w:bidi="ar-SA"/>
        </w:rPr>
        <w:t>In reply the plaintiff says through counsel that when he received the opinions of Dr. Morin, which indicated that the plaintiff's condition continued beyond the two years immediately after the accident during which she was treated by Dr. Graham, that the condition complained of was caused by injuries suffered in the accident, and that condition would continue to impair the plaintiff's earning abilities in the future, he had no alternative but to advance the claims for income loss which were supported by those opinions. Mr. Farquhar says that his duty to his client admitted of no other course of action.</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t>
      </w:r>
      <w:r>
        <w:rPr>
          <w:rFonts w:ascii="arial" w:eastAsia="arial" w:hAnsi="arial" w:cs="arial"/>
          <w:color w:val="000000"/>
          <w:sz w:val="18"/>
          <w:lang w:val="en-US" w:eastAsia="en-US" w:bidi="ar-SA"/>
        </w:rPr>
        <w:t>The opinion of Dr. Morin responsible for this issue is set out in his second report, prepared over four years after the accident, and quoted at para. 26 of my reasons for judgment as follows:</w:t>
      </w:r>
      <w:r>
        <w:rPr>
          <w:rFonts w:ascii="arial" w:eastAsia="arial" w:hAnsi="arial" w:cs="arial"/>
          <w:sz w:val="20"/>
          <w:lang w:val="en-US" w:eastAsia="en-US" w:bidi="ar-SA"/>
        </w:rPr>
        <w:cr/>
      </w:r>
    </w:p>
    <w:p>
      <w:pPr>
        <w:spacing w:line="240" w:lineRule="atLeast"/>
        <w:ind w:left="720"/>
        <w:rPr>
          <w:rFonts w:ascii="arial" w:eastAsia="arial" w:hAnsi="arial" w:cs="arial"/>
          <w:sz w:val="20"/>
          <w:lang w:val="en-US" w:eastAsia="en-US" w:bidi="ar-SA"/>
        </w:rPr>
      </w:pPr>
      <w:r>
        <w:rPr>
          <w:rFonts w:ascii="arial" w:eastAsia="arial" w:hAnsi="arial" w:cs="arial"/>
          <w:color w:val="000000"/>
          <w:sz w:val="18"/>
          <w:lang w:val="en-US" w:eastAsia="en-US" w:bidi="ar-SA"/>
        </w:rPr>
        <w:t>[26]  Ms. Bartley (sic) ongoing neck problems keep herfrom full employment, as she is unable to function as aM.O.A. (Medical Office Assistant) more than a few hours aday because of the neck discomfort. It has forced her togo on partial disability because of this. I am convincedthat the MVA is the cause of her having to go on partialdisability. The physiotherapist noted some minorpre-existing neck problemsm (sic) that it did not keepMs. Bartley to be fully employed as a M.O.A. and on afull day's work, prior to her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 subsequent report, Dr. Morin said, as set out at para. 28 of my reasons for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 She is able to handle light work up to four hours daily but is not able to return to a full day's schedule as she was prior to her injury. Unhappily since five years has elapsed I do not see any further recovery taking place from now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 tendered as authorities, Girvan v. Raffele, </w:t>
      </w:r>
      <w:hyperlink r:id="rId493" w:history="1">
        <w:r>
          <w:rPr>
            <w:rFonts w:ascii="arial" w:eastAsia="arial" w:hAnsi="arial" w:cs="arial"/>
            <w:i/>
            <w:color w:val="0077CC"/>
            <w:sz w:val="20"/>
            <w:u w:val="single"/>
            <w:shd w:val="clear" w:color="auto" w:fill="FFFFFF"/>
            <w:lang w:val="en-US" w:eastAsia="en-US" w:bidi="ar-SA"/>
          </w:rPr>
          <w:t>[2002] B.C.J. No. 1795</w:t>
        </w:r>
      </w:hyperlink>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2002 BCSC 1105</w:t>
        </w:r>
      </w:hyperlink>
      <w:r>
        <w:rPr>
          <w:rFonts w:ascii="arial" w:eastAsia="arial" w:hAnsi="arial" w:cs="arial"/>
          <w:color w:val="000000"/>
          <w:sz w:val="20"/>
          <w:lang w:val="en-US" w:eastAsia="en-US" w:bidi="ar-SA"/>
        </w:rPr>
        <w:t xml:space="preserve">, Beaubier v. Klassen, </w:t>
      </w:r>
      <w:hyperlink r:id="rId494" w:history="1">
        <w:r>
          <w:rPr>
            <w:rFonts w:ascii="arial" w:eastAsia="arial" w:hAnsi="arial" w:cs="arial"/>
            <w:i/>
            <w:color w:val="0077CC"/>
            <w:sz w:val="20"/>
            <w:u w:val="single"/>
            <w:shd w:val="clear" w:color="auto" w:fill="FFFFFF"/>
            <w:lang w:val="en-US" w:eastAsia="en-US" w:bidi="ar-SA"/>
          </w:rPr>
          <w:t>[2003] B.C.J. No. 27</w:t>
        </w:r>
      </w:hyperlink>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2003 BCSC 7</w:t>
        </w:r>
      </w:hyperlink>
      <w:r>
        <w:rPr>
          <w:rFonts w:ascii="arial" w:eastAsia="arial" w:hAnsi="arial" w:cs="arial"/>
          <w:color w:val="000000"/>
          <w:sz w:val="20"/>
          <w:lang w:val="en-US" w:eastAsia="en-US" w:bidi="ar-SA"/>
        </w:rPr>
        <w:t xml:space="preserve">, and Bailey v. Victory </w:t>
      </w:r>
      <w:hyperlink r:id="rId495" w:history="1">
        <w:r>
          <w:rPr>
            <w:rFonts w:ascii="arial" w:eastAsia="arial" w:hAnsi="arial" w:cs="arial"/>
            <w:i/>
            <w:color w:val="0077CC"/>
            <w:sz w:val="20"/>
            <w:u w:val="single"/>
            <w:shd w:val="clear" w:color="auto" w:fill="FFFFFF"/>
            <w:lang w:val="en-US" w:eastAsia="en-US" w:bidi="ar-SA"/>
          </w:rPr>
          <w:t>(1995), 4 B.C.L.R. (3d) 389</w:t>
        </w:r>
      </w:hyperlink>
      <w:r>
        <w:rPr>
          <w:rFonts w:ascii="arial" w:eastAsia="arial" w:hAnsi="arial" w:cs="arial"/>
          <w:color w:val="000000"/>
          <w:sz w:val="20"/>
          <w:lang w:val="en-US" w:eastAsia="en-US" w:bidi="ar-SA"/>
        </w:rPr>
        <w:t xml:space="preserve"> (C.A.). The first two cases largely deal with whether and to what extent discretion existed to vary costs consequences found in Rule 66 where, but for the provisions of that Rule, different consequences might be produced as a result of offers to settle under Rule 37. In Bailey v. Victory, a payment into court prior to trial led to similar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Any lingering question whether a discretion existed under Rule 66(29) where there had been a failure to match or exceed an offer to settle under Rule 37 was removed by the adoption of subrule (29.1) which reads:</w:t>
      </w:r>
      <w:r>
        <w:rPr>
          <w:rFonts w:ascii="arial" w:eastAsia="arial" w:hAnsi="arial" w:cs="arial"/>
          <w:sz w:val="20"/>
          <w:lang w:val="en-US" w:eastAsia="en-US" w:bidi="ar-SA"/>
        </w:rPr>
        <w:cr/>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exercising its discretion under subrule (29), the court may consider a settlement offer delivered in accordance with Rule 37 or 37A whether or not other special circumstances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this case, the plaintiff's trial award exceeded the defendant's offer to settle but fell short of her own offer to settle, both made pursuant to Rule 37. The result at trial was much closer to the defendant's offer than it was to the plaintiff's. The defendant argues that because the result at trial came much closer to her offer to settle than to the plaintiff's offer to settle, that ought to influence the exercise of the court's discretion in her favour. For the reasons given by Macfarlane J.A. in Gaudiuso v. Walker </w:t>
      </w:r>
      <w:hyperlink r:id="rId496" w:history="1">
        <w:r>
          <w:rPr>
            <w:rFonts w:ascii="arial" w:eastAsia="arial" w:hAnsi="arial" w:cs="arial"/>
            <w:i/>
            <w:color w:val="0077CC"/>
            <w:sz w:val="20"/>
            <w:u w:val="single"/>
            <w:shd w:val="clear" w:color="auto" w:fill="FFFFFF"/>
            <w:lang w:val="en-US" w:eastAsia="en-US" w:bidi="ar-SA"/>
          </w:rPr>
          <w:t>(1991), 64 B.C.L.R. (2d) 121</w:t>
        </w:r>
      </w:hyperlink>
      <w:r>
        <w:rPr>
          <w:rFonts w:ascii="arial" w:eastAsia="arial" w:hAnsi="arial" w:cs="arial"/>
          <w:color w:val="000000"/>
          <w:sz w:val="20"/>
          <w:lang w:val="en-US" w:eastAsia="en-US" w:bidi="ar-SA"/>
        </w:rPr>
        <w:t>, I disagree. There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advanced and paid into Court $3,084.22 less than the amount of the judgment and argued before the trial judge that that was a factor that went to the question of costs. I agree with counsel for the appellant that that was not a proper consideration. I agree with McLachlin J., as she then was, who said this in Nicholls v. Richmond </w:t>
      </w:r>
      <w:hyperlink r:id="rId497" w:history="1">
        <w:r>
          <w:rPr>
            <w:rFonts w:ascii="arial" w:eastAsia="arial" w:hAnsi="arial" w:cs="arial"/>
            <w:i/>
            <w:color w:val="0077CC"/>
            <w:sz w:val="20"/>
            <w:u w:val="single"/>
            <w:shd w:val="clear" w:color="auto" w:fill="FFFFFF"/>
            <w:lang w:val="en-US" w:eastAsia="en-US" w:bidi="ar-SA"/>
          </w:rPr>
          <w:t>(1985), 60 B.C.L.R. 320</w:t>
        </w:r>
      </w:hyperlink>
      <w:r>
        <w:rPr>
          <w:rFonts w:ascii="arial" w:eastAsia="arial" w:hAnsi="arial" w:cs="arial"/>
          <w:color w:val="000000"/>
          <w:sz w:val="20"/>
          <w:lang w:val="en-US" w:eastAsia="en-US" w:bidi="ar-SA"/>
        </w:rPr>
        <w:t xml:space="preserve"> at 332: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have concluded that the fact that the defendants made a payment into court which fell $2,948.24 short of the amount ultimately awarded is not a proper ground for diminishing the plaintiff's costs to it. The general rule is that only payment into court of an amount equal to or greater than the amount ultimately awarded justifies exercise of the court's discretion to award costs to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Neither is the extravagance of the offers of settlement before trial a proper consideration. Rather, it is the success enjoyed by the parties at trial which will bear on the question of costs. [Sabir v. Mesmen and Mesmen, </w:t>
      </w:r>
      <w:hyperlink r:id="rId498" w:history="1">
        <w:r>
          <w:rPr>
            <w:rFonts w:ascii="arial" w:eastAsia="arial" w:hAnsi="arial" w:cs="arial"/>
            <w:i/>
            <w:color w:val="0077CC"/>
            <w:sz w:val="20"/>
            <w:u w:val="single"/>
            <w:shd w:val="clear" w:color="auto" w:fill="FFFFFF"/>
            <w:lang w:val="en-US" w:eastAsia="en-US" w:bidi="ar-SA"/>
          </w:rPr>
          <w:t>[1990] B.C.J. No. 1211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case at bar, the plaintiff succeeded at trial. While she would have liked to have done better, that can no doubt be said of most, if not all, plaintiffs. The fact that the plaintiff asked for more than she was awarded, should not deprive her of the costs consequences of her success without good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argues, by analogy at least, that the reasoning in Girvan, Beaubier, and Bailey should lead to the exercise of discretion so as to deprive the plaintiff of the costs for a day of trial, and the disbursements related to Dr. Morin.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None of the three decisions relied on by the defendant are particularly helpful to the question how the discretion might be exercised in a case such as this one. Girvan was concerned with whether special circumstances existed so as to enable the court to order double costs where the plaintiff's judgment exceeded her pre-trial offer to settle in a trial under Rule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Beaubier, Macaulay J. set out an admittedly incomplete list of criteria that might guide the exercise of discretion where the consequences of an offer to settle are in issue in a Rule 66 matter. In the process, he refined and clarified the applicability of Rule 37 to trials under Rule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Both decisions have since been overtaken by the codification of the discretion in subrule (29.1).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Bailey v. Victory, the plaintiff succeeded on a liability issue and recovered judgment substantially in excess of the combined amounts paid into court in advance. The trial judge ordered each party to pay 50% of the other party's costs, with right of set-off, and disallowed entirely the plaintiff's entitlement to disbursements related to the opinion of a vocational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important to bear in mind that in Bailey, the trial judge found that the plaintiff had inflated and exaggerated his claims for compensation for lost income or opportunity to earn income. On appeal, the Court of Appeal allowed the plaintiff's appeal on the costs issue and substituted an order that the plaintiff be deprived of costs for three days of trial. The Court of Appeal confirmed the trial judge's order that the plaintiff was not entitled to recover the disbursements related to the vocational consultant. It appears from paras. 28 and 32 of the decision in the Court of Appeal that the result was influenced, if not determined, by the fact that the trial length had been extended by the exaggerated claims of the plaintiff and that the exaggeration was the basis for the vocational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To the extent that exaggeration or inflation of claims was a factor in Bailey v. Victory, neither is relevant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do not agree that this trial could have been concluded in a day if the claims for loss of income or opportunity to earn income had not been advanced. The plaintiff had a right to assert that her injuries, which I found were caused by the accident, had continued to affect her for longer than a year after the accident. In doing so, she was not exaggerating or attempting to mislead.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did not decide that the plaintiff was not feeling the symptoms of which she complained to Dr. Morin, or at trial. Where a plaintiff, such as Ms. Bartley, has complaints after an accident, but fails to satisfy the court that the complaints are attributable to injuries sustained in the accident, or that the duration of the injuries is attributable to the accident, and where it is not possible to parse the evidence or the progress of trial so as to separate the claims neatly, it would not be just in my view to penalize a successful plaintiff because her reach exceeded her grasp.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am not persuaded that trial time was spent unnecessarily as a result of the income loss claims advanced by the plaintiff, nor by the plaintiff's tender of Dr. Morin's written opinions. While it is true that the cross-examination of Dr. Morin took longer than the evidence of any other witness, his opinion on the duration and causation of the plaintiff's ongoing complaints, in the end, proved to be based largely on his acceptance of what the plaintiff had told him about her symptoms and their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There was no real suggestion at trial that the plaintiff was exaggerating or inventing her symptoms. As shown in my summary of part of the defendant's argument at para. 57 of my reasons, the defendant seemed to accept that the plaintiff believed that she continues to have some accident-related physical ailments at trial, and it was this belief, genuinely held, that was in issue. That the plaintiff was ultimately unsuccessful in establishing the causal connection between these ongoing complaints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does not automatically disentitle her to the reasonable costs and disbursements incurred in the attempt. In my view, because the plaintiff's belief appeared genuine, and to be without the taint of exaggeration such as was found in Bailey, supra, I should not in this case exercise my discretion against the plaintiff as is sought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Wilson J. faced a similar argument in Anderson-Laxton v. Romolock and Laxton, </w:t>
      </w:r>
      <w:hyperlink r:id="rId499" w:history="1">
        <w:r>
          <w:rPr>
            <w:rFonts w:ascii="arial" w:eastAsia="arial" w:hAnsi="arial" w:cs="arial"/>
            <w:i/>
            <w:color w:val="0077CC"/>
            <w:sz w:val="20"/>
            <w:u w:val="single"/>
            <w:shd w:val="clear" w:color="auto" w:fill="FFFFFF"/>
            <w:lang w:val="en-US" w:eastAsia="en-US" w:bidi="ar-SA"/>
          </w:rPr>
          <w:t>[1996] B.C.J. No. 1052</w:t>
        </w:r>
      </w:hyperlink>
      <w:r>
        <w:rPr>
          <w:rFonts w:ascii="arial" w:eastAsia="arial" w:hAnsi="arial" w:cs="arial"/>
          <w:color w:val="000000"/>
          <w:sz w:val="20"/>
          <w:lang w:val="en-US" w:eastAsia="en-US" w:bidi="ar-SA"/>
        </w:rPr>
        <w:t>, where a plaintiff failed to recover damages sought for future losses. One defendant sought an order depriving the plaintiff, who had succeeded on other heads of damage, of costs reflecting two days of trial, on the basis of the defendant's estimate of the portion of the trial on the ultimately unsuccessful claim. Wilson J. said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I think the governing authority on this issue to be B.C. (Govt) v. Worthington (Can.) Inc., </w:t>
      </w:r>
      <w:hyperlink r:id="rId500" w:history="1">
        <w:r>
          <w:rPr>
            <w:rFonts w:ascii="arial" w:eastAsia="arial" w:hAnsi="arial" w:cs="arial"/>
            <w:i/>
            <w:color w:val="0077CC"/>
            <w:sz w:val="20"/>
            <w:u w:val="single"/>
            <w:shd w:val="clear" w:color="auto" w:fill="FFFFFF"/>
            <w:lang w:val="en-US" w:eastAsia="en-US" w:bidi="ar-SA"/>
          </w:rPr>
          <w:t>[1988] B.C.J. No. 1214</w:t>
        </w:r>
      </w:hyperlink>
      <w:r>
        <w:rPr>
          <w:rFonts w:ascii="arial" w:eastAsia="arial" w:hAnsi="arial" w:cs="arial"/>
          <w:color w:val="000000"/>
          <w:sz w:val="20"/>
          <w:lang w:val="en-US" w:eastAsia="en-US" w:bidi="ar-SA"/>
        </w:rPr>
        <w:t>. In rudimentary terms, that decision tells me that the discretion to be exercised under the subrule, must be exercised judicially. In doing that, I accept Mr. Johnston's submission. It seems to me that the time involved in addressing the plaintiff's claim for future loss does not lend itself to any meaningful measure. In one sense, that testimony dealt with the plaintiff's period of residual disability. I am not persuaded, in this case, that it would be fair to parse the testimony in pursuit of a definition of the time required to prove a future loss. Accordingly, I will not make the order sought by Ms. Romolock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Morin's written opinions were reasonable and necessary for the plaintiff to advance her claims. The cost of requiring Dr. Morin to attend for cross-examination should not be shifted from the party who required that attendance - with the associate risk in costs - to the party who did succeed at trial, albeit not to the extent sought. In my view the same can be said for the report of Discovery Economic Consulting, which simply presented present value multipliers that would have enabled quantification of future losses if they had been found. It was reasonably prudent in my view for the plaintiff to have obtained this report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agree that I have discretion under Rule 66(29) to dispose of costs in the manner provided by Rule 57. I decline to exercise that discretion as sought by the defendant in this case, and order that the plaintiff recover her costs of trial under Rule 66, including a reasonable amount for those expenses and disbursements that have been necessarily or properly incurred in the conduct of the proceeding, including the disbursements related to Dr. Morin's written opinions and his attendance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JOHNSTON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January 20,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4, paragraph 10, first line of sentence, the neutral citation number for Girvan v. Raffele,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hyperlink r:id="rId493" w:history="1">
        <w:r>
          <w:rPr>
            <w:rFonts w:ascii="arial" w:eastAsia="arial" w:hAnsi="arial" w:cs="arial"/>
            <w:i/>
            <w:color w:val="0077CC"/>
            <w:sz w:val="20"/>
            <w:u w:val="single"/>
            <w:shd w:val="clear" w:color="auto" w:fill="FFFFFF"/>
            <w:lang w:val="en-US" w:eastAsia="en-US" w:bidi="ar-SA"/>
          </w:rPr>
          <w:t>2002 BCSC 1105</w:t>
        </w:r>
      </w:hyperlink>
      <w:r>
        <w:rPr>
          <w:rFonts w:ascii="arial" w:eastAsia="arial" w:hAnsi="arial" w:cs="arial"/>
          <w:color w:val="000000"/>
          <w:sz w:val="20"/>
          <w:lang w:val="en-US" w:eastAsia="en-US" w:bidi="ar-SA"/>
        </w:rPr>
        <w: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3"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Bengtson v. Burnaby (City), [2000] B.C.J. No. 2910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Levine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November 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C965144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2910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1928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Steven Edward Bengtson, plaintiff, and City of Burnaby, John Doe and John Doe II,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4"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8" w:name="Keywords_25"/>
      <w:bookmarkEnd w:id="168"/>
      <w:r>
        <w:rPr>
          <w:rFonts w:ascii="arial" w:eastAsia="arial" w:hAnsi="arial" w:cs="arial"/>
          <w:b/>
          <w:color w:val="000000"/>
          <w:sz w:val="20"/>
          <w:lang w:val="en-US" w:eastAsia="en-US" w:bidi="ar-SA"/>
        </w:rPr>
        <w:t>Torts — Occupiers' liability for dangerous premises — Duty of occupier — Liability of occupier for acts of third party.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9" w:name="Case Summary_19"/>
            <w:bookmarkEnd w:id="16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Bengtson for damages for injuries he suffered while using a water slide at a leisure centre owned and operated by the city. While going down the slide with his son, Bengtson was hit from behind by a large, unidentified male. The male person hit Bengtson's back with one or both of his feet. There had been two boys in line after Bengtson. Although told to wait, the second boy pushed the first out of the way and proceeded down th slide. Bengtson's position was that the city's system of supervision and control of users of the water slide was inadequate because it did not effectively control the timing of entry of riders into the slide. The city argued that it had met the statutory duty of care by taking reasonable steps to ensure that riders were reasonably safe in using the water slide, and that it had applied its procedures to ensure the reasonable safety of Bengtson. The city's policy required that there be a slide attendant at the top at all times, and that only five sliders were allowed on the departure platform at a time. Riders were allowed to sit on the takeoff seat before the previous rider had reached the release point. Although attendants were to give riders a go-ahead signal this rule was not always enforced. These procedures were consistent with the industry standards, and there had been very few incidents of collisions on the water slide.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0" w:name="Holdings of Court_16"/>
            <w:bookmarkEnd w:id="17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city was not liable to Bengtson for any damages he suffered while using the water slide. Although the city's procedures were deficient to the extent that its attendants did not consistently tell riders to wait for their signal, it did not make the city liable for Bengtson's damages. Rather the damages were caused by a third party using its premises, who disobeyed the rules. The city was not a guarantor of the actions of all users of its premises. It was liable only if it failed to take the reasonable care required by the Occupier's Liability Act. In this case the systemic deficiency was overcome by the specific events. For appeal purposes Bengtson's non-pecuniary damages were assessed at $8,000.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1" w:name="Legislation Cited_20"/>
      <w:bookmarkEnd w:id="1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5"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508"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(1), 3(2).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2" w:name="Counsel_25"/>
      <w:bookmarkEnd w:id="17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6"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M.J. MacLeod, Esq.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 Sayn-Wittgenstein, Esq.</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3" w:name="Judgment_25"/>
      <w:bookmarkEnd w:id="173"/>
      <w:r>
        <w:pict>
          <v:line id="_x0000_s1157" style="position:absolute;z-index:2518384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4" w:name="LEVINE J. (orally)"/>
            <w:bookmarkEnd w:id="174"/>
            <w:r>
              <w:rPr>
                <w:rFonts w:ascii="arial" w:eastAsia="arial" w:hAnsi="arial" w:cs="arial"/>
                <w:b/>
                <w:color w:val="000000"/>
                <w:sz w:val="30"/>
                <w:lang w:val="en-US" w:eastAsia="en-US" w:bidi="ar-SA"/>
              </w:rPr>
              <w:t>LEVINE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Steven Bengtson, claims damages for injuries he suffered on September 7, 1994 while using a water slide at a leisure centre owned and operated by the defendant, the City of Burnaby. Burnaby denies liability and disputes the quantum of the plaintiff's claim for damages. The John Doe defendants are two boys, one or both of whom collided with the plaintiff on the water slide. They have not been identified, were not served, and did not appear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and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Neither party pleaded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plaintiff's pleadings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Plaintiff's counsel argued the case on the general principles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did not address the alleged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Burnaby's counsel addressed its obligations under the provisions of the Act. The law is clear that the duty and standard of care in this case are established by the Act: see Atley v. Popkum Water Slides Ltd. </w:t>
      </w:r>
      <w:hyperlink r:id="rId509" w:history="1">
        <w:r>
          <w:rPr>
            <w:rFonts w:ascii="arial" w:eastAsia="arial" w:hAnsi="arial" w:cs="arial"/>
            <w:i/>
            <w:color w:val="0077CC"/>
            <w:sz w:val="20"/>
            <w:u w:val="single"/>
            <w:shd w:val="clear" w:color="auto" w:fill="FFFFFF"/>
            <w:lang w:val="en-US" w:eastAsia="en-US" w:bidi="ar-SA"/>
          </w:rPr>
          <w:t>(1992), 64 B.C.L.R. (2d) 1</w:t>
        </w:r>
      </w:hyperlink>
      <w:r>
        <w:rPr>
          <w:rFonts w:ascii="arial" w:eastAsia="arial" w:hAnsi="arial" w:cs="arial"/>
          <w:color w:val="000000"/>
          <w:sz w:val="20"/>
          <w:lang w:val="en-US" w:eastAsia="en-US" w:bidi="ar-SA"/>
        </w:rPr>
        <w:t xml:space="preserve"> (C.A.); Milina v. Bartsch </w:t>
      </w:r>
      <w:hyperlink r:id="rId51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paras. 84 and 88 (S.C.), aff'd. </w:t>
      </w:r>
      <w:hyperlink r:id="rId511"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D.P. v. 332391 BC Ltd. </w:t>
      </w:r>
      <w:hyperlink r:id="rId512" w:history="1">
        <w:r>
          <w:rPr>
            <w:rFonts w:ascii="arial" w:eastAsia="arial" w:hAnsi="arial" w:cs="arial"/>
            <w:i/>
            <w:color w:val="0077CC"/>
            <w:sz w:val="20"/>
            <w:u w:val="single"/>
            <w:shd w:val="clear" w:color="auto" w:fill="FFFFFF"/>
            <w:lang w:val="en-US" w:eastAsia="en-US" w:bidi="ar-SA"/>
          </w:rPr>
          <w:t>(2000), 72 B.C.L.R. (3d) 214</w:t>
        </w:r>
      </w:hyperlink>
      <w:r>
        <w:rPr>
          <w:rFonts w:ascii="arial" w:eastAsia="arial" w:hAnsi="arial" w:cs="arial"/>
          <w:color w:val="000000"/>
          <w:sz w:val="20"/>
          <w:lang w:val="en-US" w:eastAsia="en-US" w:bidi="ar-SA"/>
        </w:rPr>
        <w:t xml:space="preserve"> at paras. 40-41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occupier's duty of care is set out in ss. 3(1) and (2) of the Act:</w:t>
      </w:r>
      <w:r>
        <w:rPr>
          <w:rFonts w:ascii="arial" w:eastAsia="arial" w:hAnsi="arial" w:cs="arial"/>
          <w:sz w:val="20"/>
          <w:lang w:val="en-US" w:eastAsia="en-US" w:bidi="ar-SA"/>
        </w:rPr>
        <w:cr/>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Madam Justice Southin summarized the legal duty imposed by s. 3 of the Act in Atley: "That duty has two aspects: (1) to take such care as was reasonable; (2) to see that a person using the premises was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September 7, 1994 the plaintiff and his 4-year-old son went to the Eileen Dailly Leisure Pool and Fitness Centre in Burnaby. The plaintiff paid the required admission fee, which permitted both him and his son to use all of the facilities in the Centre. The plaintiff worked out in the gym, and then he and his son used the swimming pool. The plaintiff's son urged the plaintiff to take him on the water slide, and the plaintiff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Neither the plaintiff nor his son had ever used the water slide at the Centre, or any water slide, before. They went to the base of the water slide where the plaintiff read signs posted there that set out rules for the use of the water slide. The signs stated: "Please wait for green light before proceeding. Only five people on each green light. Please hold handrail while climbing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From the base of the water slide a spiral staircase ascends to the platform of the slide. The plaintiff read a sign above the spiral staircase which stated: "Children 3 years to 5 years old must wear a PFD and ride on an adult's (18-years-plus) lap."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son was fitted with a PFD (a personal flotation device) either before or after they ascended the stairs to the water slide platform. When they got to the top of the stairs, the plaintiff informed one of the two female water slide attendants who were there that this was the first time he and his son had used the water slide. The attendant told the plaintiff that his son had to sit on his lap, and that the first part of the trip down the slide would be in darkness. The plaintiff did not recall the attendant telling them when to proceed into the water slide, but he said he doubted he would have gone down the slide on his own since it was his first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and his son proceeded down the water slide. In the first part of the slide, which is a covered tunnel and was in darkness, the plaintiff and his son slowed down and came to a stop. The plaintiff felt like his bathing suit was sticking to the surface of the slide. The plaintiff, holding his son, tried to push them along with his hands and heels.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heard noises in the tube, and became aware of someone coming down from the top. He looked around and saw what he described as a big guy, 200 pounds, coming down. The person hit the plaintiff's back with one or both of his feet. The plaintiff's glasses flew off, he saw black and stars.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and his son eventually reached the bottom of the water slide. They landed in the landing pool, and there was a great deal of commotion. He was concerned, for his son could not swim and was crying and scared. The staff asked if he was okay, which he said he was. They turned off the water slide to retrieve his glasses. A man came to him and asked if he was okay. The plaintiff thought, from the man's size and manner, that he might be the person who hit him, but he had no way of identifying that person. Either that man or the plaintiff's son noticed that the plaintiff had a red mark on his back. The plaintiff had a long, hot shower and went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manager of the Centre at the time of the incident, Sean Healy, and the two attendants at the water slide at the time of the incident, Monica Wood and Jonilyn Sahs, testified concerning the events of September 7, 1994 involving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Although neither Ms. Wood nor Ms. Sahs has a good recollection of the events of September 7, 1994 (which is not surprising considering the passage of time) they both recall that they were on the departure platform of the water slide when the plaintiff and his son went down it. They both recall that after the plaintiff and his son entered the slide, two boys came up the stairs to the platform. Neither Ms. Sahs nor Ms. Wood could recall whether either of the boys had used the water slide before. One of the boys got on the large fibreglass seat at the top of the water slide, which is the takeoff point for entry into the slide. The other boy stood behind him. Neither Ms. Wood nor Ms. Sahs could recall where she was standing, but both recall that both boys looked behind them. Both attendants concluded that the boys were looking down at the slide to see if anyone was on it. They would not have seen anyone on the slide at that time, since the plaintiff and his son were still in the covered portion of the 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Without waiting for either a verbal or hand signal giving permission to enter the water slide, the second boy pushed the first boy into the slide. Neither Ms. Sahs nor Ms. Wood could recall if the push was with one hand or two. Ms. Sahs says that after the first boy went down the slide, she reprimanded the second boy and told him not to go down until one of them told him he could go. Despite her warning, he climbed onto the takeoff seat and immediately proceeded down the 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no dispute that the plaintiff was hit on the back by one of the two boys. The plaintiff only recalls one person coming down behind him and hitting him. Some of the reports of the incident described the second boy as heavy and a large person, which is consistent with the plaintiff's description of the person who hit him. One of the reports states that it was the second boy who hit the plaintiff and his son with his feet on the plaintiff's back. Both Ms. Sahs and Ms. Wood testified that, from their observation of the two boys, it did not appear to them that either of the boys knew there was anyone in the slide or intended to cause a collision when they entered the slide without prior permission.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Policies and Procedures For The Use Of The Water 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Healy, Ms. Sahs, and Ms. Woods testified concerning Burnaby's policies and procedures for the use of the water slide. Mr. Healy was involved in the construction and commissioning of the Centre and the water slide, which opened to the public in 1993. He has significant expertise and experience in the management of aquatic facilities, including safety procedures. In developing the policies and procedures for the use of the water slide at the Centre, he consulted with the managers of other similar facilities. He contributed to ALERT, Life-Guarding in Action, a textbook of the National Life-Guard Service published by the Royal Life-Saving Society of Canada. It contains guidelines concerning the operation of water slides. He prepared written materials setting out the operational procedures for the water slide, and the roles and responsibilities of slide attendants at the Centre. He also prepared a staff orientation handbook used in the training of new employees at the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Healy testified that the water slide at the Centre is a moderate-speed slide. That is a slide that has a gentle slope and twists so that riders do not go too fast. According to the ALERT textbook, such water slides can be operated with more than one rider in the flume at a time, as long as there is sufficient space and time between riders to ensure that no collisions will occur either during the ride or in the catch pool at the end of the 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Healy testified that a release point was established for the water slide after consultation with managers of other water slides and exhaustive testifying by him and his staff. They determined that it was safe for a rider to enter the water slide when the previous rider emerges from the covered portion of the slide and can be seen in the uncovered portion. A slide attendant at the dispatch zone controls the timing of riders to prevent collisions. The attendant enforces restrictions and explains to patrons how to ride and the correct positions for departure. According to all of Mr. Healy, Ms. Sahs, and Ms. Wood, the slide attendant gives a verbal or hand signal to the rider to enter the slide when the previous rider reaches the release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procedure used for departure of riders into the water slide at the Centre is set out in the July 1993 "Operational Procedures" section of the Burnaby Parks and Recreation Manual of Policy and Procedures, Aquatics. Mr. Healy testified that these procedures were in place in September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is a slide attendant at the top of the slide at all times that the slide is in operation. Only five sliders are allowed on the departure platform at a time. This rule was imposed by the Burnaby Fire Department. The ascent by riders into the departure platform is controlled by the traffic light at the bottom of the spiral staircase. The traffic light is controlled by the attendant on the departure platform at the top of the stairs. When riders reach the top of the platform, the attendant directs them on proper use of the slide. Proper use of the slide is defined in the "Operational Procedures"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Slide is directed by staff.</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Confirmation if it is a first-time user or not.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Slide description. Length, darkness in tube, what to expect in terms of speed.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to slow down.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to enter the landing pool.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to slide with a toddler.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Non-swimmers are requested to wear a PFD, DOT-approved.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the slide rules.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Slide passively, avoid excess movements.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Enter landing pool in a sitting position.</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Exit pool quickly to ensure no collision with next slider. We cannot allow swimming in the landing pool.</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fun.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Rules 1 through 5, but not (a) through (g), appear on a sign mounted on the entrance to the tunnel, observable by the person seated on the takeoff seat. In addition, the sign also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Activities likely to cause an accident, such as sliding head-first, riding double, standing or diving into the landing pool, are not permitted. Our slide is 75 metres long and begins at a height of approximately 10 metres. The ride down to the landing pool will last about 15 seconds. The slide tube revolves outside the facility and will be dark for about five seconds of your ride. Get ready; it's your turn now. Be water smart; play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Notably, the rule that the slide attendant must give a verbal or hand signal to a rider to enter the slide, or that a rider must wait to receive such a signal before entering the slide, is not set out in any of the written materials and does not appear on any of the signs at the water 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Sahs and Ms. Wood testified that the rule that a rider is to wait to receive a verbal or hand signal from the attendant before entering the slide is generally known by persons using the slide. It is not the practice of either of them to tell riders, including first-time riders, to wait for a signal or not to enter the slide before they hear or see the signal. It is their experience that riders usually wait until they are told, before they enter the 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Neither Ms. Sahs nor Ms. Wood recalls telling the two boys to wait for a signal before one of them got on the takeoff seat and the other took the position behind him. They both concluded, from the actions of the two boys in turning around to look at the slide from the takeoff platform, that the boys knew the rule. Ms. Sahs recalls that she told the second boy about the rule after he pushed the first boy into the slide. Ms. Wood, who has worked in the aquatics department of the Centre since it opened, has no knowledge of any other incidents where one rider pushed another into the 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is no rule restricting riders on the top platform from sitting on the takeoff seat or standing close to it. Both Ms. Sahs and Ms. Wood testified that once a rider leaves the takeoff seat and enters the slide, there is no way that the attendant can stop the rider from descending the full length of the 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Healy estimated that 500,000 riders have gone down the slide since it opened. He reviewed the incident reports kept for the water slide and found reports of eight collisions, including the incident involving the plaintiff and his son. The other seven incidents occurred after September 7,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Healy, Ms. Sahs, and Ms. Wood testified that the staff at the Centre is aware that certain fabrics in bathing suits cause riders to slow down or get stuck in the slide. All of the collisions, but one, described in Burnaby's records involved riders getting stuck in the slide and subsequent riders hitting them from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says that Burnaby's system of supervision and control of users of the water slide is inadequate because it does not effectively control the timing of entry of riders into the 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Plaintiff's counsel points to three aspects of the system that are ineffective. He says that, first, by allowing riders to sit on the takeoff seat before the previous rider has reached the release point, Burnaby has abdicated its responsibility to control the entry of riders into the slide, and delegated the decision to the rider who may be a child or teenager. Second, by allowing other riders to surround the takeoff seat when a rider is sitting on it, waiting to enter the slide, Burnaby has increased the risk of an involuntary entry resulting from being pushed, crowded, or surprised. Third, Burnaby has not provided any evidence to show that the rules that a rider must not enter the water slide before the attendant gives a signal is communicated to riders.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Burnaby's counsel says that it has met the statutory duty of care by taking reasonable steps to ensure that riders are reasonably safe in using the water slide, and that it applied its procedures to ensure the reasonable safety of the plaintiff. He says that despite the procedures followed by the slide attendants and evidence that the two boys knew the rules, the two boys acted abruptly and unpredictably. He submits Burnaby cannot be held liable for such unforeseeable events: McKenna v. Greco (No. 2) </w:t>
      </w:r>
      <w:hyperlink r:id="rId513" w:history="1">
        <w:r>
          <w:rPr>
            <w:rFonts w:ascii="arial" w:eastAsia="arial" w:hAnsi="arial" w:cs="arial"/>
            <w:i/>
            <w:color w:val="0077CC"/>
            <w:sz w:val="20"/>
            <w:u w:val="single"/>
            <w:shd w:val="clear" w:color="auto" w:fill="FFFFFF"/>
            <w:lang w:val="en-US" w:eastAsia="en-US" w:bidi="ar-SA"/>
          </w:rPr>
          <w:t>(1985), 52 O.R. (2d) 85</w:t>
        </w:r>
      </w:hyperlink>
      <w:r>
        <w:rPr>
          <w:rFonts w:ascii="arial" w:eastAsia="arial" w:hAnsi="arial" w:cs="arial"/>
          <w:color w:val="000000"/>
          <w:sz w:val="20"/>
          <w:lang w:val="en-US" w:eastAsia="en-US" w:bidi="ar-SA"/>
        </w:rPr>
        <w:t xml:space="preserve"> (H. Ct. J.), aff'd </w:t>
      </w:r>
      <w:hyperlink r:id="rId514" w:history="1">
        <w:r>
          <w:rPr>
            <w:rFonts w:ascii="arial" w:eastAsia="arial" w:hAnsi="arial" w:cs="arial"/>
            <w:i/>
            <w:color w:val="0077CC"/>
            <w:sz w:val="20"/>
            <w:u w:val="single"/>
            <w:shd w:val="clear" w:color="auto" w:fill="FFFFFF"/>
            <w:lang w:val="en-US" w:eastAsia="en-US" w:bidi="ar-SA"/>
          </w:rPr>
          <w:t>(1986), 58 O.R. (2d) 63</w:t>
        </w:r>
      </w:hyperlink>
      <w:r>
        <w:rPr>
          <w:rFonts w:ascii="arial" w:eastAsia="arial" w:hAnsi="arial" w:cs="arial"/>
          <w:color w:val="000000"/>
          <w:sz w:val="20"/>
          <w:lang w:val="en-US" w:eastAsia="en-US" w:bidi="ar-SA"/>
        </w:rPr>
        <w:t xml:space="preserve"> (C.A.); Penney v. Fort Nelson Hotel (1974) Ltd., </w:t>
      </w:r>
      <w:hyperlink r:id="rId515" w:history="1">
        <w:r>
          <w:rPr>
            <w:rFonts w:ascii="arial" w:eastAsia="arial" w:hAnsi="arial" w:cs="arial"/>
            <w:i/>
            <w:color w:val="0077CC"/>
            <w:sz w:val="20"/>
            <w:u w:val="single"/>
            <w:shd w:val="clear" w:color="auto" w:fill="FFFFFF"/>
            <w:lang w:val="en-US" w:eastAsia="en-US" w:bidi="ar-SA"/>
          </w:rPr>
          <w:t>[1988] B.C.J. No. 2506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Burnaby submits further that the evidence shows that the procedures followed in operating the water slide conform with the practice at other water slides and they are effective in reducing to almost nil the risk of injury to riders on the water slide. Counsel points out that an occupier is not an insurer of the absolute safety of the persons using its premises: Milina at para. 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Burnaby says that if there is any liability for the plaintiff's injuries, it is the boys' and not Burnaby's. Burnaby also pleaded that the plaintiff was contributorily negligent, but there is no evidence and Burnaby made no submissions on that plea.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its defence, Burnaby relies in part on the rule that users of the water slide must wait to receive a signal from the attendant before descending the slide. Burnaby has failed to show, however, that the rule is generally known by or communicated to riders. In this respect its procedures are deficient. It would cost it little or nothing to correct this defect by taking reasonable steps to ensure that the rule is communicated, verbally and in writing, to riders. The claim that it would be repetitive if the slide attendant had to repeat the rule to each rider is simply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This finding of a breach with respect to its system, however, does not mean that Burnaby is liable for the plaintiff's damages in this case. The question is whether Burnaby's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plaintiff's injuries; that is, did the failure of Burnaby's system cause or contribute to the collision involving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no evidence that either of the two boys who went down the slide, while the plaintiff was in it, knew the rule before the first boy entered the slide. I do not accept the conclusion of Ms. Sahs and Ms. Wood that the two boys must be taken to have known the rule because they looked behind them at the slide to see if anyone was on it, or because riders in general know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Although it is contradictory in some respects, I accept Ms. Sahs' evidence that after the first boy descended the slide, she or Ms. Wood told the second boy not to go until one of them gave a signal. He nonetheless entered the slide before either of them did so. Thus, whether the first boy was pushed or not, the second boy disobeyed the rule after he was informed of it. The evidence concerning the size of the second boy and the plaintiff's description of the person who hit him indicates that he was likely the person who collided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Is Burnaby liable for the actions of a third person using its premises who disobeyed the rule, having been informed of it directly? In my view it is not. It is in the position of the bar operators in McKenna and Penney who were found not liable to the victim of an unforeseeable assault on their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Burnaby is not a guarantor of the actions of all users of its premises. It is liable only if it has failed, in all of the circumstances of the case, to take the reasonable care required by the Act. Despite the deficiency in its system, the facts are that in the circumstances of this case the systemic deficiency was overcome by the specific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submissions that Burnaby should have more stringent rules governing the activities of users of the water slide on the departure platform have some initial appeal. If users were prohibited from sitting on the takeoff seat or approaching it, it is less likely that a rider will enter the slide involuntarily. I am not persuaded, however, that such rules are reasonable in the circumstances, taking into account the evidence that Burnaby's procedures are consistent with the industry standards, and that there have been very few incidents of collisions on the water slide. Furthermore, those rules could be disobeyed, just as the second boy disobeyed the rule not to go down the slide until he received permission from the attendant. That was the likely cause of the incident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therefore find that Burnaby is not liable to the plaintiff for any damages he suffered while using the water slide on September 7,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Milina and Penney, the courts found the defendants not liable, but went on to assess damages in case they were overturned on the liability issue on appeal. Since much of the evidence in this case was of the injuries suffered by the plaintiff, I will follow the same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is 48 years old. He is married and the father of two children, now 8 and 10 years old. He is a part owner and manages a Vancouver office of a market research company, employing four or five full-time and about 100 part-time employees. He makes no claim in this action for lost income, as he is effectively self-employed and has been able to make up any time lost due to his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1970 the plaintiff moved from New Jersey to Saskatoon to study at the University of Saskatchewan on a scholarship. He obtained an Honours BA with a major in sociology and a minor in psychology. During the 1970s, he worked as a researcher. In 1980 he moved to Toronto and joined a musical group known as The Romaniacs. From 1980 through 1989 he toured with the Romaniacs in Canada, the United States, and Australia. On a tour in Australia in 1988, he met his wife. They married and planned a family. The plaintiff gave up music for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Injuries From The Water Slide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After the incident at the water slide the plaintiff and his son took a hot shower and went home. He said little to his wife about the incident until his son went to bed. He asked her to rub his back, which she did. Sometime after, they went to bed. He felt his whole back spasming, moving to the right and left sides. He woke his wife who brought him some Tylenol.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next day he was stiff and had trouble walking. He saw his family doctor, Dr. Gable, who diagnosed a cracked rib or ribs and prescribed Tylenol 3. The plaintiff understood the ribs would take six weeks to heal. The pain settled down within that time to a 4-inch lateral band across his mid-back. Between September and December 1994, the plaintiff saw doctors several times for various complaints, but Dr. Gable's records note no reports of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February 1995 the plaintiff says he still had back pain from the incident, and Dr. Gable referred him to a chiropractor, Dr. Gordon. Dr. Gordon recommended that he have massage therapy in connection with the chiropractic treatment. The chiropractic treatment sometimes provided immediate relief, but the pain in his back would come back a few days later. The plaintiff saw Dr. Gordon from February 18 to April 18, 1995, April to June 1996, once in each of October 1996, and May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pain did not resolve, and in May 1995, Dr. Gable referred the plaintiff to an orthopaedic surgeon, Dr. Kokan. Dr. Kokan examined the plaintiff twice, once before and once after a motor vehicle accident on May 11, 1995. In the motor vehicle accident, a taxi in which the plaintiff was riding struck the car in front. The plaintiff suffered neck and back pain. Dr. Kokan noted spasms in both trapezii muscles on May 23, 1995. Dr. Kokan recommended, after both appointments, that the plaintiff attend the Canadian Back Institute for an exercise program. The plaintiff did not did not attend the Canadian Back Institute, because the cost is not covered by medical insurance and he felt he could not afford it. He did exercise, as suggested by the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says the neck pain disappeared in four or five days after the motor vehicle accident, and he was left with the four-inch band of pain across his mid-back that he claims was as a result of the water slide incident. The plaintiff says he continues to suffer from the mid-back pain. He experiences it as a dull, low-level constant pain, with flare-ups from time to time which last one to three days. He controls the pain during flare-ups with medication. He testified that he saw the chiropractor to control flare-ups, but the chiropractor's records indicate that he did not see him after May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says the effect of the back pain is primarily to restrict his physical activities with his family. His children are involved in sports, including basketball, golf, gymnastics, and downhill skiing, and he is unable to participate with them as actively as they want him to,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medical history includes numerous episodes of pain in various parts of his back, including mid-back, treated with massage therapy in 1991 and 1993. He suffered from a hiatus hernia which caused pain in his chest which radiated to his back. He complained to his doctor of this pain one month before the water slide incident. The records of his doctor, chiropractor, and massage therapist record complaints of pain in various parts of his back, not just his mid-back following the water slide incident. He suffered from neck and back pain following the motor vehicle accident in May 1995, and again following a jump out of a tree in July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was diagnosed in the late 1980s with a chronic anxiety disorder, characterized by hypochondria. He has been treated with medication, and testified that he has been completely free of anxiety symptoms for many years. The records of his psychiatrist indicate that in the fall of 1994 he suffered some symptoms, and his medication was changed. He reported to the psychiatrist in December 1994 that he was in heaven. The plaintiff says that the comment was in reference to the effect of the changed medication on his anxiety symptoms, and that he never brought his complaints of back pain to his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says that the pain resulting from the water slide incident is very localized and specific, distinguishable to him from the other back pain he has experienced before and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provided letters from Dr. Kokan, Dr. Gordon, and Dr. Mamacos, who took over Dr. Gable's practice in 1995. None of the doctors provided medical-legal reports, but summarized their contacts with and treatment of the plaintiff. All three doctors testified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Kokan and Dr. Gordon had not reviewed the plaintiff's medical records, but relied on the plaintiff's reports of his history. They did not know of the various episodes of previous back pain or the anxiety disorder. Dr. Gordon did not know of the motor vehicle accident or the jump from a tree. Dr. Mamacos reviewed Dr. Gable's records, some of which he misinterpreted in preparing his opinion. Dr. Kokan and Dr. Gordon testified that the additional information they did not have may have affected their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All three of the doctors opined that the plaintiff's continuing back pain was caused by the water slide incident. Dr. Kokan and Dr. Mamacos stated that the incident aggravated a pre-existing degenerative back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Because of the gaps in the knowledge of each doctor of the plaintiff's condition before the incident and aggravating events that occurred after, I do not find the doctors' opinions of much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do not believe that the plaintiff intentionally failed to disclose all of his history to any of his doctors. On the contrary, the plaintiff's medical history indicates that he relies on doctors and other health-care providers to meet his health needs, and to that end discloses all of the information he considers relevant to his immediate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seeking help for the back pain he experienced after the water slide incident, he reported those symptoms he concluded were the result of that incident. When he sought help for complaints he considered unrelated, he reported the symptoms specific to that complaint. The result is that the records of the plaintiff's health care providers are inconsistent with his evidence at this trial. His evidence at this trial is that the pain he experienced after the water slide incident is different from any back pain he experienced before or since, and that it has continued since the incident. He attempts to explain records of complaints of what appears to be similar back pain, by attributing the other pain to other specific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doctors' testimony is of assistance in that they all made it clear that back pain in one particular area or experienced at one particular time is not separable from other back pain experienced at a different place or time. The patient's entire history and condition is relevant. The plaintiff's attempt to differentiate the pain resulting from the water slide incident from the other incidents and causes of back pain, is not, according to my understanding, medically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all of the evidence, I conclude that the plaintiff did suffer some injury to his back in the water slide incident. That injury likely aggravated a pre-existing condition, and was further aggravated by the motor vehicle accident, the jump from the tree, and unknown physical activities that have occurred since. The incident was a contributing cause of his present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plaintiff's present condition is of some continuous low-grade pain, with intermittent flare-ups controllable by medication. His daily activities and enjoyment of life are minimally impaired. He did not downhill ski before the incident, nor does he now. He finds it difficult to drive a golf ball 300 yards, but significantly, was not asked if he could do that before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find that if Burnaby was liable for his injury, the plaintiff would be entitled to non-pecuniary damages of $8,000. I would not reduce the damage award for any failure of the plaintiff to mitigate his damages by not attending the Canadian Back Institute. Burnaby did not meet its onus to show that the exercise program offered by the Canadian Back Institute would have improved the plaintiff's condition more than the exercises Dr. Gordon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case is dismissed. The defendant, the City of Burnaby, is entitled to its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LEVINE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8"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Bonavista Management Inc. v. Absolute Star Design Ltd., [2015] B.C.J. No. 1226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S150986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1226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1002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Bonavista Management Ltd., Jila Mahinfar, Otto and Associates Insurance Agency Ltd., Plaintiffs, and Absolute Star Design Ltd., Taline Giragosian and Gino Giragosian,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9"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5" w:name="Keywords_26"/>
      <w:bookmarkEnd w:id="175"/>
      <w:r>
        <w:rPr>
          <w:rFonts w:ascii="arial" w:eastAsia="arial" w:hAnsi="arial" w:cs="arial"/>
          <w:b/>
          <w:color w:val="000000"/>
          <w:sz w:val="20"/>
          <w:lang w:val="en-US" w:eastAsia="en-US" w:bidi="ar-SA"/>
        </w:rPr>
        <w:t>Landlord and tenant law — Commercial tenancies — Quiet enjoyment — Application by plaintiff property manager and tenants for permanent injunctive relief allowed — Parties were tenants in commercial retail and office building — Plaintiffs complained of cigar smoke and fumes emanating from defendants' business, being vented into their units — Requests to have defendants cease smoking were unsuccessful — Smoke unreasonably interfered with plaintiffs' use and enjoyment of units and constituted nuisance — Smoking violated bylaws and lease — Damages would not be adequate remedy and balance of convenience favoured injunction — Application was unopposed — Plaintiffs granted relief sought.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Landlord and tenant law — Proceedings — Practice and procedure — Injunctions — Application by plaintiff property manager and tenants for permanent injunctive relief allowed — Parties were tenants in commercial retail and office building — Plaintiffs complained of cigar smoke and fumes emanating from defendants' business, being vented into their units — Requests to have defendants cease smoking were unsuccessful — Smoke unreasonably interfered with plaintiffs' use and enjoyment of units and constituted nuisance — Smoking violated bylaws and lease — Damages would not be adequate remedy and balance of convenience favoured injunction — Application was unopposed — Plaintiffs granted relief sought.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6" w:name="Case Summary_20"/>
            <w:bookmarkEnd w:id="1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for permanent injunctive relief. The plaintiff Bonavista was the property manager of a two-storey rental commercial building with retail units on the bottom floor and office units on the second floor. Each unit had individual heating and ventilation systems venting at the back of the building. The defendants included a building tenant, Absolute Star Design, and its owner and operator. The other plaintiffs included the owner of a dry cleaning business adjacent to Absolute, and an insurance business in the space above Absolute. Absolute was initially intended to be a jewelry retailer, but had recently featured the sale of cigars. Bonavista began to receive complaints of cigar smoke and fumes coming from the Absolute unit. Efforts to get the defendants to stop smoking in the unit failed. The plaintiffs sought a permanent injunction restraining the defendants, their employees, and customers from smoking cigars or other tobacco or marijuana products at their rented business premises. None of the defendants responded to the plaintiffs' notice of civil claim or application. The defendants did not file any evidence or submissions.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7" w:name="Holdings of Court_17"/>
            <w:bookmarkEnd w:id="17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emission of cigar smoke and fumes from the Absolute unit unreasonably interfered with the use and enjoyment of the plaintiffs' rental units. The smoking of cigars in the unit constituted a nuisance, and was in violation of the terms of the defendants' lease and municipal bylaws. Given the continuation of the smoking despite repeated requests to cease, damages would not be an adequate remedy. The balance of convenience favoured an injunction. The plaintiffs were granted the relief sought.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8" w:name="Legislation Cited_21"/>
      <w:bookmarkEnd w:id="1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0"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9" w:name="Counsel_26"/>
      <w:bookmarkEnd w:id="17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1"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W.G. Mazzei.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appearing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0" w:name="Judgment_26"/>
      <w:bookmarkEnd w:id="180"/>
      <w:r>
        <w:pict>
          <v:line id="_x0000_s1162"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1" w:name="W. EHRCKE J."/>
            <w:bookmarkEnd w:id="181"/>
            <w:r>
              <w:rPr>
                <w:rFonts w:ascii="arial" w:eastAsia="arial" w:hAnsi="arial" w:cs="arial"/>
                <w:b/>
                <w:color w:val="000000"/>
                <w:sz w:val="30"/>
                <w:lang w:val="en-US" w:eastAsia="en-US" w:bidi="ar-SA"/>
              </w:rPr>
              <w:t>W. 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matter concerns a problem with tobacco smoke at a two-storey commercial building located in the 2400 block of Marine Drive, in West Vancouver, British Columbia (the "Building"). There are 20 units in the Building which are rented out to various small businesses. There are no residential units in the Building. Tobacco smoke emanating from one of the businesses has for quite some time been bothering the owners of the other businesses in the Building, and they would like it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Accordingly, the plaintiffs apply for a permanent injunction restraining the defendants, their employees and their customers from smoking cigars or any other tobacco or marihuana products at their rented business premises located at 2430 Marine Drive, West Vancouver,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commenced this action by filing a notice of civil claim on February 4, 2015, seeking an injunction, general and punitive damages, and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April 9, 2015, the plaintiffs filed the present notice of application, which seeks only an injunction and special costs, to be determined by way of summary trial under Rule 9-7 of the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Despite being served with all the materials, none of the defendants have responded either to the notice of civil claim or to the notice of application. None of the defendants appeared at the hearing of this application, and they have not filed any evidence or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materials filed by the plaintiffs on the summary trial application include: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Affidavit #1 of Lina Marinelli sworn February 13, 2015;</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Affidavit #2 of Lina Marinelli sworn April 7, 2015</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Affidavit #1 of Nastaran Bastami sworn March 6, 2015;</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Affidavit #1 of Jila Mahinfar sworn February 4,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Affidavit #2 of Jila Mahinfar sworn May 4, 2015;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Affidavit #1 of Kenneth Paul Mendham sworn February 5, 2015;</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Affidavit #1 of Akbar Tajseknadar sworn February 4,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Affidavit #1 of John Jahanshahi sworn February 5, 2015; 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Affidavit #1 of Janusz Grabianowski sworn March 18,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 am satisfied that this application is suitable for determination by summary trial, despite the fact that the relief requested is a permanent injunction: </w:t>
      </w:r>
      <w:r>
        <w:rPr>
          <w:rFonts w:ascii="arial" w:eastAsia="arial" w:hAnsi="arial" w:cs="arial"/>
          <w:i/>
          <w:color w:val="000000"/>
          <w:sz w:val="20"/>
          <w:lang w:val="en-US" w:eastAsia="en-US" w:bidi="ar-SA"/>
        </w:rPr>
        <w:t>Qureshi v. Gooch</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2005 BCSC 1584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From the affidavit evidence filed, I find the following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Bonavista Management Ltd. ("Bonavista"), is a duly incorporated British Columbia company carrying on business as a property manager. It has the authority of the registered owners of the Building to enter into leases and to conduct and manage the rental business on behalf of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Building is a two-storey building with retail rental units on the bottom floor and office rental units on the second floor. Each rental unit has individual heating and ventilation systems that vent out the back of the Building. The civic addresses associated with the Building are 2428 thru 2448 Marine Drive, West Vancouver,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Absolute Star Design Ltd. is a tenant of Bonavista in the Building. It occupies the unit at 2430 Marine Drive (the "Absolute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Taline Giragosian ("Taline") is the sole director of the defendant Absolute Star Design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Gino Giragosian ("Gino") is the person who operates the business of Absolute Star Design Ltd. on a day-to-day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Jila Mahinfar ("Jila") is the owner of a business called Elegant Alterations and Dry Cleaning. Her unit is at 2428 Marine Drive (the "Elegant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Elegant Unit is adjacent to and immediately to the east of the Absolute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Otto and Associates Insurance Agency Ltd. ("Otto") is a tenant of Bonavista in the Building at 204-2438 Marine Drive (the "Otto Unit"). The Otto Unit is above Absolute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Absolute Unit and the Elegant Unit are on the main floor. The Otto Unit is on the second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Absolute Star Design Ltd. entered into a lease with the plaintiff Bonavista on February 19, 2004 (the "Absolute Lease") for a term of seven years. On December 15, 2011 the Absolute Lease was extended for a further term of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Jila and Otto also have leases with the plaintiff Bonavista. Except for the particulars as to term and rent, the leases of Jila, Otto and Absolute are substantially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Under the terms of the Absolute Lease, the premises were originally to be used for the purpose of a jewelry retail store and related activities. The defendant Absolute sold some cigars in the store, but over the years the sale of cigars has become a more prominent business for Absolute.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2009, Bonavista started to receive complaints that cigar smoke and cigar fumes were coming from the Absolute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Bonavista determined the cigars were being smoked in or around the Absolute Unit by the defendant Gino and his customers, his invitees and his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Bonavista attempted on many occasions to get the defendants to stop smoking cigars in the Absolute Unit, but all such attempts have failed. In the affidavit of Lina Marinelli, general manager of Bonavista, she deposed that she started to get complaints from tenants in 2009 that a strong odor of cigar smoke was coming from the Absolute Unit. She wrote to the defendants on October 15, 2009, July 7, 2011, August 2, 2011, August 30, 2012, and July 8, 2013, advising them that smoking was strictly prohibited and was in breach both of the lease and of West Vancouver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Bonavista retained its solicitors to correspond with the defendants. Despite a letter sent December 2, 2013, the smoking of cigars in the Absolute Unit did not stop. Bonavista received numerous complaints about the cigar smoke in July 2014 and November 2014. The cigar smoking in the Absolute Unit continued until an action was commenced against the defendants, at which time it temporarily 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Recently, however, the smoking has resumed. In the affidavit of Janusz Grabianowski sworn March 18, 2015, he deposed that the defendant Gino was smoking a cigar on the balcony at the back of the rented premises on January 29, 2015, and that the ventilation systems intake air from the ceiling area of the balcony.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well, in her affidavit #2, Jila Mahinfar deposed that she smelled cigar smoke coming from the neighbouring shop as recently as April 29, 2015. In that affidavit she also deposed that she is in the process of selling her business, but she remains liable to the landlord on the lease of her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emission of the cigar smoke and the cigar fumes may have interfered economically with the business of the plaintiff Jila as her customers have complained that their clothes smell like smoke.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Article 6.08 of the Absolute Lease prohibits activities that constitute a nuisance, are annoying to the Landlord or other tenants or the public, or that are contrary to any bylaw. That article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6.08 Not to do, suffer or permit any act or neglect which may in any manner directly or indirectly cause injury to the Premises or to the Building of which the Premises form a part or to any fixtures or appurtenances thereof, or which may be or become a nuisance or which may be offensive or annoying to the Landlord or to any other tenant or to the public, or be improper, noisy or contrary to any law, by-law, ordinance or regulation of a competent government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Part 5 of the District of West Vancouver Smoking Regulation Bylaw 4607, 2009 prohibits smoking in certain areas in and around buildings. Section 5.1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person shall not smoke: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5.1.1 In a building, except in:</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dwelling unit defined under the Zoning Bylaw including a dwelling unit in which an owner or occupier also carries on a business: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hotel or motel room or suite designated for smoking by a responsible person, or</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Enclosed premises:</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are not open to the public;</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only occupants are the owner or owners of the business carried on in the premises;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5.1.2 In a vehicle for hire;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5.1.3 On public transit including a school bus, passenger bus, ferry or rapid transit;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5.1.4 In, or within six (6) metres of, an enclosed or partially enclosed shelter where people wait to board a vehicle for hire or public transit;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5.1.5 In a customer service area;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5.1.7 Within six (6) metres of the perimeter of a customer service area;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5.1.8 Within six (6) metres measured on the ground from a point of any opening into any building including any door or window that opens or any air intake.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That bylaw defines "building" and "premises" in the Part 4 Definitions: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In this bylaw: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"building" means a portion of a building or structure which is used or intended for supporting or sheltering any use or occupancy and includes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"premises" means a portion of a building in respect of which a person has exclusive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From the affidavit evidence, I am satisfied that the emission of cigar smoke and cigar fumes from the Absolute Unit unreasonably interferes with the use and enjoyment of the rental units by the plaintiffs Jila and Otto.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emission of cigar smoke and cigar fumes from the Absolute Unit also unreasonably interferes with the use and enjoyment of the Building by the plaintiff Bonavista. The evidence shows that Bonavista has repeatedly had to deal with complaints from its tenants regarding the cigar smoke and cigar fumes.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tort of nuisance involves the unreasonable interference with the enjoyment of land. It need not be accompanied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may result from the escape of smoke or fumes that impairs the enjoyment of neighbouring properties to an unreasonable degree. This is clear from the decision of the British Columbia Court of Appeal in </w:t>
      </w:r>
      <w:r>
        <w:rPr>
          <w:rFonts w:ascii="arial" w:eastAsia="arial" w:hAnsi="arial" w:cs="arial"/>
          <w:i/>
          <w:color w:val="000000"/>
          <w:sz w:val="20"/>
          <w:lang w:val="en-US" w:eastAsia="en-US" w:bidi="ar-SA"/>
        </w:rPr>
        <w:t>Royal Anne Hotel Co. Ltd. v. Village of Ashcroft</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(1979), 95 D.L.R. (3d) 756</w:t>
        </w:r>
      </w:hyperlink>
      <w:r>
        <w:rPr>
          <w:rFonts w:ascii="arial" w:eastAsia="arial" w:hAnsi="arial" w:cs="arial"/>
          <w:color w:val="000000"/>
          <w:sz w:val="20"/>
          <w:lang w:val="en-US" w:eastAsia="en-US" w:bidi="ar-SA"/>
        </w:rPr>
        <w:t xml:space="preserve"> (B.C.C.A.) at pp. 759-760: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has been said: "The essence of the tort of nuisance is interference with the enjoyment of land." (Street, </w:t>
      </w:r>
      <w:r>
        <w:rPr>
          <w:rFonts w:ascii="arial" w:eastAsia="arial" w:hAnsi="arial" w:cs="arial"/>
          <w:i/>
          <w:color w:val="000000"/>
          <w:sz w:val="20"/>
          <w:lang w:val="en-US" w:eastAsia="en-US" w:bidi="ar-SA"/>
        </w:rPr>
        <w:t>Law of Torts</w:t>
      </w:r>
      <w:r>
        <w:rPr>
          <w:rFonts w:ascii="arial" w:eastAsia="arial" w:hAnsi="arial" w:cs="arial"/>
          <w:color w:val="000000"/>
          <w:sz w:val="20"/>
          <w:lang w:val="en-US" w:eastAsia="en-US" w:bidi="ar-SA"/>
        </w:rPr>
        <w:t xml:space="preserve">, at p. 212.) That interference need not be accompanied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nuisance one is concerned with the invasion of the interest in the land,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one must consider the nature of the conduct complained of. Nuisances result frequently from intentional acts undertaken for lawful purposes. The most carefully designed industrial plant operated with the greatest care may well be or cause a nuisance, if for example effluent, smoke, fumes or noise invade the right of enjoyment of neighbouring land owners to an unreasonable degree: see </w:t>
      </w:r>
      <w:r>
        <w:rPr>
          <w:rFonts w:ascii="arial" w:eastAsia="arial" w:hAnsi="arial" w:cs="arial"/>
          <w:i/>
          <w:color w:val="000000"/>
          <w:sz w:val="20"/>
          <w:lang w:val="en-US" w:eastAsia="en-US" w:bidi="ar-SA"/>
        </w:rPr>
        <w:t>Lord Mayor, Aldermen &amp; Citizens of City of Manchester v. Farnworth</w:t>
      </w:r>
      <w:r>
        <w:rPr>
          <w:rFonts w:ascii="arial" w:eastAsia="arial" w:hAnsi="arial" w:cs="arial"/>
          <w:color w:val="000000"/>
          <w:sz w:val="20"/>
          <w:lang w:val="en-US" w:eastAsia="en-US" w:bidi="ar-SA"/>
        </w:rPr>
        <w:t xml:space="preserve">, [1930] A.C. 171, and </w:t>
      </w:r>
      <w:r>
        <w:rPr>
          <w:rFonts w:ascii="arial" w:eastAsia="arial" w:hAnsi="arial" w:cs="arial"/>
          <w:i/>
          <w:color w:val="000000"/>
          <w:sz w:val="20"/>
          <w:lang w:val="en-US" w:eastAsia="en-US" w:bidi="ar-SA"/>
        </w:rPr>
        <w:t>Walker v. McKinnon Industries Ltd.</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[1949] 4 D.L.R. 739</w:t>
        </w:r>
      </w:hyperlink>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[1949] O.R. 549</w:t>
        </w:r>
      </w:hyperlink>
      <w:r>
        <w:rPr>
          <w:rFonts w:ascii="arial" w:eastAsia="arial" w:hAnsi="arial" w:cs="arial"/>
          <w:color w:val="000000"/>
          <w:sz w:val="20"/>
          <w:lang w:val="en-US" w:eastAsia="en-US" w:bidi="ar-SA"/>
        </w:rPr>
        <w:t xml:space="preserve"> [affirmed </w:t>
      </w:r>
      <w:hyperlink r:id="rId526" w:history="1">
        <w:r>
          <w:rPr>
            <w:rFonts w:ascii="arial" w:eastAsia="arial" w:hAnsi="arial" w:cs="arial"/>
            <w:i/>
            <w:color w:val="0077CC"/>
            <w:sz w:val="20"/>
            <w:u w:val="single"/>
            <w:shd w:val="clear" w:color="auto" w:fill="FFFFFF"/>
            <w:lang w:val="en-US" w:eastAsia="en-US" w:bidi="ar-SA"/>
          </w:rPr>
          <w:t>[1950] 3 D.L.R. 159</w:t>
        </w:r>
      </w:hyperlink>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[1950] O.W.N. 309</w:t>
        </w:r>
      </w:hyperlink>
      <w:r>
        <w:rPr>
          <w:rFonts w:ascii="arial" w:eastAsia="arial" w:hAnsi="arial" w:cs="arial"/>
          <w:color w:val="000000"/>
          <w:sz w:val="20"/>
          <w:lang w:val="en-US" w:eastAsia="en-US" w:bidi="ar-SA"/>
        </w:rPr>
        <w:t xml:space="preserve">; affirmed </w:t>
      </w:r>
      <w:hyperlink r:id="rId527" w:history="1">
        <w:r>
          <w:rPr>
            <w:rFonts w:ascii="arial" w:eastAsia="arial" w:hAnsi="arial" w:cs="arial"/>
            <w:i/>
            <w:color w:val="0077CC"/>
            <w:sz w:val="20"/>
            <w:u w:val="single"/>
            <w:shd w:val="clear" w:color="auto" w:fill="FFFFFF"/>
            <w:lang w:val="en-US" w:eastAsia="en-US" w:bidi="ar-SA"/>
          </w:rPr>
          <w:t>[1951] 3 D.L.R. 577</w:t>
        </w:r>
      </w:hyperlink>
      <w:r>
        <w:rPr>
          <w:rFonts w:ascii="arial" w:eastAsia="arial" w:hAnsi="arial" w:cs="arial"/>
          <w:color w:val="000000"/>
          <w:sz w:val="20"/>
          <w:lang w:val="en-US" w:eastAsia="en-US" w:bidi="ar-SA"/>
        </w:rPr>
        <w:t>], as examples.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then can it be said that the tort of nuisance has been committed? A helpful proposition is advanced by the learned author of Street, </w:t>
      </w:r>
      <w:r>
        <w:rPr>
          <w:rFonts w:ascii="arial" w:eastAsia="arial" w:hAnsi="arial" w:cs="arial"/>
          <w:i/>
          <w:color w:val="000000"/>
          <w:sz w:val="20"/>
          <w:lang w:val="en-US" w:eastAsia="en-US" w:bidi="ar-SA"/>
        </w:rPr>
        <w:t>Law of Torts</w:t>
      </w:r>
      <w:r>
        <w:rPr>
          <w:rFonts w:ascii="arial" w:eastAsia="arial" w:hAnsi="arial" w:cs="arial"/>
          <w:color w:val="000000"/>
          <w:sz w:val="20"/>
          <w:lang w:val="en-US" w:eastAsia="en-US" w:bidi="ar-SA"/>
        </w:rPr>
        <w:t>, at p. 215 in these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person then, may be said to have committed the tort of private nuisance </w:t>
      </w:r>
      <w:r>
        <w:rPr>
          <w:rFonts w:ascii="arial" w:eastAsia="arial" w:hAnsi="arial" w:cs="arial"/>
          <w:i/>
          <w:color w:val="000000"/>
          <w:sz w:val="20"/>
          <w:lang w:val="en-US" w:eastAsia="en-US" w:bidi="ar-SA"/>
        </w:rPr>
        <w:t>when he is held to be responsible for an act indirectly causing physical injury to land or substantially interfering with the use or enjoyment of land or an interest in land where, in the light of all the surrounding circumstances, this injury or interference is held to be unreasonable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proposition stated in a variety of ways has been accepted generally in the authorities.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then is, has the defendant's use of this land interfered with the use and enjoyment of the plaintiffs' land and is that interference unreasonable? Where, as in the case at bar, actual physical damage occurs it is not difficult to decide that the interference is in fact unreasonable. Greater difficulty will be found where the interference results in lesser or no physical injury but may give offence by reason of smells, noise, vibration or other intangible causes. No finding is required regarding the exercise of care by the defendant and while its conduct may frequently be such that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be made it is not necessary and the existence of due care will afford no defence if the other ingredients are present. Again this is well rooted in authority. For example see the words of Lord Simonds in </w:t>
      </w:r>
      <w:r>
        <w:rPr>
          <w:rFonts w:ascii="arial" w:eastAsia="arial" w:hAnsi="arial" w:cs="arial"/>
          <w:i/>
          <w:color w:val="000000"/>
          <w:sz w:val="20"/>
          <w:lang w:val="en-US" w:eastAsia="en-US" w:bidi="ar-SA"/>
        </w:rPr>
        <w:t>Read v. J. Lyons &amp; Co. Ltd</w:t>
      </w:r>
      <w:r>
        <w:rPr>
          <w:rFonts w:ascii="arial" w:eastAsia="arial" w:hAnsi="arial" w:cs="arial"/>
          <w:color w:val="000000"/>
          <w:sz w:val="20"/>
          <w:lang w:val="en-US" w:eastAsia="en-US" w:bidi="ar-SA"/>
        </w:rPr>
        <w:t xml:space="preserve">., [1947] A.C. 156 at pp. 182-3, where the principles laid down in </w:t>
      </w:r>
      <w:r>
        <w:rPr>
          <w:rFonts w:ascii="arial" w:eastAsia="arial" w:hAnsi="arial" w:cs="arial"/>
          <w:i/>
          <w:color w:val="000000"/>
          <w:sz w:val="20"/>
          <w:lang w:val="en-US" w:eastAsia="en-US" w:bidi="ar-SA"/>
        </w:rPr>
        <w:t>Rylands et al. v. Fletcher</w:t>
      </w:r>
      <w:r>
        <w:rPr>
          <w:rFonts w:ascii="arial" w:eastAsia="arial" w:hAnsi="arial" w:cs="arial"/>
          <w:color w:val="000000"/>
          <w:sz w:val="20"/>
          <w:lang w:val="en-US" w:eastAsia="en-US" w:bidi="ar-SA"/>
        </w:rPr>
        <w:t xml:space="preserve"> (1868), L.R. 3 H.L. 330, were under discussion: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Lords, it was urged by counsel for the appellant that a decision against her when the plaintiff in the </w:t>
      </w:r>
      <w:r>
        <w:rPr>
          <w:rFonts w:ascii="arial" w:eastAsia="arial" w:hAnsi="arial" w:cs="arial"/>
          <w:i/>
          <w:color w:val="000000"/>
          <w:sz w:val="20"/>
          <w:lang w:val="en-US" w:eastAsia="en-US" w:bidi="ar-SA"/>
        </w:rPr>
        <w:t>Rainham</w:t>
      </w:r>
      <w:r>
        <w:rPr>
          <w:rFonts w:ascii="arial" w:eastAsia="arial" w:hAnsi="arial" w:cs="arial"/>
          <w:color w:val="000000"/>
          <w:sz w:val="20"/>
          <w:lang w:val="en-US" w:eastAsia="en-US" w:bidi="ar-SA"/>
        </w:rPr>
        <w:t xml:space="preserve"> case, [1921] 2 A.C. 465, succeeded would show a strange lack of symmetry in the law. There is some force in the observation. But your Lordships will not fail to observe that such a decision is in harmony with the development of a strictly analogous branch of the law, the law of nuisance, in which also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a necessary ingredient in the case. For if a man commits a legal nuisance it is no answer to his injured neighbour that he took the utmost care not to commit it. There the liability is strict, and there he alone has a lawful claim who has suffered an invasion of some proprietary or other interest in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the </w:t>
      </w:r>
      <w:r>
        <w:rPr>
          <w:rFonts w:ascii="arial" w:eastAsia="arial" w:hAnsi="arial" w:cs="arial"/>
          <w:i/>
          <w:color w:val="000000"/>
          <w:sz w:val="20"/>
          <w:lang w:val="en-US" w:eastAsia="en-US" w:bidi="ar-SA"/>
        </w:rPr>
        <w:t>rationale</w:t>
      </w:r>
      <w:r>
        <w:rPr>
          <w:rFonts w:ascii="arial" w:eastAsia="arial" w:hAnsi="arial" w:cs="arial"/>
          <w:color w:val="000000"/>
          <w:sz w:val="20"/>
          <w:lang w:val="en-US" w:eastAsia="en-US" w:bidi="ar-SA"/>
        </w:rPr>
        <w:t xml:space="preserve"> for the law of nuisance in modern times, whatever its historical origins may have been, is the provision of a means of reconciling certain conflicting interests in connection with the use of land, even where the conflict does not result from negligent conduct. It protects against the unreasonable invasion of interests in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satisfied that in the circumstances, the smoking of cigars in the Absolute Unit constitutes a nuisance. It is also in violation of the West Vancouver Smoking Regulation Bylaw. For both these reasons, it is in violation of the terms of the Absolute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granting of an injunction is a discretionary remedy. The principles to be applied in exercising that discretion were discussed in </w:t>
      </w:r>
      <w:r>
        <w:rPr>
          <w:rFonts w:ascii="arial" w:eastAsia="arial" w:hAnsi="arial" w:cs="arial"/>
          <w:i/>
          <w:color w:val="000000"/>
          <w:sz w:val="20"/>
          <w:lang w:val="en-US" w:eastAsia="en-US" w:bidi="ar-SA"/>
        </w:rPr>
        <w:t>Suzuki v. Munroe</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2009 BCSC 1403</w:t>
        </w:r>
      </w:hyperlink>
      <w:r>
        <w:rPr>
          <w:rFonts w:ascii="arial" w:eastAsia="arial" w:hAnsi="arial" w:cs="arial"/>
          <w:color w:val="000000"/>
          <w:sz w:val="20"/>
          <w:lang w:val="en-US" w:eastAsia="en-US" w:bidi="ar-SA"/>
        </w:rPr>
        <w:t>, where Verhoeven J. wrote at paras. 110-113: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[109] An injunction is an equitable remedy, and therefore the granting of one is discretionary: R.J. Sharpe, </w:t>
      </w:r>
      <w:r>
        <w:rPr>
          <w:rFonts w:ascii="arial" w:eastAsia="arial" w:hAnsi="arial" w:cs="arial"/>
          <w:i/>
          <w:color w:val="000000"/>
          <w:sz w:val="20"/>
          <w:lang w:val="en-US" w:eastAsia="en-US" w:bidi="ar-SA"/>
        </w:rPr>
        <w:t>Injunctions and Specific Performance</w:t>
      </w:r>
      <w:r>
        <w:rPr>
          <w:rFonts w:ascii="arial" w:eastAsia="arial" w:hAnsi="arial" w:cs="arial"/>
          <w:color w:val="000000"/>
          <w:sz w:val="20"/>
          <w:lang w:val="en-US" w:eastAsia="en-US" w:bidi="ar-SA"/>
        </w:rPr>
        <w:t xml:space="preserve">, 3rd ed. (Aurora: Canada Law Book Inc., 2000) at para. 4.10, </w:t>
      </w:r>
      <w:r>
        <w:rPr>
          <w:rFonts w:ascii="arial" w:eastAsia="arial" w:hAnsi="arial" w:cs="arial"/>
          <w:i/>
          <w:color w:val="000000"/>
          <w:sz w:val="20"/>
          <w:lang w:val="en-US" w:eastAsia="en-US" w:bidi="ar-SA"/>
        </w:rPr>
        <w:t>Boggs v. Harrison</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2009 BCSC 789</w:t>
        </w:r>
      </w:hyperlink>
      <w:r>
        <w:rPr>
          <w:rFonts w:ascii="arial" w:eastAsia="arial" w:hAnsi="arial" w:cs="arial"/>
          <w:color w:val="000000"/>
          <w:sz w:val="20"/>
          <w:lang w:val="en-US" w:eastAsia="en-US" w:bidi="ar-SA"/>
        </w:rPr>
        <w:t xml:space="preserve"> at para. 141.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[110] A number of factors are relevant in determining whether or not to grant an injunction. The inadequacy of damages is frequently considered, along with the nature of the plaintiff's injury and the balance of convenience between the parties: Sharpe, </w:t>
      </w:r>
      <w:r>
        <w:rPr>
          <w:rFonts w:ascii="arial" w:eastAsia="arial" w:hAnsi="arial" w:cs="arial"/>
          <w:i/>
          <w:color w:val="000000"/>
          <w:sz w:val="20"/>
          <w:lang w:val="en-US" w:eastAsia="en-US" w:bidi="ar-SA"/>
        </w:rPr>
        <w:t>Injunctions and Specific Performance</w:t>
      </w:r>
      <w:r>
        <w:rPr>
          <w:rFonts w:ascii="arial" w:eastAsia="arial" w:hAnsi="arial" w:cs="arial"/>
          <w:color w:val="000000"/>
          <w:sz w:val="20"/>
          <w:lang w:val="en-US" w:eastAsia="en-US" w:bidi="ar-SA"/>
        </w:rPr>
        <w:t xml:space="preserve"> at paras. 1.60-1.140, </w:t>
      </w:r>
      <w:r>
        <w:rPr>
          <w:rFonts w:ascii="arial" w:eastAsia="arial" w:hAnsi="arial" w:cs="arial"/>
          <w:i/>
          <w:color w:val="000000"/>
          <w:sz w:val="20"/>
          <w:lang w:val="en-US" w:eastAsia="en-US" w:bidi="ar-SA"/>
        </w:rPr>
        <w:t>Boggs</w:t>
      </w:r>
      <w:r>
        <w:rPr>
          <w:rFonts w:ascii="arial" w:eastAsia="arial" w:hAnsi="arial" w:cs="arial"/>
          <w:color w:val="000000"/>
          <w:sz w:val="20"/>
          <w:lang w:val="en-US" w:eastAsia="en-US" w:bidi="ar-SA"/>
        </w:rPr>
        <w:t xml:space="preserve"> at para. 141, A.M. Linden &amp; B.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8th ed. (Markham: LexisNexis Canada Inc., 2006) at 594.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[111] In situations where the nuisance is likely to continue without the granting of the injunction, as is the case here once the interlocutory order ends and the Munroes are no longer enjoined from operating the air conditioner at night, the inadequacy of damages is easily satisfied: Linden &amp;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at 594.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[112] In terms of the damage to the plaintiffs, I have already found that the noise from the air conditioner has caused the Suzukis considerable distress and suffering: see para. 103 of these reasons. The distress is likely to continue if no injunction is granted.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[113] Regarding the balance of convenience, the harm to the plaintiffs is compared against the reasonableness of the efforts the defendants have made and could make to eliminate the nuisance caused by their air conditioner.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Because the emanation of smoke from the Absolute Unit has continued despite the defendants having been repeatedly asked to stop the smoking activity, I am satisfied that damages would not be an adequate remedy. I am also satisfied that the balance of convenience favours the granting of an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seek an order for special costs on the basis that the defendants' behaviour is deserving of reproof or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am not satisfied that this is a case that calls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are entitled to their ordinary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shall be a permanent injunction restraining the defendants from smoking cigars or any other tobacco or marihuana products at their rented business premises located at 2430 Marine Drive, West Vancouver, British Columbia. The defendants are also restrained from permitting their employees and their customers from smoking cigars or any other tobacco or marihuana products at the rented business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shall have their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3"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B.P.D. v. Canada (Minister of Indian Affairs), [2004] B.C.J. No. 2087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Cohen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8,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S016771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2087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1306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 C.P.C. (6th) 334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134 A.C.W.S. (3d) 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B.P.D., S.P.D. and B.C.G., plaintiffs, and Her Majesty the Queen in Right of Canada as represented by The Minister of Indian Affairs and Northern Development, St. Paul's Province of the Congregation of the Missionary Oblates of the Most Holy and Immaculate Virgin Mary, Les Missionnaires Oblats de Marie Immaculée, St. Peter's Province of the Congregation of the Missionary Oblates of the Most Holy and Immaculate Virgin Mary and The Order of the Oblates of Mary Immaculate in the Province of British Columbia, defendants, and Her Majesty the Queen in Right of Canada,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4"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2" w:name="Keywords_27"/>
      <w:bookmarkEnd w:id="182"/>
      <w:r>
        <w:rPr>
          <w:rFonts w:ascii="arial" w:eastAsia="arial" w:hAnsi="arial" w:cs="arial"/>
          <w:b/>
          <w:color w:val="000000"/>
          <w:sz w:val="20"/>
          <w:lang w:val="en-US" w:eastAsia="en-US" w:bidi="ar-SA"/>
        </w:rPr>
        <w:t>Estoppel — Conditions precedent — Estoppel by record (res judicata) — Res judicata as a bar to subsequent proceedings — Issues decided in prior proceedings (including validity of statutes) — Pleadings — Particulars.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3" w:name="Case Summary_21"/>
            <w:bookmarkEnd w:id="18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BPD, SPD and BCG, for an order requiring the defendant, The Order of the Oblates of Mary Immaculate, to provide particulars of allegations in the statement of defence that the Order did not own or operate the Christie Indian Residential School. A previous judicial decision had found to the contrary. The plaintiffs argued that the matter was res judicata, unless the Order could provide material facts that affected the validity of the previous decision.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4" w:name="Holdings of Court_18"/>
            <w:bookmarkEnd w:id="184"/>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findings of fact made in the previous decision were not applicable to the factual issues arising in this case. Res judicata did not apply and the decision that the Order owned the school was not binding. The previous decision was not a final decision and its facts were specific to the case. The parties were also different.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5" w:name="Legislation Cited_22"/>
      <w:bookmarkEnd w:id="1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5"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 19(1), 19(11), 19(15), 19(16), 19(17), 19(20).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6" w:name="Counsel_27"/>
      <w:bookmarkEnd w:id="18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6"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A.M. 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Order of the Oblates of Mary Immaculate in the Province of British Columbia: A. Jaffer-Jeraj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St. Paul's Province of the Congregation of the Missionary Oblates of the Most Holy and Immaculate Virgin Mary: B. Buettner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Canada: T. Bean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7" w:name="Judgment_27"/>
      <w:bookmarkEnd w:id="187"/>
      <w:r>
        <w:pict>
          <v:line id="_x0000_s1167" style="position:absolute;z-index:2518405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8" w:name="COHEN J."/>
            <w:bookmarkEnd w:id="188"/>
            <w:r>
              <w:rPr>
                <w:rFonts w:ascii="arial" w:eastAsia="arial" w:hAnsi="arial" w:cs="arial"/>
                <w:b/>
                <w:color w:val="000000"/>
                <w:sz w:val="30"/>
                <w:lang w:val="en-US" w:eastAsia="en-US" w:bidi="ar-SA"/>
              </w:rPr>
              <w:t>COHEN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issue before me in this application by the plaintiffs is should the Court order the defendant The Order of the Oblates of Mary Immaculate in the Province of British Columbia ("OMIBC") to provide the plaintiffs with particulars with respect to various allegations found in the OMIBC Statement of Defence, and as specified in the plaintiffs' Demand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Specifically, the plaintiffs seek an order for particulars that would require the OMIBC to identify the material facts in their possession that support the general and repeated allegation in its Statement of Defence that the OMIBC at no time owned, operated and employed the staff at the Christie Indian Residential School ("CIRS") which, the plaintiffs contend, is contrary and opposite to the findings of this Court in E.B. v. The Order of the Oblates of Mary Immaculate in the Province of British Columbia, </w:t>
      </w:r>
      <w:hyperlink r:id="rId537" w:history="1">
        <w:r>
          <w:rPr>
            <w:rFonts w:ascii="arial" w:eastAsia="arial" w:hAnsi="arial" w:cs="arial"/>
            <w:i/>
            <w:color w:val="0077CC"/>
            <w:sz w:val="20"/>
            <w:u w:val="single"/>
            <w:shd w:val="clear" w:color="auto" w:fill="FFFFFF"/>
            <w:lang w:val="en-US" w:eastAsia="en-US" w:bidi="ar-SA"/>
          </w:rPr>
          <w:t>[2001] B.C.J. No. 2700</w:t>
        </w:r>
      </w:hyperlink>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2001 BCSC 1783</w:t>
        </w:r>
      </w:hyperlink>
      <w:r>
        <w:rPr>
          <w:rFonts w:ascii="arial" w:eastAsia="arial" w:hAnsi="arial" w:cs="arial"/>
          <w:color w:val="000000"/>
          <w:sz w:val="20"/>
          <w:lang w:val="en-US" w:eastAsia="en-US" w:bidi="ar-SA"/>
        </w:rPr>
        <w:t xml:space="preserve">; rev'd </w:t>
      </w:r>
      <w:hyperlink r:id="rId538" w:history="1">
        <w:r>
          <w:rPr>
            <w:rFonts w:ascii="arial" w:eastAsia="arial" w:hAnsi="arial" w:cs="arial"/>
            <w:i/>
            <w:color w:val="0077CC"/>
            <w:sz w:val="20"/>
            <w:u w:val="single"/>
            <w:shd w:val="clear" w:color="auto" w:fill="FFFFFF"/>
            <w:lang w:val="en-US" w:eastAsia="en-US" w:bidi="ar-SA"/>
          </w:rPr>
          <w:t>(2003), 227 D.L.R. (4th) 298</w:t>
        </w:r>
      </w:hyperlink>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2003 BCCA 289</w:t>
        </w:r>
      </w:hyperlink>
      <w:r>
        <w:rPr>
          <w:rFonts w:ascii="arial" w:eastAsia="arial" w:hAnsi="arial" w:cs="arial"/>
          <w:color w:val="000000"/>
          <w:sz w:val="20"/>
          <w:lang w:val="en-US" w:eastAsia="en-US" w:bidi="ar-SA"/>
        </w:rPr>
        <w:t xml:space="preserve">, leave to appeal to Supreme Court of Canada granted, </w:t>
      </w:r>
      <w:hyperlink r:id="rId539" w:history="1">
        <w:r>
          <w:rPr>
            <w:rFonts w:ascii="arial" w:eastAsia="arial" w:hAnsi="arial" w:cs="arial"/>
            <w:i/>
            <w:color w:val="0077CC"/>
            <w:sz w:val="20"/>
            <w:u w:val="single"/>
            <w:shd w:val="clear" w:color="auto" w:fill="FFFFFF"/>
            <w:lang w:val="en-US" w:eastAsia="en-US" w:bidi="ar-SA"/>
          </w:rPr>
          <w:t>[2003] S.C.C.A. No. 369</w:t>
        </w:r>
      </w:hyperlink>
      <w:r>
        <w:rPr>
          <w:rFonts w:ascii="arial" w:eastAsia="arial" w:hAnsi="arial" w:cs="arial"/>
          <w:color w:val="000000"/>
          <w:sz w:val="20"/>
          <w:lang w:val="en-US" w:eastAsia="en-US" w:bidi="ar-SA"/>
        </w:rPr>
        <w:t>, [E.B.].</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E.B. at para. 7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Oblates, incorporated by a special Act of the British Columbia Legislature, is the corporate vehicle through which the Oblates of St. Paul's Province own property and transact business. From 1900 to 1938, Christie was owned and operated as an Indian residential school by the Benedictine Order. In 1938, the Oblates purchased the land and buildings comprising Christie and from that time forward, Christie has been owned, operated and staffed by the Oblates.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Court of Appeal reversed the finding of the trial judge that the OMIBC was vicariously liable, but, claim the plaintiffs did not disturb the findings of fact of the trial judge in respect of the ownership and operation of the CIRS: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Unlike the situation with some other residential schools, it appears that throughout its existence, the Christie school was always owned by one or other of the religious orders of the Catholic church. From its inception and up to the date when the facilities ceased to be used as a residential school in 1971, the Christie school operated as a residential educational facility for aboriginal children who came there as students from different locations on the west coast of Vancouver Island. Until approximately 1938, the school had been operated by the Benedictine order of priests and nuns. At that time, the Benedictine order found itself unable any longer to sustain the premises financially. The appellant Oblates were approached and agreed to take over the continuing operation of this school. Oblate priests and brothers were thereafter in charge of the school ...</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time material to this case, it appears that the education and social functions of the school were under the direction of the Oblate priests and brothers and whichever order of nuns were responsible for the education, supervision and care of the children attending the school. The Federal Government contributed with a per capita grant to assist in sustaining the fiscal operations of Christie school ...</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direct care of the children and the educational functions were performed by religious personnel, the nuns and the Oblates, other operations associated with the physical operation of the school were in the hands of First Nations personnel mostly recruited from adult relatives of the children attending the Christie school. For instance, male and female relatives of the respondent were engaged to perform maintenance duties at the school during the time E.B. was at the school. A considerable number of persons were engaged by the Oblates to perform the various tasks necessary for the satisfactory operation of the school. Several of these lay employees, including Martin Saxey and the aforementioned relatives of the respondent, resided on the school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para. 24 of the Statement of Claim, the plaintiffs allege as fact that the OMIBC operated the CIRS "... on behalf of and/or under contract to and/or in partnership or as a joint venture with the Defendant Canada". Paragraph 37 alleges that the OMIBC took over the operation of the CIRS in 1938 and para. 38 alleges the OMIBC acquired the lands and buildings of the CIRS that same year and operated the CIRS during the time the plaintiffs were enrolled. Paragraph 39 says the OMIBC and Canada employed the principals of the CIRS and paras. 83 through 105 specify the allegations of the liability of the OMIBC, including their negligent hiring of some of the employees of the CIRS - lay and clerical.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say that the Statement of Defence of the OMIBC is a general denial of virtually all of the allegations of fact in the Statement of Claim and of the findings of this Court, which findings, the plaintiffs claim, were upheld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also say that at least 12 of the 52 paragraphs in the OMIBC Statement of Defence make allegations of fact that are directly contrary to the findings of both the trial judge and the Court of Appeal. For example,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answer to paragraph 100 of the Statement of Claim, the Defendant, The Order of the Oblates of Mary Immaculate in the Province of British Columbia denies it was negligent as alleged or at all, denies that it operated Christie Indian Residential School or any Indian Residential Schools, denies that it had knowledge of any alleged sexual and physical abuse by Viall and Brother Samson, denies that it had any knowledge of or ought to have knowledge of the alleged sexual and physical abuse, denies that it owed any duties to the Plaintiffs, therefore denying that it breached any duties as alleged, denies that it was the employer of Viall and Brother Samson and that it had any employees, denies that it was responsible for the supervision and direction of the principals or other employees at the school, denies that it removed the Plaintiffs from their homes and the nurturing of their extended family and community and placed the Plaintiffs in a position of particular vulnerability and further denies that it was responsible for protecting the Plaintiffs from the alleged abuses.</w:t>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Supreme Court Rule 19, sub-rules 1, 11, 15, 16, 17 and 20, provide,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pleading shall be as brief as the nature of the case will permit and must contain a statement in summary form of the material facts on which the party relies, but not the evidence by which the facts are to be proved.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party pleading relies on misrepresentation, fraud, breach of trust, wilful default or undue influence, or where particulars may be necessary, full particulars, with dates and items if applicable, shall be stated in the pleading. If the particulars of debt, expenses or damages are lengthy, the party may refer to this fact and instead of pleading the particulars shall deliver the particulars in a separate document either before or with the pleading.</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pleading subsequent to a statement of claim a party shall plead specifically any matter of fact or point of law that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alleges makes a claim or defence of the opposite party not maintainable,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specifically pleaded, might take the other party by surprise, 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raises issues of fact not arising out of the preceding pleading.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order a party to deliver further and better particulars of a matter stated in a pleading.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applying to the court for particulars, a party shall demand them in writing from the other party.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necessary in a pleading to deny specifically each allegation made in a preceding pleading and a general denial is sufficient of allegations which are not admitted, but where a party intends to prove material facts that differ from those pleaded by an opposite party, a denial of the facts so pleaded is not sufficient, but the party shall plead his or her own statement of facts if those facts have not been previously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At para. 15 of Cansulex Ltd. v. Perry, </w:t>
      </w:r>
      <w:hyperlink r:id="rId540" w:history="1">
        <w:r>
          <w:rPr>
            <w:rFonts w:ascii="arial" w:eastAsia="arial" w:hAnsi="arial" w:cs="arial"/>
            <w:i/>
            <w:color w:val="0077CC"/>
            <w:sz w:val="20"/>
            <w:u w:val="single"/>
            <w:shd w:val="clear" w:color="auto" w:fill="FFFFFF"/>
            <w:lang w:val="en-US" w:eastAsia="en-US" w:bidi="ar-SA"/>
          </w:rPr>
          <w:t>[1982] B.C.J. No. 369</w:t>
        </w:r>
      </w:hyperlink>
      <w:r>
        <w:rPr>
          <w:rFonts w:ascii="arial" w:eastAsia="arial" w:hAnsi="arial" w:cs="arial"/>
          <w:color w:val="000000"/>
          <w:sz w:val="20"/>
          <w:lang w:val="en-US" w:eastAsia="en-US" w:bidi="ar-SA"/>
        </w:rPr>
        <w:t xml:space="preserve"> (C.A.), Lambert J.A. sets out the function of particulars: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inform the other side of the nature of the case they have to meet as distinguished from the mode in which that case is to be proved;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prevent the other side from being taken by surprise at trial;</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enable the other side to know what evidence they ought to be prepared with and to prepare for trial;</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limit the generality of the pleadings;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limit and decide the issues to be tried, and as to which discovery is not required,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tie the hands of the party so that he cannot without leave go into any matters not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setting out these 6 points as being the function of particulars, Lambert J.A. added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length of trials, and what seems to be the increasing length of trials, must be a matter of concern and anything that can be done to bring the real issues between the parties fairly forward without surprise for careful consideration must be encouraged.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Lambert J.A. also said in para. 14 that before using the discretionary authority provided by sub-rule 16 to order particulars, the sub-rule must be considered in its context and that context includes sub-rules 11 and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Sub-Rule (11) says that particulars must be stated in the pleading where particulars may be necessary. Sub-Rule (15) says that in a pleading subsequent to a statement of claim a party shall plead specifically any matter of fact or point of law that (a) he alleges makes a claim or defence of the opposite party not maintainable or (b) if not specifically pleaded, might take the other party by surprise.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Master Bishop in Yewdale v. ICBC, </w:t>
      </w:r>
      <w:hyperlink r:id="rId541" w:history="1">
        <w:r>
          <w:rPr>
            <w:rFonts w:ascii="arial" w:eastAsia="arial" w:hAnsi="arial" w:cs="arial"/>
            <w:i/>
            <w:color w:val="0077CC"/>
            <w:sz w:val="20"/>
            <w:u w:val="single"/>
            <w:shd w:val="clear" w:color="auto" w:fill="FFFFFF"/>
            <w:lang w:val="en-US" w:eastAsia="en-US" w:bidi="ar-SA"/>
          </w:rPr>
          <w:t>[1994] B.C.J. No. 1892</w:t>
        </w:r>
      </w:hyperlink>
      <w:r>
        <w:rPr>
          <w:rFonts w:ascii="arial" w:eastAsia="arial" w:hAnsi="arial" w:cs="arial"/>
          <w:color w:val="000000"/>
          <w:sz w:val="20"/>
          <w:lang w:val="en-US" w:eastAsia="en-US" w:bidi="ar-SA"/>
        </w:rPr>
        <w:t xml:space="preserve"> (S.C.), at para. 68, concluded that the following principles should be considered on each application for particulars: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increasing number and complexity of cases brought before our court, any steps legitimately taken to clarify the issues and reduce the length of trial must be encouraged;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Parties to an action must frame their pleadings with certainty and they are not permitted to bring or defend an action in the hope that the claim or defence will be established by admissions on a notice to admit or at an examination for discovery. In framing their pleadings, so much as is possible and practical, the parties must set out the facts but not the evidence on which they intend to rely to prove their claim or defence;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particulars is to require a party to clarify the issues raised by the pleadings so that the opposite party may be able to properly respond to the pleadings and to properly prepare for an examination for discovery and for trial;</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examination for discovery is not a substitute for an order for particulars and an application for particulars should not be defeated by an argument that the applicant can get the same particulars by way of conducting an examination for discovery;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particulars applied for are generally only known to the party making the application, that party may be required to give discovery prior to particulars being ordered;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for delivery of particulars is one of discretion to be exercised in a judicial manner. In exercising the discretion, the justice or master must be mindful of the stage of proceedings when determining whether or not: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sufficient particulars have been given, or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should be delivered now, or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should be given following an examination for discovery, or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particulars should be given now and others given later following discoveries.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At para. 66 Master Bishop adopts the view of Master Wilson (as he then was) of what material facts are to be pleaded (Vallance v. Vallance, </w:t>
      </w:r>
      <w:hyperlink r:id="rId542" w:history="1">
        <w:r>
          <w:rPr>
            <w:rFonts w:ascii="arial" w:eastAsia="arial" w:hAnsi="arial" w:cs="arial"/>
            <w:i/>
            <w:color w:val="0077CC"/>
            <w:sz w:val="20"/>
            <w:u w:val="single"/>
            <w:shd w:val="clear" w:color="auto" w:fill="FFFFFF"/>
            <w:lang w:val="en-US" w:eastAsia="en-US" w:bidi="ar-SA"/>
          </w:rPr>
          <w:t>[1993] B.C.J. No. 3035</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[M]aterial facts ... are those facts or that combination of facts which gives rise to either the right to sue or the right to defend an action. The legal or jurisprudential basis upon which an action would succeed or fail. It is, in my view, for the court to draw a conclusion on the basis of the material facts pleaded in support of the conclusion sought by the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Master Bishop, at para. 67, notes that in Vallance, Master Wilson found that the statement of defence pleaded conclusions not material facts as required by sub-rule 1, and concluded neither that sub-rule nor sub-rule 20 had been adhered to by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[s]ubrule 20 of Rule 19 imposes a positive obligation on a party to state the material facts upon which that party's position is based. And it is the facts that shall be pleaded, not the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argue that in the case at bar, the OMIBC have made the general pleading that:</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not in ownership and possession of CIRS;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had nothing to do with the operation and management of CIRS; and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employees that worked at CIRS were not theirs.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assert that all of these general denials are directly contrary to the findings of fact of the trial judge in E.B. when faced with the identical denials. The plaintiffs say that unless the OMIBC have material facts which were not before the trial court in E.B. these defences must fail; if they do have different material facts, it is incumbent on them to plead such facts so that the plaintiffs know the case they have to meet; if there are no additional material facts, these pleas should be struck on the basis of 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On the point of res judicata, the plaintiffs submit that McEachern C.J.S.C. (as he then was) had an almost identical issue before him in Saskatoon Credit Union Ltd. v. Central Park Enterprises Ltd. </w:t>
      </w:r>
      <w:hyperlink r:id="rId543" w:history="1">
        <w:r>
          <w:rPr>
            <w:rFonts w:ascii="arial" w:eastAsia="arial" w:hAnsi="arial" w:cs="arial"/>
            <w:i/>
            <w:color w:val="0077CC"/>
            <w:sz w:val="20"/>
            <w:u w:val="single"/>
            <w:shd w:val="clear" w:color="auto" w:fill="FFFFFF"/>
            <w:lang w:val="en-US" w:eastAsia="en-US" w:bidi="ar-SA"/>
          </w:rPr>
          <w:t>(1988), 22 B.C.L.R. (2d) 89</w:t>
        </w:r>
      </w:hyperlink>
      <w:r>
        <w:rPr>
          <w:rFonts w:ascii="arial" w:eastAsia="arial" w:hAnsi="arial" w:cs="arial"/>
          <w:color w:val="000000"/>
          <w:sz w:val="20"/>
          <w:lang w:val="en-US" w:eastAsia="en-US" w:bidi="ar-SA"/>
        </w:rPr>
        <w:t xml:space="preserve"> (S.C.), wherein at p. 97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deciding anything about the question of mutuality, it is my conclusion that, subject to the exceptions I shall mention in a moment, no one can relitigate a cause of action or an issue that has previously been decided against him in the same court or in any equivalent court having jurisdiction in the matter where he has or could have participated in the previous proceedings unless some overriding question of fairness requires a re-hearing.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exceptions to the foregoing include fraud or other misconduct in the earlier proceedings or the discovery of decisive fresh evidence which could not have been adduced at the earlier proceeding by the exercise of reasonable diligence: McIlkenny, supra, at p. 703. No material has been filed which would create such an exception in the circumstances of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decline to decide whether the foregoing conclusion represents the application of a species of estoppel by res judicata or abuse of process as the result is the same. The fact that the Plaintiff in this action was not a party to the earlier proceedings is of no consequence. With the Defendants participating fully, it was judicially determined at trial by Spencer J. that the lease and transfer between the Defendants were fraudulent and that is the end of that issue. The Defendants are stopped from saying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plaintiffs note that traditionally, the doctrine of estoppel per rem judicatam required that the parties to the judicial decision which is said to create the estoppel were the same parties in the proceeding in which the estoppel is raised. However, as McEachern C.J.S.C., (as he then was) points out in Saskatoon Credit Union Ltd., supra, English, American and Canadian authorities support the principle of abuse of process that prevents a party from re-litigating a question that has been fairly decided against him. As support for the view that the law has evolved to extend the principle to matters involving new plaintiffs but the same defendants, the Chief Justice cites Nigro v. Agnew-Surpass Shoe Stores Ltd. et al. </w:t>
      </w:r>
      <w:hyperlink r:id="rId544" w:history="1">
        <w:r>
          <w:rPr>
            <w:rFonts w:ascii="arial" w:eastAsia="arial" w:hAnsi="arial" w:cs="arial"/>
            <w:i/>
            <w:color w:val="0077CC"/>
            <w:sz w:val="20"/>
            <w:u w:val="single"/>
            <w:shd w:val="clear" w:color="auto" w:fill="FFFFFF"/>
            <w:lang w:val="en-US" w:eastAsia="en-US" w:bidi="ar-SA"/>
          </w:rPr>
          <w:t>(1977), 82 D.L.R. (3d) 302</w:t>
        </w:r>
      </w:hyperlink>
      <w:r>
        <w:rPr>
          <w:rFonts w:ascii="arial" w:eastAsia="arial" w:hAnsi="arial" w:cs="arial"/>
          <w:color w:val="000000"/>
          <w:sz w:val="20"/>
          <w:lang w:val="en-US" w:eastAsia="en-US" w:bidi="ar-SA"/>
        </w:rPr>
        <w:t xml:space="preserve"> (Ont. H.C.), where Weatherston J. said, at p. 305: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[estoppel] is a rule of public policy, in which the Court exercises its inherent jurisdiction to prevent an abuse of its process, I think I am entitled to take a rather broader view of the matter than by simply applying the doctrine of res judicata in its narrow sense.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several defendants and the third party have had their day in Court, and as among themselves the issue as to liability for the fire has been determined. It ought not to be open to any of them to have that same issue retried in actions by plaintiffs who suffered damages in the same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argue that in the case at bar, the OMIBC had its day in court in E.B. and it has been decided that it owned and operated the CIRS and employed the staff there. The plaintiffs say that it is not now open to the OMIBC to have that same issue re-tried in this action, or other actions brought by plaintiffs who suffered injuries at the same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short, the plaintiffs argue that they should not have to prove that the OMIBC owned and operated the CIRS and that they employed the staff that worked there, unless the OMIBC defence alleges material facts that were not before the Court in that case and that, if proven, those new material facts would lead the Court in this case to, in effect, reverse those findings of fact. The plaintiffs say that they should not be put to the costs and delay of fighting those issues again unless there are new material facts in the knowledge of the OMIBC upon which their denials of the findings of fact in E.B. are founded.</w:t>
      </w:r>
      <w:r>
        <w:rPr>
          <w:rFonts w:ascii="arial" w:eastAsia="arial" w:hAnsi="arial" w:cs="arial"/>
          <w:sz w:val="20"/>
          <w:lang w:val="en-US" w:eastAsia="en-US" w:bidi="ar-SA"/>
        </w:rPr>
        <w:cr/>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POSITION OF THE OMIBC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OMIBC opposes the plaintiffs' application on the following grounds: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never has been an agreement that evidence presented in E.B. would be admitted as evidence in this proceeding;</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in E.B. was restricted to the determination of the vicarious liability of the OMIBC for the actions of one specific person. The potential division of liability between the various defendants in that action was not the subject of the reasons in E.B.;</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a prior judicial determination in a civil case is not conclusive evidence of the facts supporting that determination unless the party relying on the determination makes out a case of res judicata or issue estoppel. Neither apply here; and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particulars demanded by the plaintiffs require the OMIBC to provide evidence, not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for the OMIBC notes by way of background that E.B.'s claims that he had been sexually assaulted involved two specific individuals, a former student and Martin Saxey ("Saxey"), who was employed at the CIRS in the kitchen as a baker and as a general maintenance man. In his action, he named the former student and the OMIBC. Proceedings against the former student were severed and Saxey died before the action was commenced. Through third and fourth party proceedings, the Attorney General of Canada and the Roman Catholic Bishop of Victoria were added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When E.B.'s claims came to trial, the only issues before the Court involved the liability of the OMIBC for the actions of Saxey. In his reasons Hall J.A. reviewed the procedural background which led to this situation: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a result of a number of procedural orders made prior to trial, the only issues dealt with at the trial before Cohen J. were the issues of liability and damages as between the respondent E.B. and the Oblates. Proceedings involving the other parties were adjourned to be either resolved by agreement or, failing such agreement, to be tried at a later date ... [E.B. (C.A.) at para.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OMIBC conceded at the trial that Saxey was an employee at the CIRS. They did not deny "the nature of the employment relationship between Saxey and the Oblates" [E.B. at para. 58]. Counsel for the defendants submitted that:</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was called and the Court was not required to consider the relationship between the OMIBC and Canada or any other entity and what effect those relationships might, in turn, have on the ultimate legal responsibility for the operation of the school and employment status of other individuals who worked at the CIRS;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OMIBC and Canada had a cooperative working relationship and presented a joint defence for the purposes of the E.B. proceeding;</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E.B.'s trial proceeded only on the following issues:</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liability between the plaintiff and the OMIBC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vicarious liability; and</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liability was found, an assessment of the quantum of damages the plaintiff suffered for proven abuse;</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conclusion of the trial, the Court held that the OMIBC was vicariously liable for sexual assaults committed by Saxey against E.B. However, the conclusion was restricted to vicarious liability. The Court did not find it necessary to determine if the OMIBC was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four of the defendants in the case at bar were not parties to the E.B. action. The persons alleged to have committed assaults against the plaintiffs in this case are not persons who assaulted E.B.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for the OMIBC submits that the relationship between the defendants in this action, and each of their responsibilities in respect of the operation of the CIRS will determine which of them was the employer of the alleged parties and therefore liable for any proven abuse suffered by the plaintiffs.</w:t>
      </w:r>
      <w:r>
        <w:rPr>
          <w:rFonts w:ascii="arial" w:eastAsia="arial" w:hAnsi="arial" w:cs="arial"/>
          <w:sz w:val="20"/>
          <w:lang w:val="en-US" w:eastAsia="en-US" w:bidi="ar-SA"/>
        </w:rPr>
        <w:cr/>
      </w:r>
    </w:p>
    <w:p>
      <w:pPr>
        <w:numPr>
          <w:numId w:val="2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Firestone v. Smith, </w:t>
      </w:r>
      <w:hyperlink r:id="rId545" w:history="1">
        <w:r>
          <w:rPr>
            <w:rFonts w:ascii="arial" w:eastAsia="arial" w:hAnsi="arial" w:cs="arial"/>
            <w:i/>
            <w:color w:val="0077CC"/>
            <w:sz w:val="20"/>
            <w:u w:val="single"/>
            <w:shd w:val="clear" w:color="auto" w:fill="FFFFFF"/>
            <w:lang w:val="en-US" w:eastAsia="en-US" w:bidi="ar-SA"/>
          </w:rPr>
          <w:t>[1991] B.C.J. No. 2660</w:t>
        </w:r>
      </w:hyperlink>
      <w:r>
        <w:rPr>
          <w:rFonts w:ascii="arial" w:eastAsia="arial" w:hAnsi="arial" w:cs="arial"/>
          <w:color w:val="000000"/>
          <w:sz w:val="20"/>
          <w:lang w:val="en-US" w:eastAsia="en-US" w:bidi="ar-SA"/>
        </w:rPr>
        <w:t xml:space="preserve"> (S.C.), at p. 3 Master Joyce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'surprise' which particulars are required to avoid is something different from uncertainty as to the precise evidence which may be given or which may be available to prove a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concern raised by the plaintiff at this stage is that he does not know but would like to know now what precise evidence the defendant may lead in support of his allegations of fact. In my respectful opinion the plaintiff is not entitled to ascertain the evidentiary basis of the defendant's case by way of this demand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accept the defence argument that findings of fact made by the Court in E.B. are not applicable to factual issues arising in the case at bar. I am satisfied that res judicata does not apply, and the findings in E.B. that the OMIBC "owned, operated and staffed" the CIRS are not binding on the Court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Sopinka, Lederman and Bryant, The Law of Evidence in Canada, 2nd ed. (Toronto: Butterworths, 1999) at para. 19.145 and at para. 19.155, the learned authors state that a prior civil judgment against a party should not generally be admissible as "prima facie proof of the commission of the relevant acts or the existence of negligent conduct." While prior rulings are not irrelevant to a subsequent case, their relevancy is "limited by factors such as whether the issue has arisen between the parties and their privies." Their effect is a matter of weight and the party against whom the judgment is registered should have an opportunity to explain the circumstances surrounding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full list of the factors which must be satisfied in order for the doctrine of res judicata, or, in this case, the sub-category of issue estoppel, to apply are set out by the learned authors at para. 19.53. D.M. Smith J. in Paterson v. Reeves, </w:t>
      </w:r>
      <w:hyperlink r:id="rId546" w:history="1">
        <w:r>
          <w:rPr>
            <w:rFonts w:ascii="arial" w:eastAsia="arial" w:hAnsi="arial" w:cs="arial"/>
            <w:i/>
            <w:color w:val="0077CC"/>
            <w:sz w:val="20"/>
            <w:u w:val="single"/>
            <w:shd w:val="clear" w:color="auto" w:fill="FFFFFF"/>
            <w:lang w:val="en-US" w:eastAsia="en-US" w:bidi="ar-SA"/>
          </w:rPr>
          <w:t>[2002] B.C.J. No. 2120</w:t>
        </w:r>
      </w:hyperlink>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2002 BCSC 1341</w:t>
        </w:r>
      </w:hyperlink>
      <w:r>
        <w:rPr>
          <w:rFonts w:ascii="arial" w:eastAsia="arial" w:hAnsi="arial" w:cs="arial"/>
          <w:color w:val="000000"/>
          <w:sz w:val="20"/>
          <w:lang w:val="en-US" w:eastAsia="en-US" w:bidi="ar-SA"/>
        </w:rPr>
        <w:t>, set these out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In The Law of Evidence in Civil Cases, J. Sopinka &amp; S. Lederman (1974), at p. 366, summarized the requirements of issue estoppel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constituent elements of estoppel by res judicata were enumerated by Aikins J. in Re Bullen:</w:t>
      </w:r>
    </w:p>
    <w:p>
      <w:pPr>
        <w:numPr>
          <w:numId w:val="2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alleged judicial decision was what in law is deemed such;</w:t>
      </w:r>
    </w:p>
    <w:p>
      <w:pPr>
        <w:numPr>
          <w:numId w:val="2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particular judicial decision relied upon was in fact pronounced, as alleged;</w:t>
      </w:r>
    </w:p>
    <w:p>
      <w:pPr>
        <w:numPr>
          <w:numId w:val="2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judicial tribunal pronouncing the decision had competent jurisdiction in that behalf;</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judicial decision was final;</w:t>
      </w:r>
    </w:p>
    <w:p>
      <w:pPr>
        <w:numPr>
          <w:numId w:val="2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judicial decision was, or involved, a determination of the same question as that sought to be controverted in the litigation in which the estoppel is raised;</w:t>
      </w:r>
    </w:p>
    <w:p>
      <w:pPr>
        <w:numPr>
          <w:numId w:val="30"/>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parties to the judicial decision, or their privies, were the same persons as the parties to the proceeding in which the estoppel is raised, or their privies, or that the decision was conclusive in rem.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Danyluk v. Ainsworth Technologies Inc., </w:t>
      </w:r>
      <w:hyperlink r:id="rId547"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where the question before the Court was whether issue estoppel applied to findings made by an administrative board, Binnie J., for the Court, at para. 20, and paras. 24-25,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law has developed a number of techniques to prevent abuse of the decision-making process. One of the oldest is the doctrine estoppel per rem judicatem with its roots in Roman law, the idea that a dispute once judged with finality is not subject to relitigation: Farwell v. The Queen </w:t>
      </w:r>
      <w:hyperlink r:id="rId548" w:history="1">
        <w:r>
          <w:rPr>
            <w:rFonts w:ascii="arial" w:eastAsia="arial" w:hAnsi="arial" w:cs="arial"/>
            <w:i/>
            <w:color w:val="0077CC"/>
            <w:sz w:val="20"/>
            <w:u w:val="single"/>
            <w:shd w:val="clear" w:color="auto" w:fill="FFFFFF"/>
            <w:lang w:val="en-US" w:eastAsia="en-US" w:bidi="ar-SA"/>
          </w:rPr>
          <w:t>(1894), 22 S.C.R. 553</w:t>
        </w:r>
      </w:hyperlink>
      <w:r>
        <w:rPr>
          <w:rFonts w:ascii="arial" w:eastAsia="arial" w:hAnsi="arial" w:cs="arial"/>
          <w:color w:val="000000"/>
          <w:sz w:val="20"/>
          <w:lang w:val="en-US" w:eastAsia="en-US" w:bidi="ar-SA"/>
        </w:rPr>
        <w:t xml:space="preserve">, at p. 558; Angle v. Minister of National Revenue, </w:t>
      </w:r>
      <w:hyperlink r:id="rId274" w:history="1">
        <w:r>
          <w:rPr>
            <w:rFonts w:ascii="arial" w:eastAsia="arial" w:hAnsi="arial" w:cs="arial"/>
            <w:i/>
            <w:color w:val="0077CC"/>
            <w:sz w:val="20"/>
            <w:u w:val="single"/>
            <w:shd w:val="clear" w:color="auto" w:fill="FFFFFF"/>
            <w:lang w:val="en-US" w:eastAsia="en-US" w:bidi="ar-SA"/>
          </w:rPr>
          <w:t>[1975] 2 S.C.R. 248</w:t>
        </w:r>
      </w:hyperlink>
      <w:r>
        <w:rPr>
          <w:rFonts w:ascii="arial" w:eastAsia="arial" w:hAnsi="arial" w:cs="arial"/>
          <w:color w:val="000000"/>
          <w:sz w:val="20"/>
          <w:lang w:val="en-US" w:eastAsia="en-US" w:bidi="ar-SA"/>
        </w:rPr>
        <w:t xml:space="preserve">, at pp. 267-68. The bar extends both to the cause of action thus adjudicated (variously referred to as claim or cause of action or action estoppel), as well as precluding relitigation of the constituent issues or material facts necessarily embraced therein (usually called issue estoppel): G.S. Holmested and G.D. Watson, Ontario Civil Procedure (loose-leaf), vol. 3 Supp., at 21 s. 17 et seq. Another aspect of the judicial policy favouring finality is the rule against collateral attack, i.e., that a judicial order pronounced by a court of competent jurisdiction should not be brought into question in subsequent proceedings except those provided by law for the express purpose of attacking it: Wilson v. The Queen, </w:t>
      </w:r>
      <w:hyperlink r:id="rId277" w:history="1">
        <w:r>
          <w:rPr>
            <w:rFonts w:ascii="arial" w:eastAsia="arial" w:hAnsi="arial" w:cs="arial"/>
            <w:i/>
            <w:color w:val="0077CC"/>
            <w:sz w:val="20"/>
            <w:u w:val="single"/>
            <w:shd w:val="clear" w:color="auto" w:fill="FFFFFF"/>
            <w:lang w:val="en-US" w:eastAsia="en-US" w:bidi="ar-SA"/>
          </w:rPr>
          <w:t>[1983] 2 S.C.R. 594</w:t>
        </w:r>
      </w:hyperlink>
      <w:r>
        <w:rPr>
          <w:rFonts w:ascii="arial" w:eastAsia="arial" w:hAnsi="arial" w:cs="arial"/>
          <w:color w:val="000000"/>
          <w:sz w:val="20"/>
          <w:lang w:val="en-US" w:eastAsia="en-US" w:bidi="ar-SA"/>
        </w:rPr>
        <w:t xml:space="preserve">; R. v. Litchfield, </w:t>
      </w:r>
      <w:hyperlink r:id="rId549" w:history="1">
        <w:r>
          <w:rPr>
            <w:rFonts w:ascii="arial" w:eastAsia="arial" w:hAnsi="arial" w:cs="arial"/>
            <w:i/>
            <w:color w:val="0077CC"/>
            <w:sz w:val="20"/>
            <w:u w:val="single"/>
            <w:shd w:val="clear" w:color="auto" w:fill="FFFFFF"/>
            <w:lang w:val="en-US" w:eastAsia="en-US" w:bidi="ar-SA"/>
          </w:rPr>
          <w:t>[1993] 4 S.C.R. 333</w:t>
        </w:r>
      </w:hyperlink>
      <w:r>
        <w:rPr>
          <w:rFonts w:ascii="arial" w:eastAsia="arial" w:hAnsi="arial" w:cs="arial"/>
          <w:color w:val="000000"/>
          <w:sz w:val="20"/>
          <w:lang w:val="en-US" w:eastAsia="en-US" w:bidi="ar-SA"/>
        </w:rPr>
        <w:t xml:space="preserve">; R. v. Sarson, </w:t>
      </w:r>
      <w:hyperlink r:id="rId550" w:history="1">
        <w:r>
          <w:rPr>
            <w:rFonts w:ascii="arial" w:eastAsia="arial" w:hAnsi="arial" w:cs="arial"/>
            <w:i/>
            <w:color w:val="0077CC"/>
            <w:sz w:val="20"/>
            <w:u w:val="single"/>
            <w:shd w:val="clear" w:color="auto" w:fill="FFFFFF"/>
            <w:lang w:val="en-US" w:eastAsia="en-US" w:bidi="ar-SA"/>
          </w:rPr>
          <w:t>[1996] 2 S.C.R. 223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Issue estoppel was more particularly defined by Middleton J.A. of the Ontario Court of Appeal in McIntosh v. Parent, </w:t>
      </w:r>
      <w:hyperlink r:id="rId551" w:history="1">
        <w:r>
          <w:rPr>
            <w:rFonts w:ascii="arial" w:eastAsia="arial" w:hAnsi="arial" w:cs="arial"/>
            <w:i/>
            <w:color w:val="0077CC"/>
            <w:sz w:val="20"/>
            <w:u w:val="single"/>
            <w:shd w:val="clear" w:color="auto" w:fill="FFFFFF"/>
            <w:lang w:val="en-US" w:eastAsia="en-US" w:bidi="ar-SA"/>
          </w:rPr>
          <w:t>[1924] 4 D.L.R. 420</w:t>
        </w:r>
      </w:hyperlink>
      <w:r>
        <w:rPr>
          <w:rFonts w:ascii="arial" w:eastAsia="arial" w:hAnsi="arial" w:cs="arial"/>
          <w:color w:val="000000"/>
          <w:sz w:val="20"/>
          <w:lang w:val="en-US" w:eastAsia="en-US" w:bidi="ar-SA"/>
        </w:rPr>
        <w:t>, at p. 422: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question is litigated, the judgment of the Court is a final determination as between the parties and their privies. Any right question, or fact </w:t>
      </w:r>
      <w:r>
        <w:rPr>
          <w:rFonts w:ascii="arial" w:eastAsia="arial" w:hAnsi="arial" w:cs="arial"/>
          <w:color w:val="000000"/>
          <w:sz w:val="20"/>
          <w:u w:val="single"/>
          <w:lang w:val="en-US" w:eastAsia="en-US" w:bidi="ar-SA"/>
        </w:rPr>
        <w:t>distinctly put in issue and directly determined</w:t>
      </w:r>
      <w:r>
        <w:rPr>
          <w:rFonts w:ascii="arial" w:eastAsia="arial" w:hAnsi="arial" w:cs="arial"/>
          <w:color w:val="000000"/>
          <w:sz w:val="20"/>
          <w:lang w:val="en-US" w:eastAsia="en-US" w:bidi="ar-SA"/>
        </w:rPr>
        <w:t xml:space="preserve"> by a Court of competent jurisdiction as a ground of recovery, or as an answer to a claim set up, cannot be re-tried in a subsequent suit between the same parties or their privies, though for a different cause of action. The right, question, or fact, </w:t>
      </w:r>
      <w:r>
        <w:rPr>
          <w:rFonts w:ascii="arial" w:eastAsia="arial" w:hAnsi="arial" w:cs="arial"/>
          <w:color w:val="000000"/>
          <w:sz w:val="20"/>
          <w:u w:val="single"/>
          <w:lang w:val="en-US" w:eastAsia="en-US" w:bidi="ar-SA"/>
        </w:rPr>
        <w:t>once determined</w:t>
      </w:r>
      <w:r>
        <w:rPr>
          <w:rFonts w:ascii="arial" w:eastAsia="arial" w:hAnsi="arial" w:cs="arial"/>
          <w:color w:val="000000"/>
          <w:sz w:val="20"/>
          <w:lang w:val="en-US" w:eastAsia="en-US" w:bidi="ar-SA"/>
        </w:rPr>
        <w:t>, must, as between them, be taken to be conclusively established so long as the judgment remains.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statement was adopted by Laskin J. (later C.J.), dissenting in Angle, supra, at pp. 267-68. This description of the issues subject to estoppel ("[a]ny right, question or fact distinctly put in issue and directly determined") is more stringent than the formulation in some of the older cases for cause of action estoppel (e.g. "all matters which were, or might properly have been, brought into litigation", Farwell, supra, at p. 558). Dickson J. (later C.J.), speaking for the majority in Angle, supra, at p. 255, subscribed to the more stringent definition for the purpose of issue estoppel. "It will not suffice" he said, "if the question arose collaterally or incidentally in the earlier proceedings or is one which must be inferred by argument from the judgment." The question out of which the estoppel is said to arise must have been "fundamental to the decision arrived at" in the earlier proceeding. In other words, as discussed below, the estoppel extends to the material facts and the conclusions of law or of mixed fact and law ("the questions") that were necessarily (even if not explicitly) determined in the earlier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preconditions to the operation of issue estoppel were set out by Dickson J. in Angle, supra, at p. 254:</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same question has been decided;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judicial decision which is said to create the estoppel was final; and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parties to the judicial decision or their privies were the same persons as the parties to the proceedings in which the estoppel is raised or their privies.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agree with the OMIBC that the requirements for issue estoppel have not been met here for the following reasons:</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questions which are before the Court in this case, for example, whether the OMIBC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under occupiers liability, whether any of the defendants operated the CIRS as a partnership or joint venture with any other defendant, or who had actual control over persons working in various capacities at the school were not decided by the Court in E.B. These are not the same questions and the judicial decision which is said to create the estoppel was not final.</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before the Court in E.B. were specific to Saxey and his employment status. The alleged parties in this case are different, and according to the plaintiffs' claims, they worked in different positions than Saxey did. Saxey worked as a baker/general maintenance man, while the alleged parties here are said to be dormitory supervisors. The legal question of which of the defendants "employed" them must be determined by evidence which specifically relates to them. The parties to this judicial decision are not the same persons as the parties to the proceeding in which the estoppel was raised or their privies.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the defence points out, issue estoppel is an equitable principle, and even if the conditions for it have been met, the court has the jurisdiction to refuse to apply it. In Paterson, supra, at para. 23 D.M. Smith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In Danyluk v. Ainsworth Technologies Inc. </w:t>
      </w:r>
      <w:hyperlink r:id="rId547"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at para. 33, the Court emphasized that the rules governing the doctrine of issue estoppel should not be applied mechanically. It noted that the underlying policy of the doctrine lies in what is just and reasonable in the circumstances and that its underlying purpose is "to balance the public interest in the finality of litigation with the public interest in ensuring that justice is done on the facts of a particular case." These equitable considerations require the court to ultimately determine whether an application of the doctrine would work an injustice in the circumstances of any particular case: Danyluk para.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para. 80 of Danyluk, supra, Binnie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As a final and most important factor, the Court should stand back and, taking into account the entirety of the circumstances, consider whether application of issue estoppel in the particular case would work an injustice. Rosenberg J.A. concluded that the appellant had received neither notice of the respondent's allegation nor an opportunity to respond. He was thus confronted with the problem identified by Jackson J.A., dissenting, in Iron v. Saskatchewan (Minister of the Environment &amp; Public Safety), </w:t>
      </w:r>
      <w:hyperlink r:id="rId552" w:history="1">
        <w:r>
          <w:rPr>
            <w:rFonts w:ascii="arial" w:eastAsia="arial" w:hAnsi="arial" w:cs="arial"/>
            <w:i/>
            <w:color w:val="0077CC"/>
            <w:sz w:val="20"/>
            <w:u w:val="single"/>
            <w:shd w:val="clear" w:color="auto" w:fill="FFFFFF"/>
            <w:lang w:val="en-US" w:eastAsia="en-US" w:bidi="ar-SA"/>
          </w:rPr>
          <w:t>[1993] 6 W.W.R. 1</w:t>
        </w:r>
      </w:hyperlink>
      <w:r>
        <w:rPr>
          <w:rFonts w:ascii="arial" w:eastAsia="arial" w:hAnsi="arial" w:cs="arial"/>
          <w:color w:val="000000"/>
          <w:sz w:val="20"/>
          <w:lang w:val="en-US" w:eastAsia="en-US" w:bidi="ar-SA"/>
        </w:rPr>
        <w:t xml:space="preserve"> (Sask. C.A.), at p. 21: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doctrine of res judicata, being a means of doing justice between the parties in the context of the adversarial system, caries within its tenets the seeds of injustice, particularly in relation to issues of allowing parties to be heard.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Whatever the appellant's various procedural mistakes in this case, the stubborn fact remains that her claim to commissions worth $300,000 has simply never been properly considered and adjudicated.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accept the position of the OMIBC that to apply the principle of issue estoppel in this case would result in an injustice to the OMIBC. It would prevent it from bringing evidence to support its position that it neither operated, nor staffed the CIRS and would prevent it from raising issues of liability between it and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Paragraphs 7, 8 and 9 of the plaintiffs' Demand for Particulars refer to paragraphs in the Statement of Defence which deny the allegations that the OMIBC is liable to the plaintiffs as occupier of the school premises. Paragraphs 10 - 14 of the plaintiffs' Demand for Particulars refer to paragraphs in the Statement of Defence which deny that the OMIBC is liable to the plaintiffs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Neither of these issues were before the Court in E.B..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for the OMIBC agrees that the principles set out in Cansulex, supra, are those to be applied on an application for particulars. However, he submits that the demand delivered by the plaintiffs is not a request for material facts, rather the plaintiffs ask the OMIBC to provide the evidence it will rely on to prove that it did not operate the CIRS, was not the employer of the alleged parties, and that it was not involved in a partnership or joint venture with any other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At para. 44 of her decision in Hoy v. Medtronic Inc., </w:t>
      </w:r>
      <w:hyperlink r:id="rId553" w:history="1">
        <w:r>
          <w:rPr>
            <w:rFonts w:ascii="arial" w:eastAsia="arial" w:hAnsi="arial" w:cs="arial"/>
            <w:i/>
            <w:color w:val="0077CC"/>
            <w:sz w:val="20"/>
            <w:u w:val="single"/>
            <w:shd w:val="clear" w:color="auto" w:fill="FFFFFF"/>
            <w:lang w:val="en-US" w:eastAsia="en-US" w:bidi="ar-SA"/>
          </w:rPr>
          <w:t>[2004] B.C.J. No. 676</w:t>
        </w:r>
      </w:hyperlink>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2004 BCSC 440</w:t>
        </w:r>
      </w:hyperlink>
      <w:r>
        <w:rPr>
          <w:rFonts w:ascii="arial" w:eastAsia="arial" w:hAnsi="arial" w:cs="arial"/>
          <w:color w:val="000000"/>
          <w:sz w:val="20"/>
          <w:lang w:val="en-US" w:eastAsia="en-US" w:bidi="ar-SA"/>
        </w:rPr>
        <w:t xml:space="preserve">, D.M. Smith J. states, "a helpful review of the distinction between evidence and material facts was provided in Premakumaran v. Canada </w:t>
      </w:r>
      <w:hyperlink r:id="rId554" w:history="1">
        <w:r>
          <w:rPr>
            <w:rFonts w:ascii="arial" w:eastAsia="arial" w:hAnsi="arial" w:cs="arial"/>
            <w:i/>
            <w:color w:val="0077CC"/>
            <w:sz w:val="20"/>
            <w:u w:val="single"/>
            <w:shd w:val="clear" w:color="auto" w:fill="FFFFFF"/>
            <w:lang w:val="en-US" w:eastAsia="en-US" w:bidi="ar-SA"/>
          </w:rPr>
          <w:t>(2003), 28 Imm. L.R. (3d) 98</w:t>
        </w:r>
      </w:hyperlink>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2003 FCT 635</w:t>
        </w:r>
      </w:hyperlink>
      <w:r>
        <w:rPr>
          <w:rFonts w:ascii="arial" w:eastAsia="arial" w:hAnsi="arial" w:cs="arial"/>
          <w:color w:val="000000"/>
          <w:sz w:val="20"/>
          <w:lang w:val="en-US" w:eastAsia="en-US" w:bidi="ar-SA"/>
        </w:rPr>
        <w:t xml:space="preserve"> (T.D.). At para. 7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no suggestion that either material facts or particulars go so far as to include evidence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Her Ladyship continued at paras. 45-47: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The important distinction to be noted from this passage is that particulars are provided to disclose what one party intends to prove against the other; how the party intends to prove his case is a matter of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In my view, Master Joyce (now J.) summarized it best in Firestone v. Smith </w:t>
      </w:r>
      <w:hyperlink r:id="rId545" w:history="1">
        <w:r>
          <w:rPr>
            <w:rFonts w:ascii="arial" w:eastAsia="arial" w:hAnsi="arial" w:cs="arial"/>
            <w:i/>
            <w:color w:val="0077CC"/>
            <w:sz w:val="20"/>
            <w:u w:val="single"/>
            <w:shd w:val="clear" w:color="auto" w:fill="FFFFFF"/>
            <w:lang w:val="en-US" w:eastAsia="en-US" w:bidi="ar-SA"/>
          </w:rPr>
          <w:t>[1991] B.C.J. No. 2660</w:t>
        </w:r>
      </w:hyperlink>
      <w:r>
        <w:rPr>
          <w:rFonts w:ascii="arial" w:eastAsia="arial" w:hAnsi="arial" w:cs="arial"/>
          <w:color w:val="000000"/>
          <w:sz w:val="20"/>
          <w:lang w:val="en-US" w:eastAsia="en-US" w:bidi="ar-SA"/>
        </w:rPr>
        <w:t>, where he stated at [paragraph] 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view the concern raised by the plaintiff at this stage is that he does not know but would like to know now what precise evidence the defendant may lead in support of his allegations of fact. In my respectful opinion the plaintiff is not entitled to ascertain the evidentiary basis of the defendant's case by way of this demand for particulars.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As in Firestone, the defendants in this case seek to know the precise evidence the plaintiffs may lead in support of their allegations of material fact. In my view, what they are seeking by way of their demand for further and better particulars is the evidentiary basis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Counsel for the OMIBC notes that when the plaintiffs' reliance on the findings of the court in E.B. is removed from their Demand for Particulars, what is left are requests for the evidence the OMIBC intends on using to support its defence, not material facts. For example:</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material facts plead in paras. 12, 15, 22, 36, 37 and 39 of the Statement of Defence are the denials by the OMIBC that it was the employer of the alleged parties or any other person at the CIRS in partnership with Canada, any other defendant, or at all. Paragraph 37 also denies that the OMIBC had any knowledge of the alleged abuse and para. 39 includes specific denials of the claims against the OMIBC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Counsel says that what it relies on to support these denials is evidence.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material facts plead in paras. 14, 19, and 26 of the Statement of Defence are the denials by the OMIBC that it had responsibility for the operation of the CIRS, either under its own direction, the direction of Canada, in partnership with Canada or under contract to Canada. Counsel says that what it relies on to support these denials 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agree with the position of the OMIBC that this case is factually distinguishable from the case of E.B., and that the plaintiffs' Demand for Particulars may be characterized as a demand upon the OMIBC to set out its argument, with specific reference to all of the evidence upon which the OMIBC relies. As counsel for the OMIBC submits, this is not an appropriate function of a Demand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Accordingly, the plaintiffs' application is dismissed, with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8"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Brown v. Lolly, [2002] B.C.J. No. 2762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28 and 29,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M004356, M004371, M023467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2762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1706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118 A.C.W.S. (3d) 500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1706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Guy William Brown, plaintiff, and Nova Phyllis Lolly, Patricia Mavy Lindsay and Darren Wallace Lindsay, defendants (Vancouver Registry No. M004356) And between Guy William Brown, plaintiff, and Sharon J. Lackey, GMAC Leaseco Limited and Sarah E. Ryan, defendants (Vancouver Registry No. M004371) And between Guy William Brown, plaintiff, and Greyhound Canada Transportation Corp. and Wayne Clyde Askew, defendants (Vancouver Registry No. M023467)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9"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9" w:name="Keywords_28"/>
      <w:bookmarkEnd w:id="189"/>
      <w:r>
        <w:rPr>
          <w:rFonts w:ascii="arial" w:eastAsia="arial" w:hAnsi="arial" w:cs="arial"/>
          <w:b/>
          <w:color w:val="000000"/>
          <w:sz w:val="20"/>
          <w:lang w:val="en-US" w:eastAsia="en-US" w:bidi="ar-SA"/>
        </w:rPr>
        <w:t>Practice — Trials — Trial of actions together — When appropriate.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0" w:name="Case Summary_22"/>
            <w:bookmarkEnd w:id="19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plaintiff Brown from a Master's order dismissing his application to try three actions together. Brown commenced separate actions against Lolly, Lackey and Greyhound Canada Transportation arising from accidents that occurred in 1999, 2000 and 2001. The circumstances of each accident were different. However, liability and contributing liability were issues in each action. The actions against Lolly and Lackey were ordered to be tried together. The jury trial was scheduled to commence on January 13, 2003. Greyhound was not opposed to Brown's application. However, it was not ready to proceed on the scheduled trial date. Brown submitted that the trial could be adjourned because of an amendment to the pleadings in Lolly's action approved by the Master. The Master allowed Lolly to particularize a type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1" w:name="Holdings of Court_19"/>
            <w:bookmarkEnd w:id="191"/>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prejudice to Lolly and Lackey from an adjournment until Greyhound was ready outweighed the benefits of having the three actions heard together. The amendment did not justify an adjournment. The Master did not err in his assessment of the situation.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2" w:name="Legislation Cited_23"/>
      <w:bookmarkEnd w:id="1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0"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3" w:name="Counsel_28"/>
      <w:bookmarkEnd w:id="19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1"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 Riddell, for the plaintiff. L. Braun, for the defendants, Lolly, Lackey and GMAC Lease Co. L. Giustra, for the defendants, Lindsay, Lindsay and Ryan. R. Merlo, for the defendant, Greyhound Canada Transportation Corp.</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4" w:name="Judgment_28"/>
      <w:bookmarkEnd w:id="194"/>
      <w:r>
        <w:pict>
          <v:line id="_x0000_s1172" style="position:absolute;z-index:2518415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5" w:name="McEWAN J."/>
            <w:bookmarkEnd w:id="195"/>
            <w:r>
              <w:rPr>
                <w:rFonts w:ascii="arial" w:eastAsia="arial" w:hAnsi="arial" w:cs="arial"/>
                <w:b/>
                <w:color w:val="000000"/>
                <w:sz w:val="30"/>
                <w:lang w:val="en-US" w:eastAsia="en-US" w:bidi="ar-SA"/>
              </w:rPr>
              <w:t>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from a decision of a Master made October 28,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Master considered three motions, the effect of which were that the plaintiff sought to have three distinct actions for damages arising out of motor vehicle accidents heard at the same time and place. The Master ordered actions #M00456 Brown v. Lolly et al (Action 1), and #M004371 Brown v. Lackey et al (Action 2) to be tried together. He declined to make the same order respecting action #M023467 Brown v. Greyhound Canada Transportation Ltd. et al (Action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appeal is brought on the following grounds:</w:t>
      </w:r>
      <w:r>
        <w:rPr>
          <w:rFonts w:ascii="arial" w:eastAsia="arial" w:hAnsi="arial" w:cs="arial"/>
          <w:sz w:val="20"/>
          <w:lang w:val="en-US" w:eastAsia="en-US" w:bidi="ar-SA"/>
        </w:rPr>
        <w:cr/>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Master Tokarek erred in law and in principle by failing to properly apply Supreme Court Rule 1(5), which states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object of these rules is to secure the just, speedy and inexpensive determination of every proceeding on its merits."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Master Tokarek erred in law and in fact by failing to find that the three actions are so interwoven as to make separate trials before different judges undesirable and fraught with problems and economic expense;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Master Tokarek erred in law and in fact by failing to give proper consideration to the saving of court time and expense if all three actions are heard at the same time;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Master Tokarek erred in law and in fact by failing to give proper consideration to the real savings in experts' time and witness fees if all three actions are heard at the same time;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Master Tokarek erred in law and in fact in finding that the resultant prejudice to the plaintiff, if any of the actions are heard separately, did not necessitate an order that all three actions be hard at the same time;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Master Tokarek erred in law in finding that the danger of different triers of fact making conflicting decisions on issues of fact and law regarding the same interrelated events that are the subject of different proceedings did not necessitate all three actions relating to these matters being heard at the same time;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Master Tokarek erred in principle in finding that giving liberty to the applicant to apply for an adjournment if something problematic arises in the proceedings sometime in the future was proper rationale for dismissing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Master's Reasons developed out of a colloquy with counsel. I excerpt what I think is the gist: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 am going to deny the application now, but I will give you liberty to bring it on again at a subsequent time if some of this turns out to be problematic in the future or if there is any misunderstanding about these amendments.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rationale behind that is that if I were somehow or if whoever sits here when you next appear were to be persuaded that in all likelihood an adjournment would be granted of this trial - that an adjournment of this trial would be granted for whatever reason, amendments to the statement of claim, further medical information - I mean, maybe the defence will be back here wanting an amendment depending on what their IME says. But in any event, if - if it were to come to pass that there's a significant likelihood this trial would not be ready to proceed in any event, then I would have no hesitation in joining the three of them and proceeding accordingly. It's not encouraging anybody to go and find a reason why they shouldn't proceed, but I'm just indicating that if that was to come to pass, I think the matter could be dealt with a lot easier.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I hope everybody is telling me the truth, the whole truth and nothing but the truth when they tell me that they're ready to go on the scheduled date. I take it the plaintiff is ready to go on the scheduled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RIDDELL:</w:t>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Your Honour.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Any everything that has been agreed to be heard 77 days from now is on track and will be going ahead? Okay. Well, bear that in mind. If you have a pre-trial conference or there's some other material to indicate these matters are not ready to proceed on the scheduled date, then I think you should renew this application, because it might well be received favourably.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Action 1 concerns an accident which occurred October 4, 1999; Action 2 concerns an accident January 16, 2000; and Action 3 concerns an accident on January 10, 2001. The circumstances of each are different but liability or contributing liability are live issues with respect to each accident. It was evident from the transcript of the hearing before the Master, that the defendants in Action 3 were not opposed to the matters all being heard at the same time. They simply could not be prepared to proceed on January 13, 2003, the date set for the jury trial of the other two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Before the Master, there was also a discussion of the possibility of an amendment to the pleadings brought by the defendant in Action 1 to particularize a type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 course of hearing this appeal I considered a motion for that amendment brought by those defendants. I was satisfied that it was in the interests of justice that the amendment be granted and that responding to that, in itself, would not justify an adjournment of the trial of Action 1 and 2 as urged by the plaintiff's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On the appeal proper I am satisfied that the basic test I must apply is that set out in Abermin Corporation v. Granges Exploration Ltd. </w:t>
      </w:r>
      <w:hyperlink r:id="rId562" w:history="1">
        <w:r>
          <w:rPr>
            <w:rFonts w:ascii="arial" w:eastAsia="arial" w:hAnsi="arial" w:cs="arial"/>
            <w:i/>
            <w:color w:val="0077CC"/>
            <w:sz w:val="20"/>
            <w:u w:val="single"/>
            <w:shd w:val="clear" w:color="auto" w:fill="FFFFFF"/>
            <w:lang w:val="en-US" w:eastAsia="en-US" w:bidi="ar-SA"/>
          </w:rPr>
          <w:t>(1990), 45 B.C.L.R. (2d) 188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appeal from a Master's order in a purely interlocutory matter should not be entertained unless the order was clearly wrong. However, where the ruling of the Master raises questions which are vital to the final issue in the case, or results in one of those final orders which a Master is permitted to make, a rehearing is the appropriate form of appeal. Unless an order for the production of fresh evidence is made, that rehearing will proceed on the basis of the material which was before the Master. In those latter situations, even where the exercise of discretion is involved, the judge appealed to may quite properly substitute his own view for that of the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pause to note that in my view there is no question that the order is interlocutory and that the appeal must be addressed in terms of the Abermin standard applicable to such orders. The ultimate conduct of these actions, including whether they will proceed together or separately, will be in the control and discretion of the trial judge. It may be that this case demonstrates the utility of the early assignment of a trial judge in such cases, but that is just an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principles governing an application of this kind are set out in Shah v. Bakken </w:t>
      </w:r>
      <w:hyperlink r:id="rId304" w:history="1">
        <w:r>
          <w:rPr>
            <w:rFonts w:ascii="arial" w:eastAsia="arial" w:hAnsi="arial" w:cs="arial"/>
            <w:i/>
            <w:color w:val="0077CC"/>
            <w:sz w:val="20"/>
            <w:u w:val="single"/>
            <w:shd w:val="clear" w:color="auto" w:fill="FFFFFF"/>
            <w:lang w:val="en-US" w:eastAsia="en-US" w:bidi="ar-SA"/>
          </w:rPr>
          <w:t>(1996), 20 B.C.L.R. (3d) 393</w:t>
        </w:r>
      </w:hyperlink>
      <w:r>
        <w:rPr>
          <w:rFonts w:ascii="arial" w:eastAsia="arial" w:hAnsi="arial" w:cs="arial"/>
          <w:color w:val="000000"/>
          <w:sz w:val="20"/>
          <w:lang w:val="en-US" w:eastAsia="en-US" w:bidi="ar-SA"/>
        </w:rPr>
        <w:t>, a case that was referred to the Master (misspelled Shaw in the transcript). There Master Joyce (as he then was) made the following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12 Before considering the positions of the parties in detail, I propose to set out the legal principles which I consider are relevant in the determination of this application. The first observation to make is that the order is discretionary. A test often applied in the exercise of the discretion is whether there is a common question of law or fact bearing sufficient importance in proportion to the rest of the action to render it desirable that the whole of the matter should be disposed of at the same time: Horwood v. Statesman Publishing Co. Ltd.: Child v. Statesman Publishing Co. Ltd., 98 L.J.K.B. 450, cited in Hardy Bay Inn Ltd. v. Hughes </w:t>
      </w:r>
      <w:hyperlink r:id="rId563" w:history="1">
        <w:r>
          <w:rPr>
            <w:rFonts w:ascii="arial" w:eastAsia="arial" w:hAnsi="arial" w:cs="arial"/>
            <w:i/>
            <w:color w:val="0077CC"/>
            <w:sz w:val="20"/>
            <w:u w:val="single"/>
            <w:shd w:val="clear" w:color="auto" w:fill="FFFFFF"/>
            <w:lang w:val="en-US" w:eastAsia="en-US" w:bidi="ar-SA"/>
          </w:rPr>
          <w:t>36 B.C.L.R. 317</w:t>
        </w:r>
      </w:hyperlink>
      <w:r>
        <w:rPr>
          <w:rFonts w:ascii="arial" w:eastAsia="arial" w:hAnsi="arial" w:cs="arial"/>
          <w:color w:val="000000"/>
          <w:sz w:val="20"/>
          <w:lang w:val="en-US" w:eastAsia="en-US" w:bidi="ar-SA"/>
        </w:rPr>
        <w:t xml:space="preserve"> (Co.Ct.)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13 The purpose of consolidation is to avoid multiplicity of proceedings: McKenzie v. Cramer </w:t>
      </w:r>
      <w:hyperlink r:id="rId564" w:history="1">
        <w:r>
          <w:rPr>
            <w:rFonts w:ascii="arial" w:eastAsia="arial" w:hAnsi="arial" w:cs="arial"/>
            <w:i/>
            <w:color w:val="0077CC"/>
            <w:sz w:val="20"/>
            <w:u w:val="single"/>
            <w:shd w:val="clear" w:color="auto" w:fill="FFFFFF"/>
            <w:lang w:val="en-US" w:eastAsia="en-US" w:bidi="ar-SA"/>
          </w:rPr>
          <w:t>[1947] O.R. 196</w:t>
        </w:r>
      </w:hyperlink>
      <w:r>
        <w:rPr>
          <w:rFonts w:ascii="arial" w:eastAsia="arial" w:hAnsi="arial" w:cs="arial"/>
          <w:color w:val="000000"/>
          <w:sz w:val="20"/>
          <w:lang w:val="en-US" w:eastAsia="en-US" w:bidi="ar-SA"/>
        </w:rPr>
        <w:t>. Considerations include whether the order will result in a saving of time and expense and the better administration of justice: Orlick v. Eason, unreported, November 2, 1967, No. 430/67 (B.C.C.A.).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14 In Merritt et al. v. Imasco Enterprises Inc. et al. </w:t>
      </w:r>
      <w:hyperlink r:id="rId301" w:history="1">
        <w:r>
          <w:rPr>
            <w:rFonts w:ascii="arial" w:eastAsia="arial" w:hAnsi="arial" w:cs="arial"/>
            <w:i/>
            <w:color w:val="0077CC"/>
            <w:sz w:val="20"/>
            <w:u w:val="single"/>
            <w:shd w:val="clear" w:color="auto" w:fill="FFFFFF"/>
            <w:lang w:val="en-US" w:eastAsia="en-US" w:bidi="ar-SA"/>
          </w:rPr>
          <w:t>(1992) 2 C.P.C. (3d) 275</w:t>
        </w:r>
      </w:hyperlink>
      <w:r>
        <w:rPr>
          <w:rFonts w:ascii="arial" w:eastAsia="arial" w:hAnsi="arial" w:cs="arial"/>
          <w:color w:val="000000"/>
          <w:sz w:val="20"/>
          <w:lang w:val="en-US" w:eastAsia="en-US" w:bidi="ar-SA"/>
        </w:rPr>
        <w:t xml:space="preserve"> (B.C.S.C.) Master Kirkpatrick (as she then was) held that an application for an order that two actions be tried at the same time was not to be determined solely on the basis of the commonality of issues raised in the pleadings at the time the application was brought. At p. 282 the Master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None of the submissions of counsel address the real issue to be determined. That is, are the issues raised by the pleadings sufficiently similar to warrant the order sought and will the order make sense in the circumstances. An application to have actions tried at the same time thus requires an examination of circumstances which may be of a more general nature than is made under R. 27 or 19.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accept that the foundation of an application under R. 5(8) is, indeed, disclosed by the pleadings. The examination of the pleadings will answer the first question to be addressed: do common claims, disputes and relationships exist between the parties? But the next question which one must ask is: are they "so interwoven as to make separate trials before different judges undesirable and fraught with problems and economic expense? Webster v. Webster </w:t>
      </w:r>
      <w:hyperlink r:id="rId302" w:history="1">
        <w:r>
          <w:rPr>
            <w:rFonts w:ascii="arial" w:eastAsia="arial" w:hAnsi="arial" w:cs="arial"/>
            <w:i/>
            <w:color w:val="0077CC"/>
            <w:sz w:val="20"/>
            <w:u w:val="single"/>
            <w:shd w:val="clear" w:color="auto" w:fill="FFFFFF"/>
            <w:lang w:val="en-US" w:eastAsia="en-US" w:bidi="ar-SA"/>
          </w:rPr>
          <w:t>(1979), 12 B.C.L.R. 172</w:t>
        </w:r>
      </w:hyperlink>
      <w:r>
        <w:rPr>
          <w:rFonts w:ascii="arial" w:eastAsia="arial" w:hAnsi="arial" w:cs="arial"/>
          <w:color w:val="000000"/>
          <w:sz w:val="20"/>
          <w:lang w:val="en-US" w:eastAsia="en-US" w:bidi="ar-SA"/>
        </w:rPr>
        <w:t xml:space="preserve"> at 182, </w:t>
      </w:r>
      <w:hyperlink r:id="rId303" w:history="1">
        <w:r>
          <w:rPr>
            <w:rFonts w:ascii="arial" w:eastAsia="arial" w:hAnsi="arial" w:cs="arial"/>
            <w:i/>
            <w:color w:val="0077CC"/>
            <w:sz w:val="20"/>
            <w:u w:val="single"/>
            <w:shd w:val="clear" w:color="auto" w:fill="FFFFFF"/>
            <w:lang w:val="en-US" w:eastAsia="en-US" w:bidi="ar-SA"/>
          </w:rPr>
          <w:t>10 R.F.L. (2d) 148</w:t>
        </w:r>
      </w:hyperlink>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101 D.L.R. (3d) 248</w:t>
        </w:r>
      </w:hyperlink>
      <w:r>
        <w:rPr>
          <w:rFonts w:ascii="arial" w:eastAsia="arial" w:hAnsi="arial" w:cs="arial"/>
          <w:color w:val="000000"/>
          <w:sz w:val="20"/>
          <w:lang w:val="en-US" w:eastAsia="en-US" w:bidi="ar-SA"/>
        </w:rPr>
        <w:t xml:space="preserve"> (C.A.). That second question cannot, in my respectful view, be determined solely by reference to the pleadings. Reference must also be made to matters disclosed outside the pleadings:</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order sought create a saving in pretrial procedures, (in particular, pre-trial conferences)?;</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there be a real reduction in the number of trial days taken up by the trials being heard at the same time?;</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potential for a party to be seriously inconvenienced by being required to attend a trial in which that party may have only a marginal interest?; and</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there be a real saving in experts' time and witness fees?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is in no way intended to be an exhaustive list. It merely sets out some of the factors which, it seems to me, ought to be weighed before making an order under R.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15 Other factors which in my view can be added to the foregoing list are:</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one of the actions at a more advanced stage than the other? See: Forestral Automation Ltd. v. RMS Industrial Controls Inc. et al. (No. 2), unreported, March 6, 1978, No. C765633/76, Vancouver (B.C.S.C.).</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order result a delay of the trial of one of the actions and, if so, does any prejudice which a party may suffer as a result of that delay outweigh the potential benefits which a combined trial might otherwise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Here, the rationale I extract from the Master's comments is that he accepted the proposition that the three actions should ordinarily be heard together, but that the prejudice to the defendants in Actions 1 and 2 in not proceeding on the scheduled date outweighed that otherwise persuasive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think that any time there is a possibility of overlap in evidence or of two manifestations of this court being called upon to adjudicate the same facts in different contexts, the court should be vigilant in preserving its process from embarrassment. While there is some modest possibility of this if these cases are not tried together, there is also a significant possibility that the addition of the third action and its liability issues will have counsel for the parties, at various times, sitting through long stretches of evidence that do not concern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first two cases are ready to go. It is not uncommon for people who settle or try a personal injury claim to be subsequently injured and to have to address compensation in light of the injuries dealt with earlier. The fact that it is even possible to think of having all three matters heard together is, after all, largely an accident of timing. Bearing in mind that the order is interlocutory and discretionary, I cannot say the Master was clearly wrong in assessing the situation as he did and ruling accordingly. The appeal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3"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Cardozo v. Becton, Dickinson and Co., [2005] B.C.J. No. 2683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S83059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2683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1612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 C.P.C. (6th) 112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145 A.C.W.S. (3d) 381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2951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Danielle Cardozo, plaintiff, and Becton, Dickinson and Company,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4"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6" w:name="Keywords_29"/>
      <w:bookmarkEnd w:id="196"/>
      <w:r>
        <w:rPr>
          <w:rFonts w:ascii="arial" w:eastAsia="arial" w:hAnsi="arial" w:cs="arial"/>
          <w:b/>
          <w:color w:val="000000"/>
          <w:sz w:val="20"/>
          <w:lang w:val="en-US" w:eastAsia="en-US" w:bidi="ar-SA"/>
        </w:rPr>
        <w:t>Civil procedure — Parties — Class or representative actions — Certification — Plaintiffs' application for certification of class action and approval of settlement allowed — Action was for medical testing product liability — Plaintiffs' claim met criteria for certification and proposed settlement of $400 to $500 for each class member was reasonable.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Settlements — Approval — Plaintiffs' application for certification of class action and approval of settlement allowed — Action was for medical testing product liability — Proposed settlement of $400 to $500 for each class member was reasonable.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7" w:name="Case Summary_23"/>
            <w:bookmarkEnd w:id="19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for certification of a class action and approval of a settlement -- The action was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the defendant's medical testing device, the BD ProbeTec ET Instrument, which the plaintiffs claimed was defective -- The device was used to test for Chlamydia and Gonorrhea, and was recalled for unreliable results -- The defendant argued that the personal nature of the injuries suffered by the plaintiffs from inaccurate test results made a class action inappropriate -- The parties had agreed on a proposed settlement which would give each class member $400 or $500 -- HELD: Application allowed -- The plaintiffs' claims met the criteria for certification as a class action -- The proposed settlement was fair and reasonable.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8" w:name="Legislation Cited_24"/>
      <w:bookmarkEnd w:id="1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5"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("CPA"), </w:t>
      </w:r>
      <w:hyperlink r:id="rId27" w:history="1">
        <w:r>
          <w:rPr>
            <w:rFonts w:ascii="arial" w:eastAsia="arial" w:hAnsi="arial" w:cs="arial"/>
            <w:i/>
            <w:color w:val="0077CC"/>
            <w:sz w:val="20"/>
            <w:u w:val="single"/>
            <w:shd w:val="clear" w:color="auto" w:fill="FFFFFF"/>
            <w:lang w:val="en-US" w:eastAsia="en-US" w:bidi="ar-SA"/>
          </w:rPr>
          <w:t>R.S.B.C. 1996, c. 50 s. 4</w:t>
        </w:r>
      </w:hyperlink>
      <w:r>
        <w:rPr>
          <w:rFonts w:ascii="arial" w:eastAsia="arial" w:hAnsi="arial" w:cs="arial"/>
          <w:color w:val="000000"/>
          <w:sz w:val="20"/>
          <w:lang w:val="en-US" w:eastAsia="en-US" w:bidi="ar-SA"/>
        </w:rPr>
        <w:t>(1), s. 4(1)(a), s. 4(1)(b), s. 4(1)(c), s. 4(1)(d), s. 4(1)(e), s. 4(1)(e)(i), s. 4(1)(e)(ii), s. 4(1)(e)(iii), s. 35, s. 35(1), s. 35(1)(a), s. 35(1)(b), s. 35(2), s. 35(2)(a), s. 35(2)(b), s. 35(3), s. 35(4), s. 35(5), s. 35(5)(a), s. 35(5)(b), s. 35(5)(c), s. 38, s. 38(1), s. 38(1)(a), s. 38(1)(b), s. 38(1) (c), s. 38(2)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9" w:name="Counsel_29"/>
      <w:bookmarkEnd w:id="19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6"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Sarando Matheos James Hanson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 Scott Maidment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0" w:name="Judgment_29"/>
      <w:bookmarkEnd w:id="200"/>
      <w:r>
        <w:pict>
          <v:line id="_x0000_s1177" style="position:absolute;z-index:25184256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December 8, 2005.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1" w:name="GROPPER J."/>
            <w:bookmarkEnd w:id="201"/>
            <w:r>
              <w:rPr>
                <w:rFonts w:ascii="arial" w:eastAsia="arial" w:hAnsi="arial" w:cs="arial"/>
                <w:b/>
                <w:color w:val="000000"/>
                <w:sz w:val="30"/>
                <w:lang w:val="en-US" w:eastAsia="en-US" w:bidi="ar-SA"/>
              </w:rPr>
              <w:t>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pursuant to the Class Proceedings Act ("CPA"),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for certification of a class proceeding, approval of a settlement agreement and approval of a class counsel fee. The joint motion for certification of the class proceeding is solely for the purpose of obtaining approval of the settlement agreement by the court. If the settlement agreement is not approved, the defendant retains its right to dispute the class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matter arises out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commenced on November 6, 2003 by the plaintiff against the defendant, a U.S. corporation that manufactures and distributes a medical test device known as the BD ProbeTec ET Instrument (the "device"). The device tests for the presence of Chlamydia and Gonorrhea, sexually transmitted diseases, in men and women.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July, 2003, the defendant became aware of a potential defect with the device and initiated a recall. The defendant conducted diagnostic testing of the devices worldwide which revealed that the device in use at the East Kootenay Regional Health Centre in Cranbrook, British Columbia, had been assembled incorrectly. The defendant replaced the defective device in Cranbrook, but prior to its removal, it was in use at two locations: the Kimberley Regional and District Hospital from November, 2000 to April, 2002; and the East Kootenay Regional Health Centre from May, 2002 to July 23,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East Kootenay location, 1,876 tests were conducted. It is believed that the defective device produced 47 false results. Of the patients tested, 25 received false negative results and 22 received false positive results. The identity of the people who received a known incorrect result remained confidential, but it is believed that their physicians were notified of the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Records of tests conducted at the Kimberley location were not available but the Interior Health Authority has a record of the number of people tested. The data indicates that 1,242 people were tested at that location during the testing period. It is estimated that 47 people received false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action seeks to recover damages for those people who suffered losses as a result of receiving unreliable or false test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has not disputed that the device in question malfunctioned and generated unreliable or false test results during the testing period. However, the defendant submits that it is unlikely that the plaintiff's action could ever be certified as a class action absent consent to certification by the defendant. The defendant asserts that the principal obstacle to certification is that the claims of the putative class give rise to numerous complex individual issues, and the determination of any common issues would not significantly advance any of their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Having considered the burdens and expense in litigating the action, including the risks and uncertainties associated with trials and appeals, the parties reached a comprehensive settlement on October 19,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issues currently before the court are:</w:t>
      </w:r>
      <w:r>
        <w:rPr>
          <w:rFonts w:ascii="arial" w:eastAsia="arial" w:hAnsi="arial" w:cs="arial"/>
          <w:sz w:val="20"/>
          <w:lang w:val="en-US" w:eastAsia="en-US" w:bidi="ar-SA"/>
        </w:rPr>
        <w:cr/>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claim should be certified as a class action for settlement purposes;</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whether the settlement agreement ought to be approved as fair and reasonable; and,</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class counsel fees ought to be approved as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Proposed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terms of the proposed settlement are fully detailed in the settlement agreement (the "agreement") and the exhibits. The principal terms of the agreement include the following:</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"settlement class" is defined as: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all those persons whose specimens were tested for disease [Gonorrhea or Chlamydia or both] through the use of the device during the testing period [between October 1, 2000 and July 30, 2003] and all persons with whom they had sexual contact with following the receipt of the results of those tests including, without limitation, Subclass FP [False Positive], Subclass FN [False Negative], Subclass RT [Re-testing], and Subclass SC [Sexual Contact].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will pay compensation to class members who meet the eligibility criteria set out in the agreement. For that purpose, a settlement fund will be established in the amount of one million Canadian dollars.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qualified member of Subclass RT will be entitled to receive $400.00. This amount is based on $350.00 as general damages for the discomfort of the re-testing procedure and $50.00 for special damages, averaged across the class. A qualified member of Subclass RT who is also a qualified member of Sublass FN, will be entitled to receive an additional $500.00.</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qualified member of Subclass FN will be entitled to receive $500.00. If an individual is a member of that class, he or she would likely have been re-tested, with a consequent delay in treatment. That delay may have resulted in significant harm, in which case, the individual may choose to opt out of the agreement. Qualified members of Subclass FN will receive an additional $75.00 to cover the cost of the physician's statement to be paid when their claim is paid.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qualified member of Subclass FP will be entitled to receive $500.00. An individual member of that class may have received medication which was unnecessary, but would not require re-testing. A qualified member of Subclass FP may not be a qualified member of any other subclass. Qualified members of Subclass FP will receive an additional $75.00 to cover the cost of the physician's statement to be paid when the claim is paid.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payments will be made to any individuals of Subclass SC. Instead, the defendant will pay $75,000.00 from the settlement fund to a charity.</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Crawford Class Action Services, a Division of Crawford Adjusters of Canada will be appointed Administrator of the settlement and will act as trustee of the settlement fund and will be responsible for the processing of claims and the distribution of settlement funds to eligible claimants pursuant to the agreement and exhibits.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providing notice to potential claimants and the costs of the administration of the agreement will be paid by the defendant. The administrative fee has been fixed at $79,876.31 plus GST.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allowance of $4,400 has been left in the settlement fund to pay for certain administrative charges and legal fees of the Interior Health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the class action be certified for settlement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action must be certified as a class proceeding in order for the settlement agreement to be approved. Section 4(1) of the CPA sets out the requirements for certification.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must certify a proceeding as a class proceeding on an application under section 2 or 3 if all of the following requirements are met: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submits that all of the requirements for class certification have been met. The defendant consents to class certification for settlement purposes only. As stated, if settlement approval is not granted, the defendant retains its right to dispute class certification and the litigation will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 argues that the proposed class proceeding involves a product liability allegation, which has frequently been certified by Canadian courts both for settlement purposes and on a contested basis: Ontario New Home Warranty Program v. Chevron </w:t>
      </w:r>
      <w:hyperlink r:id="rId572" w:history="1">
        <w:r>
          <w:rPr>
            <w:rFonts w:ascii="arial" w:eastAsia="arial" w:hAnsi="arial" w:cs="arial"/>
            <w:i/>
            <w:color w:val="0077CC"/>
            <w:sz w:val="20"/>
            <w:u w:val="single"/>
            <w:shd w:val="clear" w:color="auto" w:fill="FFFFFF"/>
            <w:lang w:val="en-US" w:eastAsia="en-US" w:bidi="ar-SA"/>
          </w:rPr>
          <w:t>(1999), 37 C.P.C. (4th) 175</w:t>
        </w:r>
      </w:hyperlink>
      <w:r>
        <w:rPr>
          <w:rFonts w:ascii="arial" w:eastAsia="arial" w:hAnsi="arial" w:cs="arial"/>
          <w:color w:val="000000"/>
          <w:sz w:val="20"/>
          <w:lang w:val="en-US" w:eastAsia="en-US" w:bidi="ar-SA"/>
        </w:rPr>
        <w:t xml:space="preserve"> ; Bouchanskaia v. Bayer Inc., </w:t>
      </w:r>
      <w:hyperlink r:id="rId573" w:history="1">
        <w:r>
          <w:rPr>
            <w:rFonts w:ascii="arial" w:eastAsia="arial" w:hAnsi="arial" w:cs="arial"/>
            <w:i/>
            <w:color w:val="0077CC"/>
            <w:sz w:val="20"/>
            <w:u w:val="single"/>
            <w:shd w:val="clear" w:color="auto" w:fill="FFFFFF"/>
            <w:lang w:val="en-US" w:eastAsia="en-US" w:bidi="ar-SA"/>
          </w:rPr>
          <w:t>[2003] B.C.J. No. 1969</w:t>
        </w:r>
      </w:hyperlink>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2003 BCSC 1306</w:t>
        </w:r>
      </w:hyperlink>
      <w:r>
        <w:rPr>
          <w:rFonts w:ascii="arial" w:eastAsia="arial" w:hAnsi="arial" w:cs="arial"/>
          <w:color w:val="000000"/>
          <w:sz w:val="20"/>
          <w:lang w:val="en-US" w:eastAsia="en-US" w:bidi="ar-SA"/>
        </w:rPr>
        <w:t xml:space="preserve">; Reid v. Ford Motor Co., </w:t>
      </w:r>
      <w:hyperlink r:id="rId574" w:history="1">
        <w:r>
          <w:rPr>
            <w:rFonts w:ascii="arial" w:eastAsia="arial" w:hAnsi="arial" w:cs="arial"/>
            <w:i/>
            <w:color w:val="0077CC"/>
            <w:sz w:val="20"/>
            <w:u w:val="single"/>
            <w:shd w:val="clear" w:color="auto" w:fill="FFFFFF"/>
            <w:lang w:val="en-US" w:eastAsia="en-US" w:bidi="ar-SA"/>
          </w:rPr>
          <w:t>[2003] B.C.J. No. 2489</w:t>
        </w:r>
      </w:hyperlink>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2003 BCSC 1632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pleadings disclose a cause of action arising out of the defendant's allegedly negligent manufacturing of the device. There is an identifiable class defined in the agreement as the "Settlement Class" consisting of 1,242 persons who received unreliable results, and a group of approximately 94 persons who received false results. The common issue is whether the defendant owed a duty of care to the plaintiff class. A class proceeding is the preferable procedure considering the small quantum involved in the individual claims. I agree that access to justice, in the absence of the settlement, would likely be frustrated due to this feature in the claim. Finally, there is no suggestion by any party, that the representative plaintiff is not appropriate. I am therefore satisfied that the plaintiff's action meets the requirements for certification under s. 4(1) of the 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the settlement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Settlement approval is required under s. 35 of the CPA, to ensure that the rights of absent class members are protected, given that they are not a party to the agreement. Section 35 provides: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may be settled, discontinued or abandoned only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approval of the court,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terms the court considers appropriate.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settlement may be concluded in relation to the common issues affecting a subclass only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approval of the court,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terms the court considers appropriate.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settlement under this section is not binding unless approved by the court.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settlement of a class proceeding or of common issues affecting a subclass that is approved by the court binds every member of the class or subclass who has not opted out of the class proceeding, but only to the extent provided by the court.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dismissing a class proceeding or in approving a settlement, discontinuance or abandonment, the court must consider whether notice should be given under section 20 and whether the notice should include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 of the conduct of the proceeding,</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statement of the result of the proceeding, and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description of any plan for distributing any settlement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test for approval is whether the settlement is fair and reasonable and in the best interests of the class as a whole (Dabbs v. Sun Life Assurance Co. of Canada, </w:t>
      </w:r>
      <w:hyperlink r:id="rId575" w:history="1">
        <w:r>
          <w:rPr>
            <w:rFonts w:ascii="arial" w:eastAsia="arial" w:hAnsi="arial" w:cs="arial"/>
            <w:i/>
            <w:color w:val="0077CC"/>
            <w:sz w:val="20"/>
            <w:u w:val="single"/>
            <w:shd w:val="clear" w:color="auto" w:fill="FFFFFF"/>
            <w:lang w:val="en-US" w:eastAsia="en-US" w:bidi="ar-SA"/>
          </w:rPr>
          <w:t>(1998) 40 O.R. (3d) 429</w:t>
        </w:r>
      </w:hyperlink>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5 C.C.L.I. (3d) 18</w:t>
        </w:r>
      </w:hyperlink>
      <w:r>
        <w:rPr>
          <w:rFonts w:ascii="arial" w:eastAsia="arial" w:hAnsi="arial" w:cs="arial"/>
          <w:color w:val="000000"/>
          <w:sz w:val="20"/>
          <w:lang w:val="en-US" w:eastAsia="en-US" w:bidi="ar-SA"/>
        </w:rPr>
        <w:t xml:space="preserve"> (Gen. Div.) at para. 9; Haney Iron Works Ltd. v. Manulife Financial, </w:t>
      </w:r>
      <w:hyperlink r:id="rId576" w:history="1">
        <w:r>
          <w:rPr>
            <w:rFonts w:ascii="arial" w:eastAsia="arial" w:hAnsi="arial" w:cs="arial"/>
            <w:i/>
            <w:color w:val="0077CC"/>
            <w:sz w:val="20"/>
            <w:u w:val="single"/>
            <w:shd w:val="clear" w:color="auto" w:fill="FFFFFF"/>
            <w:lang w:val="en-US" w:eastAsia="en-US" w:bidi="ar-SA"/>
          </w:rPr>
          <w:t>(1998) 169 D.L.R. (4th) 565</w:t>
        </w:r>
      </w:hyperlink>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9 C.C.L.I. (3d) 253</w:t>
        </w:r>
      </w:hyperlink>
      <w:r>
        <w:rPr>
          <w:rFonts w:ascii="arial" w:eastAsia="arial" w:hAnsi="arial" w:cs="arial"/>
          <w:color w:val="000000"/>
          <w:sz w:val="20"/>
          <w:lang w:val="en-US" w:eastAsia="en-US" w:bidi="ar-SA"/>
        </w:rPr>
        <w:t xml:space="preserve"> (S.C.) at para. 27; Fakhri v. Alfalfa's Canada, </w:t>
      </w:r>
      <w:hyperlink r:id="rId577" w:history="1">
        <w:r>
          <w:rPr>
            <w:rFonts w:ascii="arial" w:eastAsia="arial" w:hAnsi="arial" w:cs="arial"/>
            <w:i/>
            <w:color w:val="0077CC"/>
            <w:sz w:val="20"/>
            <w:u w:val="single"/>
            <w:shd w:val="clear" w:color="auto" w:fill="FFFFFF"/>
            <w:lang w:val="en-US" w:eastAsia="en-US" w:bidi="ar-SA"/>
          </w:rPr>
          <w:t>[2005] B.C.J. No. 1723</w:t>
        </w:r>
      </w:hyperlink>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2005 BCSC 1123</w:t>
        </w:r>
      </w:hyperlink>
      <w:r>
        <w:rPr>
          <w:rFonts w:ascii="arial" w:eastAsia="arial" w:hAnsi="arial" w:cs="arial"/>
          <w:color w:val="000000"/>
          <w:sz w:val="20"/>
          <w:lang w:val="en-US" w:eastAsia="en-US" w:bidi="ar-SA"/>
        </w:rPr>
        <w:t>, at para. 8). The court has the power to approve or reject a settlement, but may not modify or alter a settlement (Haney Iron Works, supra at para. 22; Dabbs, supra at para. 10). The settlement is judged by a standard of reasonableness, not perfection (Haney Iron Works, supra at para. 22; Dabbs, supra; Fakhri, supra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courts have considered various factors in making such a determination. Such factors are referred to in Fakhri, supra at para. 8, as: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likelihood of recovery, or the likelihood of success;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and nature of discovery evidence;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settlement terms and conditions;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recommendations and experience of counsel;</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expense and likely duration of litigation;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recommendations of neutral parties, if any;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number of objectors and nature of objections;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presence of good faith and absence of collusion;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degree and nature of communications by counsel and the representative plaintiffs with class members during litigation;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conveying to the court the dynamics of, and the positions taken by the parties during the negotiation.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These factors are meant to guide the court's determination of what is fair and reasonable. Some may be attributed greater significance, while others may be disregarded or amalgamated depending on the nature of the facts in each case (Parsons v. Canadian Red Cross Society </w:t>
      </w:r>
      <w:hyperlink r:id="rId578" w:history="1">
        <w:r>
          <w:rPr>
            <w:rFonts w:ascii="arial" w:eastAsia="arial" w:hAnsi="arial" w:cs="arial"/>
            <w:i/>
            <w:color w:val="0077CC"/>
            <w:sz w:val="20"/>
            <w:u w:val="single"/>
            <w:shd w:val="clear" w:color="auto" w:fill="FFFFFF"/>
            <w:lang w:val="en-US" w:eastAsia="en-US" w:bidi="ar-SA"/>
          </w:rPr>
          <w:t>(1999), 40 C.P.C. (4th) 151</w:t>
        </w:r>
      </w:hyperlink>
      <w:r>
        <w:rPr>
          <w:rFonts w:ascii="arial" w:eastAsia="arial" w:hAnsi="arial" w:cs="arial"/>
          <w:color w:val="000000"/>
          <w:sz w:val="20"/>
          <w:lang w:val="en-US" w:eastAsia="en-US" w:bidi="ar-SA"/>
        </w:rPr>
        <w:t>; at para.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applying the above factors to the present case, I am satisfied that the settlement agreement is fair and reasonable. I accept the parties' submission that the potential litigation involves significant risks for the class members. Specifically, the uncertainties regarding the factual and legal issue of causation and intervening cause must be considered, as well as the risks and costs inherent in pursuing the litigation to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settlement value was arrived at, in part, by assessing the likely value of the individual claims and by taking into account the challenges of causation and proof which would attach if the claims were pursued in the ordinary way. Compromises were made in the interests of a global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Moreover, an individual who considers that she or he can prove a claim for damages in an amount exceeding the compensation provided to members of the same class in the settlement agreement has the right to "opt out" of the settlement. For example, a member of the Subclass FN (False Negative), may have suffered significant harm as a result of delayed treatment. That individual can opt out of the agreement and pursue an individual claim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are no known objectors to the agreement and it is supported and recommended by counsel for both parties, who themselves do not have any conflict of interest. I am also satisfied that the amount and nature of discovery and investigation was sufficient to warrant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Are the class counsel fees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Section 38 of the CPA requires approval for class counsel fees. Section 38 provides in part:</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respecting fees and disbursements between a solicitor and a representative plaintiff must be in writing and must</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the terms under which fees and disbursements are to be paid,</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an estimate of the expected fee, whether or not that fee is contingent on success in the class proceeding, and</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the method by which payment is to be made, whether by lump sum or otherwise.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respecting fees and disbursements between a solicitor and a representative plaintiff is not enforceable unless approved by the court, on the application of the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purpose of the approval by the court is to ensure that the fee charged to the class is fair and reasonable, and that the class counsel is appropriately compensated since class action litigation can be challenging and risky (Fakhri, supra at paras. 16-17).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assessing the reasonableness of fees, courts have examined various factors (see Fischer v. Delgratia Mining Corp., </w:t>
      </w:r>
      <w:hyperlink r:id="rId579" w:history="1">
        <w:r>
          <w:rPr>
            <w:rFonts w:ascii="arial" w:eastAsia="arial" w:hAnsi="arial" w:cs="arial"/>
            <w:i/>
            <w:color w:val="0077CC"/>
            <w:sz w:val="20"/>
            <w:u w:val="single"/>
            <w:shd w:val="clear" w:color="auto" w:fill="FFFFFF"/>
            <w:lang w:val="en-US" w:eastAsia="en-US" w:bidi="ar-SA"/>
          </w:rPr>
          <w:t>[1999] B.C.J. No. 3149</w:t>
        </w:r>
      </w:hyperlink>
      <w:r>
        <w:rPr>
          <w:rFonts w:ascii="arial" w:eastAsia="arial" w:hAnsi="arial" w:cs="arial"/>
          <w:color w:val="000000"/>
          <w:sz w:val="20"/>
          <w:lang w:val="en-US" w:eastAsia="en-US" w:bidi="ar-SA"/>
        </w:rPr>
        <w:t xml:space="preserve"> at para. 22). These include:</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results achieved;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risks undertaken;</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expended;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matter;</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responsibility assumed by counsel;</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matter to the client;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quality and skill of counsel;</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of the class to pay;</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client and the class' expectation; and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fees in similar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this case, the class counsel fees have been calculated as $271,399.50, which constitutes just under 24% of the total settlement fund. In applying the above factors to this amount, I am satisfied that it is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results achieved are considered an appropriate and efficient result for the class. As stated, there have been considerable risks in pursuing the litigation to completion. The time expended was appropriate to the circumstances and there is additional work yet to be done, which is estimated to take a minimum of 30 additional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complexity of the matter is significant in that it involved a careful analysis of the underlying facts regarding the need for re-testing and the likelihood and implications of false results. Counsel undertook substantial responsibility with an uncertain outcome under a contingency retainer. The result achieved also reflects the high importance to the client. Both counsel are recognized as having experience in the class action and product liability areas. Finally, this case fits within the existing spectrum of cases awarding similar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basis of the above, and on the basis of the parties' joint submission, I approve of the proposed class counsel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the first issue, the plaintiff class is certified in accordance with the proposed parameters. On the second issue, the agreement is approved on the basis that it is fair and reasonable and in the best interests of the class members. Finally, on the third issue, the proposed class counsel fee in the amount of $271,399.50 is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GROPPER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December 8,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On page 6, paragraph 13, the neutral citation number for Bouchanskaia v. Bayer Inc. should read: </w:t>
      </w:r>
      <w:hyperlink r:id="rId573" w:history="1">
        <w:r>
          <w:rPr>
            <w:rFonts w:ascii="arial" w:eastAsia="arial" w:hAnsi="arial" w:cs="arial"/>
            <w:i/>
            <w:color w:val="0077CC"/>
            <w:sz w:val="20"/>
            <w:u w:val="single"/>
            <w:shd w:val="clear" w:color="auto" w:fill="FFFFFF"/>
            <w:lang w:val="en-US" w:eastAsia="en-US" w:bidi="ar-SA"/>
          </w:rPr>
          <w:t>2003 BCSC 1306</w:t>
        </w:r>
      </w:hyperlink>
      <w:r>
        <w:rPr>
          <w:rFonts w:ascii="arial" w:eastAsia="arial" w:hAnsi="arial" w:cs="arial"/>
          <w:color w:val="000000"/>
          <w:sz w:val="20"/>
          <w:lang w:val="en-US" w:eastAsia="en-US" w:bidi="ar-SA"/>
        </w:rPr>
        <w:t xml:space="preserve"> instead of </w:t>
      </w:r>
      <w:hyperlink r:id="rId580" w:history="1">
        <w:r>
          <w:rPr>
            <w:rFonts w:ascii="arial" w:eastAsia="arial" w:hAnsi="arial" w:cs="arial"/>
            <w:i/>
            <w:color w:val="0077CC"/>
            <w:sz w:val="20"/>
            <w:u w:val="single"/>
            <w:shd w:val="clear" w:color="auto" w:fill="FFFFFF"/>
            <w:lang w:val="en-US" w:eastAsia="en-US" w:bidi="ar-SA"/>
          </w:rPr>
          <w:t>2002 BCSC 1306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8"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Clark v. Royal Oak Holdings Ltd., [2003] B.C.J. No. 468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Campbell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Taylor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22 - 26 and July 2 - 4,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Campbell River Registry No. S4138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468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2003 BCSC 275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122 A.C.W.S. (3d) 799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Maria Luisa Clark, plaintiff, and Royal Oak Holdings Ltd. and Mustang Maintenance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9"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2" w:name="Keywords_30"/>
      <w:bookmarkEnd w:id="202"/>
      <w:r>
        <w:rPr>
          <w:rFonts w:ascii="arial" w:eastAsia="arial" w:hAnsi="arial" w:cs="arial"/>
          <w:b/>
          <w:color w:val="000000"/>
          <w:sz w:val="20"/>
          <w:lang w:val="en-US" w:eastAsia="en-US" w:bidi="ar-SA"/>
        </w:rPr>
        <w:t xml:space="preserve">Torts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particular occupiers — Shopping malls — Invitees, standard of care of occupiers — Warning or knowledge of danger — Special damages — Loss of wages — Medical and hospital — General damages — General damages for personal injury — Pain and suffering, loss of amenities and other nonpecuniary damages — Impairment of earning capacity — Future care and treatment — Damage awards — Injury and death — Head injuries — Brain damage — Headaches.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3" w:name="Case Summary_24"/>
            <w:bookmarkEnd w:id="2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Clark for damages for personal injuries resulting from a slip and fall at a mall. Clark worked at her husband's food kiosk at the mall. In July 1998, one evening after the mall was closed to the public, Clark and her husband were walking in a mall corridor to attend a merchant's meeting. Clark saw an employee of the defendant, Mustang Maintenance, ahead of her, but did not see a mop in his hand and did not notice that the floor tile was wet. She was wearing rubber soled running shoes. She slipped and fell on the tile and struck her head. The employee had mopped that area of floor just before the fall. Although the mall owned yellow warning signs to alert patrons to wet floors, they were not being used. The mop bucket had the word "caution" on its side. Expert evidence from both parties was fairly consistent that the tile would have been slippery. Clark testified that during the month following the fall, she suffered from a constant severe headache. The headache reduced in intensity but remained as a constant dull ache which she described as a six out of 10, and she began to experience 10 to 15 severe sharp headaches per day. She missed approximately one month of work after the fall and returned for an undefined period of part-time work. She returned to full-time work by the end of September 1998. Her husband had an unrelated accident that rendered him a quadriplegic in July 2001. The kiosk closed for economic reasons at the end of 2001. Clark had trained as a dentist in the Philippines, but was never certified as a dentist. She came to Canada in 1990 to work as a domestic helper. At the time of trial, she stated that she had hoped before her accident to work as a dental hygienist or assistant. However, she had made only one inquiry about training to qualify as a dental assistant, and suffered from hepatitis B, which would have disqualified her from that type of employment. Medical evidence indicated that Clark used codeine to deal with the headaches, that the headaches were permanent, and that she had suffered some loss of intellectual functioning. She sought non-pecuniary damages, special damages, future care costs, and damages for loss of past and future earning capacity. Royal Oak argued that Clark's failure to keep the shoes she was wearing at the time of the fall was spoliation, and that grease from the kiosk floor on her shoes contributed to the fall.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4" w:name="Holdings of Court_20"/>
            <w:bookmarkEnd w:id="20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Clark slipped because of the wet floor. There was nothing about her footwear that could have been said to contribute to the fall. Clark's explanation for disposing of the shoes was credible and did not constitute spoliation. In any event, Royal Oak made no request for or effort to obtain similar shoes for testing. Royal Oak and Mustang failed in their duty to take reasonable steps to inform Clark of the risk that existed while the floors were being washed. The fall caused her injuries, including her cognitive difficulties, although her depression was exacerbated by her husband's injury. Her health was unlikely to improve. Non-pecuniary damages were assessed at $85,000. Special damages of $1,500 for medication, user fees and travel for treatments were awarded. $100 per year each for medication and travel was allowed for future care, with a present value of $3,900. Clark received $3,200 for eight weeks of lost wages. She had no real intention of working in the dental field. However, her brain injury would affect her ability to learn and develop beyond the skills she had as a nanny and a cook. She was awarded $65,000 for loss of future earning capacity.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5" w:name="Legislation Cited_25"/>
      <w:bookmarkEnd w:id="2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0"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589" w:history="1">
        <w:r>
          <w:rPr>
            <w:rFonts w:ascii="arial" w:eastAsia="arial" w:hAnsi="arial" w:cs="arial"/>
            <w:i/>
            <w:color w:val="0077CC"/>
            <w:sz w:val="20"/>
            <w:u w:val="single"/>
            <w:shd w:val="clear" w:color="auto" w:fill="FFFFFF"/>
            <w:lang w:val="en-US" w:eastAsia="en-US" w:bidi="ar-SA"/>
          </w:rPr>
          <w:t>R.S.B.C. 1996, c. 237, s. 3</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6" w:name="Counsel_30"/>
      <w:bookmarkEnd w:id="20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1"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H.D. Giesbrecht, for the plaintiff. K. Klear,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7" w:name="Judgment_30"/>
      <w:bookmarkEnd w:id="207"/>
      <w:r>
        <w:pict>
          <v:line id="_x0000_s1182" style="position:absolute;z-index:2518435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8" w:name="TAYLOR J."/>
            <w:bookmarkEnd w:id="208"/>
            <w:r>
              <w:rPr>
                <w:rFonts w:ascii="arial" w:eastAsia="arial" w:hAnsi="arial" w:cs="arial"/>
                <w:b/>
                <w:color w:val="000000"/>
                <w:sz w:val="30"/>
                <w:lang w:val="en-US" w:eastAsia="en-US" w:bidi="ar-SA"/>
              </w:rPr>
              <w:t>TAYLOR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slip and fall case. The plaintiff is said to have fallen in the Ironwood Mall (the "Mall") in Campbell River on July 29, 1998, and suffered injury as a consequence. The defendant contests liability and denies that the plaintiff suffered injury as a consequence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Royal Oak Holdings Ltd. ("Royal Oak") is the owner of the Mall. Mustang Maintenance Inc. (Mustang) is the maintenance contractor for the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area of the fall was in an access corridor that leads from the outside of the Mall to the central corridor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Ms. Clark, was 45 years of age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studied to obtain a degree in dentistry. The transcripts of her academic achievements in this area are at Exhibit 3, tabs 10 and 11. The transcripts indicate a less than rigorous approach to those studies. She often had to repeat courses and, after approximately nine years, she completed her studies but never qualified as a dentist.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asked about her studies the plaintiff's response was that she did not pay attention, did not try her best, and that she was a "spoiled"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Following the completion of her dental studies, the plaintiff worked in her siblings' office in the Philippines where she did "a general practice" under the supervision of a qualified dentist. She continued doing this for four years before coming to Canada in February 1990 to work as a domestic helper.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course of working as a dentist she became infected with Hepatitis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Following her arrival in Canada, the plaintiff worked as a nanny for approximately one year in Toronto and then moved to the Campbell River area where she continued similar work for another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met her future husband in January 1994, became a Canadian citizen in 1996, and was married in November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has an 18 year old daughter from a previous relationship in the Philippines who joined her here in Canada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1997 the plaintiff worked briefly, earning some $2,979.00. For the balance of the year, she received social assistance in the amount of $8,082.00.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Since the completion of her studies in 1986, the plaintiff has not taken any steps to qualify as a dentist even though she professes a continuing desire to work in the dental field. She testified to her hope to be a dental assistant but she has not purposely pursued that. Sometime between 1992 and 1994, the plaintiff enrolled in an open learning program at a community college for dental assistants but she did not complete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Prior to her husband purchasing a fast food kiosk (the "kiosk") in the Mall in 1997, the plaintiff recalled inquiring at Malaspina College about a dental assistant's course but she did not pursue this further. She could not remember if she ever obtained application forms for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it turns out, because of her Hepatitis B the plaintiff cannot be a dental hygienist or assistant even though the disease is not currently causing her problems and is considered inactive.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During her cross-examination at trial the plaintiff testified as follows:</w:t>
      </w:r>
      <w:r>
        <w:rPr>
          <w:rFonts w:ascii="arial" w:eastAsia="arial" w:hAnsi="arial" w:cs="arial"/>
          <w:sz w:val="20"/>
          <w:lang w:val="en-US" w:eastAsia="en-US" w:bidi="ar-SA"/>
        </w:rPr>
        <w:cr/>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Clark you have hepatitis B?</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I did.</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understand that that is a contagious blood transmitted disease?</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you know if you can be a dental hygienist or dental assistant with hepatitis B?</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I can't but my . . . hepatitis B that I acquired is no longer active.</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still carry - the hepatitis B disease? You're still a carrier aren't you?</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December 1997, the plaintiff's husband purchased the kiosk in the food fair area of the Mall. That business did not fair well because of the decline in business in the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role in the kiosk involved food preparation, cooking, cleaning and customer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testified that, due to a back injury arising from a motor vehicle accident, her husband did not always work a full day as she did. It was the plaintiff's evidence that he primarily attended to the management functions. The plaintiff's husband, however, testified that he worked full-time in the kiosk.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accept the husband's estimate of the amount of time he worked in the restaurant as more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was employed by her husband and, in essence, worked for wages. She was paid a flat wage of $800.00 every two weeks until March of 2001 when her pay was increased to $880.00.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Cooking in the kiosk involved two deep fat fryers that used vegetable oil. From time to time spillage caused the floor to become greasy or slippery. The plaintiff testified that when such spills occurred she or her husband would wipe up the spilled or splashed oil with either a dry or wet rag or paper towels. She testified also that there were periods of time when the drains became plugged causing cooking oil to spread on the floor and that a repairman had to come to free up the drains.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husband also testified that whenever a spill of food or cooking oil occurred it would be cleaned.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wore runners to work. She described these as being flat soled Nike runners. At trial she no longer had the pair of runners that she was wearing on July 29, 1998. She testified that she had acquired those runners in December of 1997 and had used them up to and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testified, and I accept, that she had never had a slippage problem with these runners before. She testified at her examination for discovery on February 26, 2001, that she believed at that time that she still had the runners. Following the examination for discovery, however, the plaintiff looked but could not find them. She believed that she must have discarded them when she moved to a new home in August of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She testified that in the four years since the accident she has gone through three or four pairs of runners, always purchasing the same make. She was not questioned as to the style of the runner in question or those she had purchased following the accident. The evidence is only that they were flat rubber soled Nike runners.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husband testified that the plaintiff would not change her shoes when she left work. He had never observed her to have any difficulty with her footwear whilst working or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said that it was their practice to clean the floor area of the restaurant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Clark testified that he had not seen the floors of the Mall being cleaned during the daytime and it was his experience that such cleaning occurred at night when the Mall was closed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month or so following the purchase of the kiosk, Beth Hall worked in the kiosk with the plaintiff and her husband. Ms. Hall testified that in that month, she found that the floors were kept clean and that spills were cleaned when they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testified that she worked between 40 to 50 hours per week and seven days a week. Her husband said that she worked approximately 40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Her tax returns for the years which the restaurant operated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568"/>
        <w:gridCol w:w="773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1998</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$21,160</w:t>
            </w:r>
          </w:p>
        </w:tc>
        <w:tc>
          <w:tcPr>
            <w:tcW w:w="757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1999</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22,880</w:t>
            </w:r>
          </w:p>
        </w:tc>
        <w:tc>
          <w:tcPr>
            <w:tcW w:w="757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22,880</w:t>
            </w:r>
          </w:p>
        </w:tc>
        <w:tc>
          <w:tcPr>
            <w:tcW w:w="757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December 31, 2001, the kiosk closed and it has not reopened. Although the plaintiff testified as to various reasons for this, I am satisfied that the fundamental reason was that the business at the Mall had declined to such an extent that it was no longer viable for the plaintiff and her husband to continue to operate the kiosk.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Prior to July 29, 1998, the plaintiff's health was good. She did not suffer from headaches, nausea or dizziness and her ability to memorize and concentrate was unimpaired. The plaintiff had not suffered previous or subsequent accidents or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July 29, 1998, the plaintiff and her husband had worked together. They had closed for business at approximately 4 p.m. and thereafter they had done some preparation for the following day's work, as well as cleaning. That evening at 6 p.m. there was to be a meeting of the Mall merchants. The plaintiff and her husband planned to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meeting was to be held in the main corridor of the Mall. The kiosk was located in the side corridor that is at a right angle to the main one. This second corridor is tiled, with the tiling changing as one moves from the outside doors, passing through the eating area and towards the main corridor. There are three different types of tile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testified that she was familiar with warning signs that are used when a floor was being washed. She saw none that day. It is not suggested by the defendant that any were set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testified to seeing such signs being used subsequent to July 29, 1998 when floor areas were being washed in the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testified that as she was walking with her husband towards the meeting she saw Mustang's maintenance man, Thomas Saunderson, ahead of her but she did not see a mop in his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testified that she did not notice if the tiles were wet or dry. Her attention was not drawn to them. She slipped and fell in the area of tiling closest to the main corridor. She testified that she did not know how she happened to fall, nor did she notice that the floor was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fell on her left side and immediately was aware of head pain, dizziness and nausea. Her glasses broke in the fall. Two days later, she observed bruising to her left arm, face and thigh.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her examination for discovery the plaintiff was asked if it was possible that she had stumbled and fallen, to which she initially replied "yes" and then later, "I don't know." At trial she denied that she had stumbled.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husband said that as he approached the end of the side corridor, where it joins the main one, he saw someone mopping the floor and estimated that that person was about 60 feet from where the plaintiff fell. He questioned that person whom I am satisfied was Mr. Saunderson as to why there was no warning signs and said that the response he received was that the person did not have to or need to put them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husband said that as they walked towards the area where the meeting was to be held, they crossed the tile area in the corridor. The plaintiff, who was beside and just slightly behind her husband, then slipped and fell. He indicated on a photograph the area of this fall as being that of the third set of tiles as one walks from the outside towards the internal corridor of the Mall. He said he did not see her hit the floor but heard a clunk which he believed was from her head hitting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was on the ground for about 30 seconds when her husband helped her up and into a chair. He then went on to where the meeting was to be held to inform those present of what had happened and that he and his wife would not be attending the meeting. As he crossed the rest of the tile area towards the main corridor he observed that the tiles were slippery and wet. He said that there were no warning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husband said that immediately following the fall, the plaintiff was stunned and because she did not immediately respond to his inquiries he thought that she might have lost consciousness briefly. The plaintiff herself did not suggest that she had at any time lost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husband then took her to hospital where, amongst other things, he observed the emergency room staff slapping the plaintiff to wake her up. According to the records of the emergency ward, the plaintiff was assessed on a Glasgow Coma Scale with results of 13 out of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was taken home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During the first month following the fall, the plaintiff said she had a dull constant pain in her head, which she described as "a ten out of ten." She said that this headache thereafter reduced itself in intensity to about a six out of ten, where it has remained ever since. Additionally, she said that there was another form of headache that superimposed itself upon the first. This, she testified, was a sharp pain that would occur up to 20 times a day in the months following the accident, and to the present continues at a frequency of about 10 to 15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Since the fall, the plaintiff said that the short sharp pain has declined in duration from approximately 10 to 20 seconds in length to 1 to 2 seconds. She subjectively assessed this type of pain as having a current intensity of "6 to 8 out of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Codeine medication was prescribed as a pain killer and was taken on an 'as necessary' basis. She said that the codeine dulls the pain of both types of headaches but that it never "makes the headaches go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said that during the first month, she had blurred vision in her left eye three or four times a week and that this malady still occurs, though very infrequently, perhaps once a month at the most. As well, immediately following the accident and at the hospital she described feeling nauseous. This sensation was not of any long-lasting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Before the accident, the plaintiff did not do much housework. Such work was done by her husband and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month after the fall, the plaintiff's husband asked the previous owner to assist in the kiosk, this he did at no cost to the plaintiff's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did not work for approximately one month following the fall. During this period, however, her husband continued to pay her salary. She testified in her examination for discovery that she missed three full weeks of work, while at trial, her estimate was 30 to 40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Following her return to work there was an undefined period during which the plaintiff worked part-time but she had returned to full-time work by the end of September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are no records of her time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husband could not recall how long the part-time period lasted.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estimated that she has missed somewhere between 20 to 50 days of work as a consequence of her fall. It is not clear from the evidence whether that is a direct consequence of the fall, or a consequence of having to attend for medical treatments and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testified that she has a problem putting words together. This was not evident in her testimony. She complained that her ability to concentrate has been affected and that she has difficulty sleeping approximately five times a month. She says that she believes she has become an irritable person as a result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After the first month, the plaintiff's husband observed the plaintiff to have steady headaches, the consequence of which, he observed, was that the plaintiff was easily frustrated in her work and took longer to do things. He described that when she worked "everything was a little slower."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 also said that her memory seems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husband said that their sexual relationship suffered and that initially he could not even touch the plaintiff. By the end of 1998 this problem had been resolved. His main enduring observation about the plaintiff is that it seemed to take her longer to do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July 19, 2001, the plaintiff's husband was rendered a quadriplegic when he fell off his deck at home, severing his spinal column.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After the plaintiff's husband's injury, the plaintiff continued to operate the kiosk with some hired assistance. By January 1, 2002, she had closed the restaurant down. The plaintiff and her husband testified that the main reason for its closure was the drop of business in the Mall which left few stores remaining open to attract customers. Although the plaintiff alluded to the combination of her injuries and her husband's medical condition after July 2001 as contributing factors, I am satisfied that the plaintiff, having run the kiosk for some five months, was capable of continuing to do so. I find that the kiosk closed solely for economic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plaintiff's husband testified that his own injuries have had a negative effect upon the plaintiff and that she was under more stress following his accident than before. He also said that in the period of time up to his deposition, which was taken on March 28, 2002, he viewed the plaintiff as having improved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Hoehn, the owner of Mustang, testified that after July 29, 1998, but before the plaintiff's husband's injuries in July 2001, she would from time to time, go into the kiosk's cooking area and observe bits of food on the floor. She did not describe the floors as being particularly slippery. She said that after the plaintiff's husband's injuries in July of 2001, she and Mr. Saunderson cleaned the walls and ceilings in the kiosk. She said at that time she could not see oil on the floor but said that she could feel it as she walked.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Saunderson worked part-time for Mustang prior to July 29, 1998. Thereafter he was a full-time employee. A part of Mrs. Hoehn's instructions to Mr. Saunderson was that he was not to wash the floors while people were in the Mall and he was not to let people walk on any washed areas. She was aware of the merchants' meeting at 6:00 p.m. on July 29,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Saunderson washed the floors of the Mall near the kiosk at approximately 6:00 p.m. on July 29, 1998. While cleaning the floor, he moved from the outer area of the corridor to closer to the center of the Mall. He used a mop and a bucket provided by Mustang.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He agreed that as he mopped he could see the moisture left on the floor. He testified that the floor tiles were shiny whether they were wet or dry but that he could tell when the floor was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was his view that as he moved backwards towards the main corridor area the floor was wet to approximately 5 feet from him but beyond that it was dry. He said that he saw no puddles on the floor. He also said that he had washed the area where the plaintiff fell within a minute or two before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Saunderson was aware that there was to be a merchants' meeting in the Mall at 6:00 p.m. Mr. Saunderson did not set out any of the yellow sandwich board warning signs that were in the possession of the defendant Mustang. He said that as he was washing the floors closer to the centre corridor he heard a thud and saw the plaintiff on the floor. He estimated that she was about 20 feet from him. He asked if she was alright, to which he said the plaintiff's husband responded "apparently not." Mr. Saunderson then left to report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Saunderson said that he had been in the kitchen area of the kiosk to do that but could not recall when. He said that on that occasion the floors appeared to him to be slippery.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Saunderson testified that he was not sure if the warning signs were available but then said that he would not disagree with Mrs. Hoehn's evidence that they were available for use. He did not put out any warning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Saunderson said he was in a better position than others to say if the floor was wet or dry from a visual inspection. He agreed that more moisture can be left on some tiles than others depending on how he would wring or pull the mop. He also said that those tiles just washed would be wetter than those he had washed 5 to 10 minutes before. He testified that had he seen the plaintiff in the area where she fell, he would have told her that the floor was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After the plaintiff's fall, Mr. Saunderson was instructed by Mrs. Hoehn to use the yellow warning signs. He said that he had never been told to use them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Saunderson did not know the recommended usage of the cleaning material "Neutra Power," as Mrs. Hoehn had only told him to "use a squirt in the bucket." He never saw a product information sheet. He said that he followed Mrs. Hoehn's instructions when preparing the washing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evidence of Mrs. Hoehn was that the solution called for a concentration of 1 to 128 parts of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called Sheldon Martin, a plumber, who had done plumbing repair work in the Mall and at the kiosk. He produced invoices for that work dated from October 27, 1998 through to August 19,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Martin's work involved the cleaning and repair of grease traps in the kiosk when they had plugged up causing oil spills. He testified that the kiosk was not very clean, that the floor had a "filmy coat" on it and that in his opinion, the floor was very slippery. He said 70% of the floor had this film, he did not say where that 70%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When he was doing repairs to the grease traps, he said he would lay down carpet. On one occasion, Mr. Saunderson, the janitor of the Mall, had assisted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Because of the late production of Mr. Martin's invoices, the plaintiff was recalled. She testified that in the period of Mr. Martin's work, it was her practice to leave the floors clean at the end of her working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Martin's work was done after the plaintiff's fall in July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also agreed that Mr. Martin had done work on the grease drains and that she had cleaned up after his work was completed. On one occasion, in May 1999, she said she complained to Mrs. Hoehn about the manner in which Mr. Martin had cleaned up, a complaint confirmed by Mrs. Hoehn.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 mop and a bucket were provided to Mr. Saunderson to wash floors. On the side of the bucket the word "caution" was printed. A photograph of that bucket can be found at Exhibit 3, Tab 5 and illustrates that the word "caution" is not clearly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sandwich board signs available but not used were bright yellow in color and had lettering on them that read "Caution" and "Wet Floor." A photograph of a sandwich board sign is seen in Exhibit 1, Tab 6, page 5. They are highly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Mrs. Hoehn said that the sandwich board warning signs only went up in the daytime when there had been a spill and that prior to the plaintiff's fall, it was not a "practice to use the signs after the Mall was closed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Since the plaintiff's fall, Mrs. Hoehn said the signs have been used all the time even when the Mall is closed to the public. She said the floor tiles in the area of the plaintiff's fall always look shiny and one could not tell whether they were wet or dry simply from looking at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defendant raised the doctrine of spoliation with regard to the plaintiff's discarding of her shoes. As observed by Finch J. (as he then was) in Dawes v. Jajcaj, </w:t>
      </w:r>
      <w:hyperlink r:id="rId184" w:history="1">
        <w:r>
          <w:rPr>
            <w:rFonts w:ascii="arial" w:eastAsia="arial" w:hAnsi="arial" w:cs="arial"/>
            <w:i/>
            <w:color w:val="0077CC"/>
            <w:sz w:val="20"/>
            <w:u w:val="single"/>
            <w:shd w:val="clear" w:color="auto" w:fill="FFFFFF"/>
            <w:lang w:val="en-US" w:eastAsia="en-US" w:bidi="ar-SA"/>
          </w:rPr>
          <w:t>[1999] B.C.J. No. 845</w:t>
        </w:r>
      </w:hyperlink>
      <w:r>
        <w:rPr>
          <w:rFonts w:ascii="arial" w:eastAsia="arial" w:hAnsi="arial" w:cs="arial"/>
          <w:color w:val="000000"/>
          <w:sz w:val="20"/>
          <w:lang w:val="en-US" w:eastAsia="en-US" w:bidi="ar-SA"/>
        </w:rPr>
        <w:t xml:space="preserve"> at para. 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present therefore the principle of spoliation remains simply an evidentiary presumption which can as the cases indicate be rebutted. There is no common-law duty of care to preserve property which may possibly be required for evidentiary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Here, the plaintiff testified, and I accept, that she continued to use the shoes that she was wearing on July 29, 1998, for a considerable period of time after that date, and in the course of changing residences they were discarded. She said that at the time of her examination for discovery she believed that she still had them, but after looking for them she could not locate them. She came to the conclusion that she must have discarded them sometime in August 2000 when she and her husband had moved into a new home. She agreed that she probably had the shoes at the time that the writ was issued in May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conclude on the basis of this evidence that the discarding of these shoes was not sinister in purpose and that the plaintiff has rebutted any presumption against her. I observe as well that the defendant could have asked for the specific make or model of these shoes but this was not done. Thus the only evidence is that they were flat rubber soled Nike running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and the defendants both tendered expert witnesses who prepared reports that expressed opinions on the slip resistance of the tiles where the plaintiff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Airton, on behalf of the plaintiff, opined that the plane of individual tiles in the area of the plaintiff's fall were not level, and because of this, water would tend to accumulate in the lower portion of the tiled plane.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Evans, on behalf of the defendant, agreed that the overall surface of the tiled area was not relatively uniform but opined that despite this water could not be trapped because of the way grout was used between the tiles. Pressed in cross-examination, he conceded that some moisture could collect, but given the overall grade of the floor, which he determined to be 1.3%, he still thought that the moisture would run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Evans did not testify to the rate at which water would dissipate along this grade. Common sense dictates that the run-off rate would be a function of the volume of moisture left after mopping had been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Evans also testified that the individual tiles were domed and that this would cause run-off towards the edges of the tiles. That on its own, however, does not assist in the consideration of the effect of individual tiles and the overall floor grade in terms of water 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accept Mr. Airton's opinion that even with mopping there would be a layer of moisture left behind even if the floor or individual tiles were flat. I also accept his evidence that in the area of the plaintiff's fall the individual tile surfaces were not all flat.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Airton conducted two forms of tests upon the floor area of the fall to determine the slip resistance of the tiles. He used a drag sled to test the co-efficient of friction which is the force necessary to keep an object in motion and the static co-efficient of friction which measures the force needed to cause an object to go from a still to a moving position. He tested the floor in a dry state and by using two levels of concentration, one of which was the 1 to 128 parts of the washing solution Neutra Power to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second test method used was with a slip test device called a Mark II Slip Test. While there was some criticism by Mr. Evans concerning the use of this device, I am satisfied on the basis of Mr. Airton's past experience with the device that it is reliable for the purpose he used it, that being to measure the slip resistance of tiled surfaces.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Airton's conclusion was that the tiles, under wet conditions using either the Neutra Power or a salt water solution, had an unacceptable level of slip resistance for footwear with soles made of other than leather.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As I have noted, the shoes worn by the plaintiff were not available for examination. There is no disagreement that the bottom of these shoes were made of rubber. Mr. Airton agreed that different compositions of rubber may have different co-effients of friction and that the rubber that he used in his tests may have been different from the plaintiff's runners. Mr. Airton also agreed in cross-examination that walking is a perpetual state of imbalance.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Evans agreed that his experience in slip and fall investigations was limited; he had more substantial experience in determining the co-effients of friction involved in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Evans, like Mr. Airton, attended upon the area of the fall. His testing, however, was more subjective in nature. He used his own foot to test slippage having moistened the tiles with bottled tap water. Mr. Evans said that he wore smooth rubber soled "airwalk"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 found that the different tiled areas between the outer entrance and the area of the fall were not "exceptionally slippery when doused with water." Mr. Evans conceded that some corners of the individual tiles were not at the same level, a concession that accorded with Mr. Airton's view that the tiles in the area of the fall were not all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Evans agreed that a number of flaws can arise in the kind of subjective testing he conducted, including:</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differences between himself and the plaintiff in terms of weight and gait;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lack of comparison between different footwear;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different moisture solutions.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addition to these factors, Mr. Evans said that despite his testing being conducted in what he described as different walking modes, the element of surprise was absent. As he frankly testified, he was concentrating on anticipating any potential slippage on a wet surface that he himself had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am of the view that Mr. Airton's opinions as to the slipperiness are better founded on a more objective basis and I accept them in preference to those expressed by Mr. Evans. In particular, I accept his conclusion that the tile surface in the fall area did not meet acceptable standards of slip resistance for rubber soles when the tile surface was wet with a washing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liability of the defendant, if any, arises under the provisions of the Occupiers Liability Act </w:t>
      </w:r>
      <w:r>
        <w:rPr>
          <w:rFonts w:ascii="arial" w:eastAsia="arial" w:hAnsi="arial" w:cs="arial"/>
          <w:i/>
          <w:color w:val="000000"/>
          <w:sz w:val="20"/>
          <w:lang w:val="en-US" w:eastAsia="en-US" w:bidi="ar-SA"/>
        </w:rPr>
        <w:t>R.S.B.C. 1996 c. 237</w:t>
      </w:r>
      <w:r>
        <w:rPr>
          <w:rFonts w:ascii="arial" w:eastAsia="arial" w:hAnsi="arial" w:cs="arial"/>
          <w:color w:val="000000"/>
          <w:sz w:val="20"/>
          <w:lang w:val="en-US" w:eastAsia="en-US" w:bidi="ar-SA"/>
        </w:rPr>
        <w:t>. In particular, the duty upon a occupier is set out in s. 3(1)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There is no dispute that the defendant Royal Oak was an occupier as defined by the Act and that the other defendant, Mustang was its agent in terms of the performance of janitorial and maintenance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is trite to say that the Occupiers Liability Act does not place an occupier in the position of an insurer of all those who enter upon its premises. The operative word in s. 3(1) is "reasonable" in terms of providing for the safety of those using such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defendants led evidence as to the state of the kiosk floors in the period of October 1998 to October 1999. Such evidence is of little assistance in determining the state of the floors on or before July 29th, 1998 even if it could be said that cooking oil on the floors would affect the rubber of the plaintiff's shoes, making them more susceptible to slippage.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his testimony, Mr. Evans said that deterioration would not occur despite his report at page four, paragraph four where he wrote: "oil and grease on a rubber sole can promote deterioration and exhibit a wide range of traction availability during walking." There is a dearth of evidence as to the state of the floors prior to the fall on July 29th, other than the evidence of the plaintiff and her husband. I accept the evidence of the plaintiff and her husband that the floor of the kiosk was kept 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defendants say that there is no evidence that there was any water on the tiles where the plaintiff fell. The evidence of the plaintiff's husband was that while he did not observe wetness on the plaintiff when he helped her up, he did see that the floor was wet as he began to walk towards the meeting. Both his evidence and that of the plaintiff is that while walking towards the meeting, they were not concentrating on the floor other than to observe that the tiles were shiny.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evidence of Mr. Saunderson is that he had washed the area of the fall within one to two minutes before the plaintiff fell and that moisture would remain on the tiles for up to five to ten minutes after washing.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While there is no presumption that simply because the plaintiff fell the defendant failed in its observance of the duty under the Act, where there is accepted evidence, inferences may be drawn as to the causation of the fall, I accept the plaintiff's evidence at trial that she described not a stumble, but rather, a fall. I conclude, based on the evidence of the plaintiff's husband, Mr. Saunderson and the plaintiff herself that the plaintiff slipped on the floor because floor was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Accepting the opinion of Mr. Airton as I have already noted, I am satisfied that the floor was not level in terms of individual tiles, thus permitting excess moisture to accumulate. This is in addition to the fact that the tiles were slippery when moist with a cleaning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reliance upon the small wording on the washing bucket close to where Mr. Saunderson was working is not, in my view, a reasonable precaution. The bucket was not sufficient to warn the users of the Mall, including the plaintiff and her husband, that walking on the floor was potentially dangerous, particularly when there were wet floor warning signs available to the defendant. Mr. Saunderson also said he would have warned the plaintiff verbally had he seen her. Mustang had adequate warning signs but chose not to use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therefore conclude that the defendant Royal Oak and Mustang as its agent were occupiers who failed in their observation of the duty under s. 3(1) of the Occupiers Liability Act when they did not take reasonable steps to inform the plaintiff of the risk that existed while Mr. Saunderson was washing the floors.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further conclude that there was nothing about the plaintiff's footwear that can be said to have contributed to this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now turn to the evidence concerning the plaintiff's injuries suffered as a consequence of this fall. I do not intend to repeat my earlier review of the evidence of the plaintiff and her husband in this respect; I have taken that into account along with all the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claims damages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care costs;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earning capacity and 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At the time of the fall, the plaintiff's physician was Dr. Meckin. She saw Dr. Meckin once after the fall and thereafter began to see Dr. Brown, who practised in the same clinic. This continued until February 2000 when the plaintiff had her files transferred to Dr. Graham. Her stated reason for doing so was that she was not satisfied with the treatment she was receiving from Dr. Brown. Dr. Graham was also her husband's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was prescribed codeine based medication by her physicians. There has been some use of other pain medication but these were discontinued in favour of codeine.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 denied that her change of physicians was predicated on a preference for pain medication as opposed to pain management. She said that she fundamentally dislikes medication but took and continues to take codeine when necessary for her headaches. There is evidence, in the form of the prescriptions filled, to support the efficacy of her attitude towards the use of codeine. She said that her last prescription for codeine, which she has periodically renewed, was from Dr. Brown, and that she has not received any prescriptions for codeine from Dr. Graham.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 presently uses codeine when she cannot tolerate the pain of her headaches. She was also prescribed medication for depression by Dr. Parton, a neurologist to whom she was referred, but chose not to fill it as she felt she was not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There is conflict in the opinions of the medical experts who have treated and examined the plaintiff as to the causation of her present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difference of opinion is founded substantially on the amount of codeine that the plaintiff has or has not consumed since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was seen by her general practitioner, Dr. Brown, shortly following the accident. In the weeks that followed, he noted that the plaintiff complained of blurred vision, minimally diminished sensation and weakness over the left side of her face, and "symptoms of headaches with sharp intermittent pain in the area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a letter dated May 23, 2000, Dr. Brown opined that the plaintiff had suffered a mild cerebral contusion and had developed a "chronic pain syndrome with some strong depressive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April 1999, the plaintiff was seen by Dr. Parton, a neurologist, for an assessment of right arm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Parton noted that the plaintiff exhibited some depressive features. He recorded that "she is tender in the left temporal area and pressure over the temporal arteries relieves her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Thereafter, the plaintiff was seen by Dr. Graham. His clinical notes were filed as exhibits. No report was tendered by Dr. Graham, nor did he testify. His notes reveal that he saw the plaintiff between mid 2000 and the spring of 2001. His clinical notes record the plaintiff's attendances upon him and the medication prescribed. He referred the plaintiff to Dr. Robinson, a neurologist, for assessment for the continuing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Counsel for the defendant suggests that an adverse inference should be drawn against the plaintiff for not calling Dr. Graham or providing a report from him. The defendant was provided with the clinical notes of Dr. Graham.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Graham at one point in his clinical notes refers to "tension"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While a court may, in the absence of explanation, draw an adverse inference when an important witness is not called, it is not necessary that such an inference be drawn when there appears to be a good reason for not calling the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Here the plaintiff produced Dr. Robinson as well as his report. Dr. Graham had referred the plaintiff to Dr. Robinson. I am satisfied that the plaintiff's counsel's observation that they preferred to spend their resources on Dr. Robinson rather than Dr. Graham is reasonable given that Dr. Graham's referral to Dr. Robinson was specially for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Had the defendant thought that Dr. Graham's evidence in terms of any "tension" headaches were of consequence, there was nothing preventing them from either inquiring of Dr. Graham or calling Dr. Graham. Whatever reference Dr. Graham made to tension headaches is, in my view, of little consequence given Dr. Graham's deferral and referral to the recognized expertise of Dr. Robinson in the field of headache assessment and treatment. Any opinion of a general practitioner would, in my view, pale in significance when set against the acknowledged expertise of Dr.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would make the same conclusion with respect to the defendant's counsel's comments regarding the chiropractor, Dr. Cronk, whose clinical notes record appointments with the plaintiff between November and December 2000. His one-line and cryptic diagnosis on his examination chart of November 28, 2000, "Chronic L C-2 tension headaches", is so at odds with any other diagnosis that it is essentially valueless even if he were to have expressed it in the form of testimony or report. Had the defendant thought that such a diagnosis was of importance, there was nothing preventing the defendant from calling Dr. Cronk once that evidence had been disclosed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Doctor Hutchinson, the neurologist who examined the plaintiff for the defendant, concluded that the plaintiff's headaches were "rebound headaches." His report of March 7, 2002, page five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main complication has been chronic post-traumatic headache of tension type. Although this is centered at the site of injury, it is relevant that the local injury was mild at the time of trauma, and that no improvement was induced by measures directed at this site, namely, injection of trigger points, acupuncture and massage therapy. This would indicate that local injury has become irrelevant to the persistence of the headache. This can occur for a number of reasons: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different headache type may have been triggered or initiated; in this case, since the headache is unilateral, one would think of migraine or hemicrania continua (However, the clinical picture did not fit the former, and there was no response to SUMATRIPTAN when it was tried by Dr. Graham; and the latter condition should have responded to INDOMETHACIN, which was prescribed by Dr. Robinson);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seems more likely in this case the post-traumatic headache has merged into CHRONIC DAILY HEADACHE OF TENSION- TYPE, mainly because of overuse of analgesics and associated anxiety or other psychologic stresses.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 AND TREATMENT: Chronic post-traumatic headache, as defined by International Headache Society criteria, usually lasts three to five years. Two to four years after injury, according to some studies, twenty to twenty-four percent of patients have persisting headache. Chronic daily headache does not usually improve spontaneously. Sufferers require education and have to learn that daily consumption of pain killers is what leads to persistence of the headache. Pain killers must be withdrawn, and associated psychiatric problems (anxiety, depression etc.) must be managed with drug therapy, and lesser psychologic stresses with appropriate counselling and ongoing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At page three of his report, Dr. Hutchinson recorded that the plaintiff told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that nothing made the pain worse or better, except Codeine, which she had been taking daily from the beginning, three, four or more times daily;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evidence of the plaintiff is that she did not tell Dr. Hutchinson that she took such quantities "every day" but rather, when she did take them, she would from time to time take those quantities in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It was the plaintiff's evidence that she has never taken such quantities on a daily basis. Rather she had only done so from time to time, when she needed to alleviate the pain of the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There is evidence to support the plaintiff in this respect. In the period of September 1, 1999 to November 30, 2001, a period of 811 days, the plaintiff filled seven prescriptions of tablets for codeine for a total of 460 tablets. Her evidence was that at the time of her testimony, she still had 34 pills left. Codeine can only be acquired through prescription.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medication records from May 19, 1999 to January 10, 2002 are the only ones that are available. These records also confirm the amount of prescription written for codeine by various physicians. It is not suggested that the plaintiff had any addition sources of codeine. On this evidence, the plaintiff could not have consumed the amount as referred to by Dr. Hutchinson.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What I conclude to be a misunderstanding of the amount consumed by the plaintiff is further illustrated by what the plaintiff told Dr. Robinson, the neurologist that she saw before she saw Dr. Hutchinson.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He reports that the plaintiff told him "she was using codeine 30 milligram tablets four to six times in a day with some modest benefit. There is nothing in either the form that the plaintiff completed for Dr. Robinson or in her recorded comments, to suggest that such consumption was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After consideration of Dr. Hutchinson's report, Dr. Robinson rejected the opinion that the plaintiff's headaches were "rebound headaches" caused by the use of codeine.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concept of rebound headaches, simply stated, is that when one ceases to use codeine after a long period of substantial usage, the headaches can be caused by the sudden absence of codeine, thus leading the patient to use codeine again to relieve that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his report of November 12, 2001, Dr. Robinson concluded that the plaintiff's headaches were "chronic post traumatic" in nature. In his critique of Dr. Hutchinson's opinion, dated April 5, 2002, Dr. Robinson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experience, patients with chronic posttraumatic headache, who do not have a background of migraine or tension type headache, do not develop medication induced or rebound headache, despite frequent use of analgesics. The withdrawal of the analgesics does not result in improvement and often has meant poorer pain control. For this reason, I have not suggested this as a treatment option for Mrs. Clark. I would not object to withdrawal of analgesics being done, however, believe if probable that her headaches will continue without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plaintiff's evidence is that since the fall she has experienced two types of headaches: one consisting of a dull constant pain and the other bringing a more intense pain, lasting several seconds and occurring up to ten to fifteen times per day. The plaintiff testified that this combination of headaches results in difficulties in concentration. She had no headaches before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plaintiff has also been examined by two neuro-psychologists as to the existence of a brain injury: Dr. Wild on the plaintiff's behalf, and Dr. Wilkinson on behalf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Wild prepared a report, dated February 13, 2002, that is comprehensive, both with regard to the background information she had in hand and in terms of the examination and tests conducted upon the plaintiff. Dr. Wild observed at page 18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can be assumed that most of the natural recovery has taken place and no significant improvement can be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On page 14. Dr. Wild concluded that after discounting cultural and linguistic factors, her opinion was that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[c]urrent level of intellectual functioning appears to be lower than would have been expected. Hence indications are that there has been a loss in intellectual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terms of attention and concentration, Dr. Wild noted the variability in the plaintiff's performances on examination, suggesting that anxiety and apprehension also affect her ability to concentrate.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At page 18 Dr. Wild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however, given her current living situation and the demands of her work, Ms. Clark appears to be able to cope adequately with the cognitive challenges of running a small, fast-food restaurant. However, based on the test result, I do see her as no longer capable of pursuing a career in dentistry. In my view, she would no longer have the cognitive resources and learning potential required to be successful in such a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her examination-in-chief Dr. Wild said her references to dentistry meant "fields related to dentistry that would include oral hygienist." There is no evidence that Dr. Wild was aware of the plaintiff's hepatitis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Wild testified that she reviewed the plaintiff's scholastic background and noted she had not done well at university. Dr. Wild does not seem to have considered the state of the health of the plaintiff's husband in terms of its effect upon the plaintiff, other than to note that she coped well. She did note in her evidence that the plaintiff did not seem to understand that her husband's condition was permanent. Only in passing does she observe at page 16 that the plaintiff "seems to cope well with the stresses of very difficult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Any depression Dr. Wild noticed was in her view unrelated to factors other than those stemming from the plaintiff's own state of health. She did not conclude depression to be a significant factor in her assessment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cross-examination, Dr. Wild said that even if the headaches ceased, there would continue to be the mild traumatic brain injury and because of that, the plaintiff would be left with a neurological deficit that affected her cognitive function. The headaches, she concluded, did not impact upon her conclusions as to the effects of the cognitive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She said that while some brain injury is not necessarily permanent, because of the impact on the plaintiff of this fall and the passage of time since the fall, hers was more severe in consequence and of a greater probability of remaining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It was Dr. Wild's view that the plaintiff could adequately manage the type of business that she and her husband operated.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Wilkinson, who was provided with the same background information as Dr. Wild, as well as Dr. Wild's report, likewise conducted examinations of the plaintiff. Her report, dated April 11, 2002, was filed and she was briefly examined and extensively cross examined upon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Wilkinson concluded the plaintiff had sustained a moderate brain injury as a consequence of the fall. Dr. Wilkinson did not eliminate the possibility that the plaintiff had sustained cognitive defects from the brain injury when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Reviewing the consistency between the two assessments [those of hers and Dr. Wild] attention functions were weak in both assessments but there was variability in intellectual testing and some memory results. This is more suggestive of the effect of depression and chronic pain. It does not suggest a cognitive impairment from the residual brain damage. I cannot conclusively rule out the possibility of some residual subtle cognitive impairment resulting from her brain injury. However, I expect the effect would be minor compared with the more severe impact of depression and pain on her mental functions. Research into long-term effects of mild to moderate brain injury indicates the expectation of good clinical recovery unless there are visible abnormalities in the brain. She does not show clear indications of an unrelated dementing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Noting the amount of codeine described in Dr. Hutchinson's report which did not emerge in my examination, it is probable that she is showing some mental slowing from this narcotic. There is likely to be rebound headaches.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appears to be significantly depressed, and I believe that this is resulting from a combination of the effects of chronic pain and her husband's injury and severe disability. There may be additional sequelae resulting from the fact that she has not been able to work as a dentist in Canada, and is having to work in occupations well below her level of training. She has had several difficulties and tragedies in her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patient's description of difficulty with new learning and reading comprehension is consistent with severe mood disorder, use of codeine, which is a narcotic, and chronic headache, all of which interfere with adequate concentration.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Relying upon Dr. Hutchinson's observation on codeine use, Dr. Wilkinson attributes the cognitive deficiency revealed in her testing in part to the over-use of codeine. As I have observed earlier in these reasons, I am of the view that the conclusion reached by Dr. Hutchinson was in error given my finding that the plaintiff's use of codeine was considerably less in total and in frequency.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cross-examination, Dr. Wilkinson, agreed that chronic headache pain, regardless of causation, would affect ones ability to think clearly. She agreed that this was the case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She also said that such pain affects physical stamina. Dr. Wilkinson conceded in cross-examination that if the headaches were relieved, relief from the plaintiff's depression could be expected. She stated, however, that the depression was not linked exclusively to the headaches. It was her view that the plaintiff would benefit from a relaxation therapist, which could be provided by a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Given Dr. Wilkinson's hesitation in ruling out some element of cognitive impairment caused by brain injury, as well as her reliance in part upon Dr. Hutchinson's observations as to codeine usage, I am of the view that her opinion regarding causation, as it depends on medication usage, must be discounted.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do however agree that there may be other compounding factors at play, such as depression, that may contribute to the results observed by Dr. Wilkinson and Dr. Wild and may cause an exacerbation of the plaintiff's already impaired mental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Wild seems to pay small heed to the effect that the plaintiff's husband's quadriplegia, an event that I find Dr. Wilkinson correctly observes would result in "consideration emotional adjustment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Nevertheless, that event came after the plaintiff's own significant injury and the subsequent depression observed by both Dr. Brown and Dr. Parton. Dr. Wilkinson agreed that if other medical people noted depression after the fall and before the husband's injury, that the prior event was likely a factor in the plaintiff's current observed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conclude that the cognitive difficulties of the plaintiff emanate from the fall. Her depression was exacerbated by the tragic injury to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view of Dr. Wilkinson is that while the plaintiff's problems would affect her ability to think clearly and would eliminate her as a dentist hygienist, they would only make her less capable in the field of dental assistance. Such activity, she said, would not be entirely precluded to the plaintiff given her historic basis in her studies of dentistry and her practice under her siblings.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This, she said, is because the agreed upon weakness in attention span is a hindrance when learning new material but not when relying upon old knowledge. Dr. Wild, however, precluded activities in either of these areas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Upon this evidence, I am of the view that the plaintiff sustained a mild to moderate brain injury that has had a number of consequences. Some were short term, such as her being off work for a short period of time, and the blurred vision, interruption of sleep and periods of dizziness and nausea, all of which occurred over a two to three month period. On the plaintiff's evidence, I find that these latter symptoms generally resolved within that brief period of time and no longer cause any significant inference with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What is long term in nature are the consequences of the mild to moderate brain injury and the headaches. The former has resulted in cognitive defects that are generally agreed upon by Dr. Wilkinson and Dr. Wild being as being a lowered level of intellectual functioning, depression, and attention deficiency. In addition to these effects, there has been the development of the two forms of chronic headaches, the dull constant pain and the periodic, sharp, short-lived headaches that occur on the left side of her head. These have decreased in frequency since shortly after the fall, from 20 per day to the current 10 - 15 per day. On the plaintiff's own subjective assessment, the intensity of both types headaches has decreased as well. They are nevertheless, as described by the plaintiff, still intense. For the reasons I expressed earlier, I conclude that these are not the result of any overuse of codeine by the plaintiff, whose usage I find to be appropriate to relieve her head pain, but rather as a direct and long term consequence of hitting her head as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On the evidence, I conclude that the state of the plaintiff's health is unlikely to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Counsel have provided a number of cases on non-pecuniary damages and each of them has been considered. It is trite to say that no case mirrors that of the plaintiff. Those cases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Plaintiff's cases: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Ayles (Guardian of) v. Talastasin, </w:t>
      </w:r>
      <w:hyperlink r:id="rId590" w:history="1">
        <w:r>
          <w:rPr>
            <w:rFonts w:ascii="arial" w:eastAsia="arial" w:hAnsi="arial" w:cs="arial"/>
            <w:i/>
            <w:color w:val="0077CC"/>
            <w:sz w:val="20"/>
            <w:u w:val="single"/>
            <w:shd w:val="clear" w:color="auto" w:fill="FFFFFF"/>
            <w:lang w:val="en-US" w:eastAsia="en-US" w:bidi="ar-SA"/>
          </w:rPr>
          <w:t>[1998] B.C.J. No. 796</w:t>
        </w:r>
      </w:hyperlink>
      <w:r>
        <w:rPr>
          <w:rFonts w:ascii="arial" w:eastAsia="arial" w:hAnsi="arial" w:cs="arial"/>
          <w:color w:val="000000"/>
          <w:sz w:val="20"/>
          <w:lang w:val="en-US" w:eastAsia="en-US" w:bidi="ar-SA"/>
        </w:rPr>
        <w:t xml:space="preserve"> (B.C.S.C.).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Ayles (Guardian of) v. Talastasin, </w:t>
      </w:r>
      <w:hyperlink r:id="rId591" w:history="1">
        <w:r>
          <w:rPr>
            <w:rFonts w:ascii="arial" w:eastAsia="arial" w:hAnsi="arial" w:cs="arial"/>
            <w:i/>
            <w:color w:val="0077CC"/>
            <w:sz w:val="20"/>
            <w:u w:val="single"/>
            <w:shd w:val="clear" w:color="auto" w:fill="FFFFFF"/>
            <w:lang w:val="en-US" w:eastAsia="en-US" w:bidi="ar-SA"/>
          </w:rPr>
          <w:t>[2000] B.C.J. No. 245</w:t>
        </w:r>
      </w:hyperlink>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2000 BCCA 87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Witzer v. Soderlund, </w:t>
      </w:r>
      <w:hyperlink r:id="rId592" w:history="1">
        <w:r>
          <w:rPr>
            <w:rFonts w:ascii="arial" w:eastAsia="arial" w:hAnsi="arial" w:cs="arial"/>
            <w:i/>
            <w:color w:val="0077CC"/>
            <w:sz w:val="20"/>
            <w:u w:val="single"/>
            <w:shd w:val="clear" w:color="auto" w:fill="FFFFFF"/>
            <w:lang w:val="en-US" w:eastAsia="en-US" w:bidi="ar-SA"/>
          </w:rPr>
          <w:t>[2000] B.C.J. No. 1637</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Murray v. Clement, </w:t>
      </w:r>
      <w:hyperlink r:id="rId593" w:history="1">
        <w:r>
          <w:rPr>
            <w:rFonts w:ascii="arial" w:eastAsia="arial" w:hAnsi="arial" w:cs="arial"/>
            <w:i/>
            <w:color w:val="0077CC"/>
            <w:sz w:val="20"/>
            <w:u w:val="single"/>
            <w:shd w:val="clear" w:color="auto" w:fill="FFFFFF"/>
            <w:lang w:val="en-US" w:eastAsia="en-US" w:bidi="ar-SA"/>
          </w:rPr>
          <w:t>[1999] B.C.J. No. 200</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Hemming v. Im, </w:t>
      </w:r>
      <w:hyperlink r:id="rId594" w:history="1">
        <w:r>
          <w:rPr>
            <w:rFonts w:ascii="arial" w:eastAsia="arial" w:hAnsi="arial" w:cs="arial"/>
            <w:i/>
            <w:color w:val="0077CC"/>
            <w:sz w:val="20"/>
            <w:u w:val="single"/>
            <w:shd w:val="clear" w:color="auto" w:fill="FFFFFF"/>
            <w:lang w:val="en-US" w:eastAsia="en-US" w:bidi="ar-SA"/>
          </w:rPr>
          <w:t>[1998] B.C.J. No. 1790</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Jones v. Trudel, </w:t>
      </w:r>
      <w:hyperlink r:id="rId595" w:history="1">
        <w:r>
          <w:rPr>
            <w:rFonts w:ascii="arial" w:eastAsia="arial" w:hAnsi="arial" w:cs="arial"/>
            <w:i/>
            <w:color w:val="0077CC"/>
            <w:sz w:val="20"/>
            <w:u w:val="single"/>
            <w:shd w:val="clear" w:color="auto" w:fill="FFFFFF"/>
            <w:lang w:val="en-US" w:eastAsia="en-US" w:bidi="ar-SA"/>
          </w:rPr>
          <w:t>[1998] B.C.J. No. 1748</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Pack v. Rauser, </w:t>
      </w:r>
      <w:hyperlink r:id="rId596" w:history="1">
        <w:r>
          <w:rPr>
            <w:rFonts w:ascii="arial" w:eastAsia="arial" w:hAnsi="arial" w:cs="arial"/>
            <w:i/>
            <w:color w:val="0077CC"/>
            <w:sz w:val="20"/>
            <w:u w:val="single"/>
            <w:shd w:val="clear" w:color="auto" w:fill="FFFFFF"/>
            <w:lang w:val="en-US" w:eastAsia="en-US" w:bidi="ar-SA"/>
          </w:rPr>
          <w:t>[1994] B.C.J. No. 385</w:t>
        </w:r>
      </w:hyperlink>
      <w:r>
        <w:rPr>
          <w:rFonts w:ascii="arial" w:eastAsia="arial" w:hAnsi="arial" w:cs="arial"/>
          <w:color w:val="000000"/>
          <w:sz w:val="20"/>
          <w:lang w:val="en-US" w:eastAsia="en-US" w:bidi="ar-SA"/>
        </w:rPr>
        <w:t xml:space="preserve"> (B.C.S.C.).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Gojevic v. Philpott, </w:t>
      </w:r>
      <w:hyperlink r:id="rId597" w:history="1">
        <w:r>
          <w:rPr>
            <w:rFonts w:ascii="arial" w:eastAsia="arial" w:hAnsi="arial" w:cs="arial"/>
            <w:i/>
            <w:color w:val="0077CC"/>
            <w:sz w:val="20"/>
            <w:u w:val="single"/>
            <w:shd w:val="clear" w:color="auto" w:fill="FFFFFF"/>
            <w:lang w:val="en-US" w:eastAsia="en-US" w:bidi="ar-SA"/>
          </w:rPr>
          <w:t>[2001] B.C.J. No. 1067</w:t>
        </w:r>
      </w:hyperlink>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2001 BCSC 748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Hay v. Hofmann </w:t>
      </w:r>
      <w:hyperlink r:id="rId598" w:history="1">
        <w:r>
          <w:rPr>
            <w:rFonts w:ascii="arial" w:eastAsia="arial" w:hAnsi="arial" w:cs="arial"/>
            <w:i/>
            <w:color w:val="0077CC"/>
            <w:sz w:val="20"/>
            <w:u w:val="single"/>
            <w:shd w:val="clear" w:color="auto" w:fill="FFFFFF"/>
            <w:lang w:val="en-US" w:eastAsia="en-US" w:bidi="ar-SA"/>
          </w:rPr>
          <w:t>[1997] B.C.J. No. 742</w:t>
        </w:r>
      </w:hyperlink>
      <w:r>
        <w:rPr>
          <w:rFonts w:ascii="arial" w:eastAsia="arial" w:hAnsi="arial" w:cs="arial"/>
          <w:color w:val="000000"/>
          <w:sz w:val="20"/>
          <w:lang w:val="en-US" w:eastAsia="en-US" w:bidi="ar-SA"/>
        </w:rPr>
        <w:t xml:space="preserve"> (B.C.S.C.).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Anderson (Guardian ad litem of) v. Bicknell, </w:t>
      </w:r>
      <w:hyperlink r:id="rId599" w:history="1">
        <w:r>
          <w:rPr>
            <w:rFonts w:ascii="arial" w:eastAsia="arial" w:hAnsi="arial" w:cs="arial"/>
            <w:i/>
            <w:color w:val="0077CC"/>
            <w:sz w:val="20"/>
            <w:u w:val="single"/>
            <w:shd w:val="clear" w:color="auto" w:fill="FFFFFF"/>
            <w:lang w:val="en-US" w:eastAsia="en-US" w:bidi="ar-SA"/>
          </w:rPr>
          <w:t>[1998] B.C.J. No. 1847</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West v. Hamel, </w:t>
      </w:r>
      <w:hyperlink r:id="rId600" w:history="1">
        <w:r>
          <w:rPr>
            <w:rFonts w:ascii="arial" w:eastAsia="arial" w:hAnsi="arial" w:cs="arial"/>
            <w:i/>
            <w:color w:val="0077CC"/>
            <w:sz w:val="20"/>
            <w:u w:val="single"/>
            <w:shd w:val="clear" w:color="auto" w:fill="FFFFFF"/>
            <w:lang w:val="en-US" w:eastAsia="en-US" w:bidi="ar-SA"/>
          </w:rPr>
          <w:t>[1997] B.C.J. No. 1706</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Defendants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Duval v. Gerrard et al, </w:t>
      </w:r>
      <w:hyperlink r:id="rId601" w:history="1">
        <w:r>
          <w:rPr>
            <w:rFonts w:ascii="arial" w:eastAsia="arial" w:hAnsi="arial" w:cs="arial"/>
            <w:i/>
            <w:color w:val="0077CC"/>
            <w:sz w:val="20"/>
            <w:u w:val="single"/>
            <w:shd w:val="clear" w:color="auto" w:fill="FFFFFF"/>
            <w:lang w:val="en-US" w:eastAsia="en-US" w:bidi="ar-SA"/>
          </w:rPr>
          <w:t>[2000] B.C.J. No. 479</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Baas V. Jellema, </w:t>
      </w:r>
      <w:hyperlink r:id="rId602" w:history="1">
        <w:r>
          <w:rPr>
            <w:rFonts w:ascii="arial" w:eastAsia="arial" w:hAnsi="arial" w:cs="arial"/>
            <w:i/>
            <w:color w:val="0077CC"/>
            <w:sz w:val="20"/>
            <w:u w:val="single"/>
            <w:shd w:val="clear" w:color="auto" w:fill="FFFFFF"/>
            <w:lang w:val="en-US" w:eastAsia="en-US" w:bidi="ar-SA"/>
          </w:rPr>
          <w:t>[1998] B.C.J. No. 918</w:t>
        </w:r>
      </w:hyperlink>
      <w:r>
        <w:rPr>
          <w:rFonts w:ascii="arial" w:eastAsia="arial" w:hAnsi="arial" w:cs="arial"/>
          <w:color w:val="000000"/>
          <w:sz w:val="20"/>
          <w:lang w:val="en-US" w:eastAsia="en-US" w:bidi="ar-SA"/>
        </w:rPr>
        <w:t xml:space="preserve"> (B.C.C.A.).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Gibbs v. Skemp, </w:t>
      </w:r>
      <w:hyperlink r:id="rId603" w:history="1">
        <w:r>
          <w:rPr>
            <w:rFonts w:ascii="arial" w:eastAsia="arial" w:hAnsi="arial" w:cs="arial"/>
            <w:i/>
            <w:color w:val="0077CC"/>
            <w:sz w:val="20"/>
            <w:u w:val="single"/>
            <w:shd w:val="clear" w:color="auto" w:fill="FFFFFF"/>
            <w:lang w:val="en-US" w:eastAsia="en-US" w:bidi="ar-SA"/>
          </w:rPr>
          <w:t>[1998] B.C.J. No. 680</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Gibson v. Rickett, </w:t>
      </w:r>
      <w:hyperlink r:id="rId604" w:history="1">
        <w:r>
          <w:rPr>
            <w:rFonts w:ascii="arial" w:eastAsia="arial" w:hAnsi="arial" w:cs="arial"/>
            <w:i/>
            <w:color w:val="0077CC"/>
            <w:sz w:val="20"/>
            <w:u w:val="single"/>
            <w:shd w:val="clear" w:color="auto" w:fill="FFFFFF"/>
            <w:lang w:val="en-US" w:eastAsia="en-US" w:bidi="ar-SA"/>
          </w:rPr>
          <w:t>[1996] B.C.J. No. 3110</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Sandhu v. Gill, </w:t>
      </w:r>
      <w:hyperlink r:id="rId605" w:history="1">
        <w:r>
          <w:rPr>
            <w:rFonts w:ascii="arial" w:eastAsia="arial" w:hAnsi="arial" w:cs="arial"/>
            <w:i/>
            <w:color w:val="0077CC"/>
            <w:sz w:val="20"/>
            <w:u w:val="single"/>
            <w:shd w:val="clear" w:color="auto" w:fill="FFFFFF"/>
            <w:lang w:val="en-US" w:eastAsia="en-US" w:bidi="ar-SA"/>
          </w:rPr>
          <w:t>[1999] B.C.J. No. 2870</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Sedor v. Snider et al, </w:t>
      </w:r>
      <w:hyperlink r:id="rId606" w:history="1">
        <w:r>
          <w:rPr>
            <w:rFonts w:ascii="arial" w:eastAsia="arial" w:hAnsi="arial" w:cs="arial"/>
            <w:i/>
            <w:color w:val="0077CC"/>
            <w:sz w:val="20"/>
            <w:u w:val="single"/>
            <w:shd w:val="clear" w:color="auto" w:fill="FFFFFF"/>
            <w:lang w:val="en-US" w:eastAsia="en-US" w:bidi="ar-SA"/>
          </w:rPr>
          <w:t>[1999] B.C.J. No. 2853</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Wilkes v. Maung et al, </w:t>
      </w:r>
      <w:hyperlink r:id="rId607" w:history="1">
        <w:r>
          <w:rPr>
            <w:rFonts w:ascii="arial" w:eastAsia="arial" w:hAnsi="arial" w:cs="arial"/>
            <w:i/>
            <w:color w:val="0077CC"/>
            <w:sz w:val="20"/>
            <w:u w:val="single"/>
            <w:shd w:val="clear" w:color="auto" w:fill="FFFFFF"/>
            <w:lang w:val="en-US" w:eastAsia="en-US" w:bidi="ar-SA"/>
          </w:rPr>
          <w:t>[1999] B.C.J. No. 467</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Dawes v. Jajcaj et al, </w:t>
      </w:r>
      <w:hyperlink r:id="rId184" w:history="1">
        <w:r>
          <w:rPr>
            <w:rFonts w:ascii="arial" w:eastAsia="arial" w:hAnsi="arial" w:cs="arial"/>
            <w:i/>
            <w:color w:val="0077CC"/>
            <w:sz w:val="20"/>
            <w:u w:val="single"/>
            <w:shd w:val="clear" w:color="auto" w:fill="FFFFFF"/>
            <w:lang w:val="en-US" w:eastAsia="en-US" w:bidi="ar-SA"/>
          </w:rPr>
          <w:t>1999 BCCA 237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Maslen v. Rubenstein, </w:t>
      </w:r>
      <w:hyperlink r:id="rId608" w:history="1">
        <w:r>
          <w:rPr>
            <w:rFonts w:ascii="arial" w:eastAsia="arial" w:hAnsi="arial" w:cs="arial"/>
            <w:i/>
            <w:color w:val="0077CC"/>
            <w:sz w:val="20"/>
            <w:u w:val="single"/>
            <w:shd w:val="clear" w:color="auto" w:fill="FFFFFF"/>
            <w:lang w:val="en-US" w:eastAsia="en-US" w:bidi="ar-SA"/>
          </w:rPr>
          <w:t>[1993] B.C.J. No. 1813</w:t>
        </w:r>
      </w:hyperlink>
      <w:r>
        <w:rPr>
          <w:rFonts w:ascii="arial" w:eastAsia="arial" w:hAnsi="arial" w:cs="arial"/>
          <w:color w:val="000000"/>
          <w:sz w:val="20"/>
          <w:lang w:val="en-US" w:eastAsia="en-US" w:bidi="ar-SA"/>
        </w:rPr>
        <w:t xml:space="preserve"> (B.C.C.A.).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Muholland (Guardian ad litem of) v. Riley Estate, </w:t>
      </w:r>
      <w:hyperlink r:id="rId609" w:history="1">
        <w:r>
          <w:rPr>
            <w:rFonts w:ascii="arial" w:eastAsia="arial" w:hAnsi="arial" w:cs="arial"/>
            <w:i/>
            <w:color w:val="0077CC"/>
            <w:sz w:val="20"/>
            <w:u w:val="single"/>
            <w:shd w:val="clear" w:color="auto" w:fill="FFFFFF"/>
            <w:lang w:val="en-US" w:eastAsia="en-US" w:bidi="ar-SA"/>
          </w:rPr>
          <w:t>[1995] B.C.J. No. 1823</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Based upon those authorities, the plaintiff's counsel urges a range $65,000 to $100,000, while defence counsel suggests a range of $40,000 to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my view, given my conclusions as to the plaintiff's state of health post accident and that it is of a chronic or permanent nature, the authorities do not support the range submitted by counsel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determining the amount of non-pecuniary damages I am mindful that while the frequency of these headaches has declined, they have remained constant since approximately three months after the accident. Notwithstanding Dr. Wilkinson's suggestion that the intervention of a psychologist would assist, there is nothing in the evidence that I would conclude gives an assurance of the possibility of cessation.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addition, Dr. Robinson, while he encourages a reduction in the use of codeine, does not say its use is inappropriate. As he concludes in his report of the 12th of November 2001: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Chronic posttraumatic headache present beyond two years from the injury often carries a poor prognosis. I believe it probable that she will continue to have head and neck pain over the next three to five years. I believe that any improvement will be slow and will possibly take longer than this time. I believe it possible that she will continue to have her level of disability on an indefinite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Based on all of the evidence, I conclude that this is an accurate assessment of the state of the plaintiff's headaches. I also conclude that her cognitive disabilities, as described by Dr. Wild and agreed to in part by Dr. Wilkinson, are an accurate assessment of the effects of the plaintiff's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the result I assess non-pecuniary damages in the amount of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Counsel for the defendant took no position with respect to this claim. The plaintiff has expended some $1,481.84 for medication, user fees and mileage to attend for treatments. I conclude that the expenses are reasonable and they are awarded in the amount of $1,481.84.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Given the probable permanence, or as Dr. Robinson defined it, the "indefinite occurrence" of her injuries, the plaintiff will continue to incur medication and treatment costs in the future. While I have not accepted Dr. Hutchinson's view concerning the amount of codeine he believed her to have been using, nor his conclusion as to the cause of the headaches, I note that Dr. Robinson partially agrees with Dr. Hutchinson's recommendation that the plaintiff should attempt to reduce her consumption of codeine to the extent she can while still controlling her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Dr. Robinson went so far as to suggest that a total absence for a period of up to six weeks would soon establish the correctness of his views that the codeine is not the cause of headaches. On the evidence, I cannot conclude that this experiment should be undertaken at the defendant's expense. Given my acceptance of Dr. Robinson's opinion as to the long-term need for the plaintiff to use codeine to control her headache pain, I conclude that there will be an ongoing future cost of this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plaintiff has used some 430 codeine tablets between 1999 and 2001, a period of some 811 days. According to the prescription statements, the average cost of this medication appears to be modest. There is no suggestion in the medical evidence for the need to use any other medications. I do not award the cost of the psychologist suggested by Dr. Wilkinson, given her view as to the ambivalence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addition, the plaintiff will require medical attention from time to time. I conclude that the mileage costs will be less than the to date claimed expenses, which average approximately $150 per annum. I conclude that $100 per annum a reasonable expenditure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While the pain killing medication may be changed over time, I am satisfied that in recent years, the plaintiff has reduced her consumption such that the annual cost of this medication will be no more than $100 per annum. Accordingly, I allow $200 per annum for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Applying the tables provided without objection by Mr. Carson, the costs for future care are calculated and allowed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200/1000 x 19,287 = $3,877 rounded to $3,900.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plaintiff claims both past and future income loss. The latter is claimed as a loss of capacity. There is no evidence upon which any future loss of income could be calculated.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plaintiff was paid by her husband even though she did not work. His evidence was that she was not able to work at all for 30 to 40 days and that he, along with the unpaid help of the former owner, performed her work during that time. As well, the plaintiff estimates that she lost between 20 and 50 days following her accident as a consequence of these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Such an estimate is of little assistance in determining a past loss of working time. The plaintiff had no recollection of how long she worked part-time, when she returned to work, or when she resumed full-time employment. I conclude that it was by the end of 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her examination for discovery, the plaintiff testified that she had lost three weeks of work. Later she said it was more than 20 and less than 50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At trial the plaintiff testified that she had underestimated the amount of time that she was off work. She said that once she did return to work it was to be part-time but she could not say how long that continued other than an estimate of one to two months. The plaintiff and her husband did not keep any records of the plaintiff's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On this evidence I concluded that she was off work a period of four weeks, worked half-time for a further period of four weeks and lost a further total of two weeks thereafter due to the consequences of her injuries. She was paid $800 every two weeks, which the plaintiff's husband referred to as "sick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kiosk was an operation that required two people. When the plaintiff could not work, the former owner came to her husband's assistance. In the husband's examination, he said that the former owner, Mr. Ming, had helped out and he had not paid him. Clearly a greater burden fell upon the plaintiff's husband during this period of time quite apart from Mr. Ming's assistance. Given the imprecision of time, I have concluded that a total loss should be allowed in the amount of eight weeks and I allow the sum of $3,200.00 for this past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plaintiff seeks an award for her future loss of capacity. The plaintiff returned to work within weeks of her fall and continued to operate alone for a further five months following her husband's tragic fall. I conclude that she could function in all aspects of this business. The closure of the kiosk was a result of the poor economic conditions in the Mall, not as a consequence of the plaintiff's health or that of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The plaintiff says that the affects of the fall have ended her plans to re-enter the dental field. Except for a brief period in 1994, when the plaintiff says that she enrolled in an "open learning program for dental assistants" (a program for which no records were produced, and which was subsequently abandoned), the plaintiff has taken no purposeful steps to pursue a dental career. Nor has she inquired about her suitability for such a career. On the plaintiff's own evidence, the fact that she is a Hepatitis B carrier precludes her from such work. Quite apart from her Hepatitis B, as to her plans to be either a dental hygienist or assistant, I adopt the words used by Stewart J. in Beyrouti v. Beyrouti, </w:t>
      </w:r>
      <w:hyperlink r:id="rId610" w:history="1">
        <w:r>
          <w:rPr>
            <w:rFonts w:ascii="arial" w:eastAsia="arial" w:hAnsi="arial" w:cs="arial"/>
            <w:i/>
            <w:color w:val="0077CC"/>
            <w:sz w:val="20"/>
            <w:u w:val="single"/>
            <w:shd w:val="clear" w:color="auto" w:fill="FFFFFF"/>
            <w:lang w:val="en-US" w:eastAsia="en-US" w:bidi="ar-SA"/>
          </w:rPr>
          <w:t>[1993] B.C.J. No. 2530</w:t>
        </w:r>
      </w:hyperlink>
      <w:r>
        <w:rPr>
          <w:rFonts w:ascii="arial" w:eastAsia="arial" w:hAnsi="arial" w:cs="arial"/>
          <w:color w:val="000000"/>
          <w:sz w:val="20"/>
          <w:lang w:val="en-US" w:eastAsia="en-US" w:bidi="ar-SA"/>
        </w:rPr>
        <w:t xml:space="preserve"> (B.C.S.C.) at paragraph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.nothing in this case takes the plaintiff beyond the point of being one who had a thought - nothing more - that she might look further into the possibility of taking the first step on what I am convinced would be a long path leading, perhaps, to a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While the plaintiff may have attempted such a first step, this was soon abandoned in preference to the life style she followed in the five years thereafter. I am not persuaded to conclude on the basis of her later inquiry at Malaspina College that she had any real intention of following along that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However, the affliction of headaches as described by both Dr. Wilkinson and Dr. Wild affects her ability to learn and develop beyond the skills she has acquired as a nanny and a cook. Her brain injury also affects her abilities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In Kwei v. Boisclair </w:t>
      </w:r>
      <w:hyperlink r:id="rId611"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(B.C.C.A.) Taggart JA endorsed the observations of Finch J. (as he then was) in Brown v. Golaiy, </w:t>
      </w:r>
      <w:hyperlink r:id="rId612"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at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an income from all types of employment;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opened to him had he not been injured;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 need only establish one of these factors in order to establish a claim for such an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plaintiff can return to the type of work she has done in the past, but unless it is in her own operation, she will have to compete in an employment environment where she is less marketable given her impaired ability to learn new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While her depressed state may, in time, resolve to a point when anything that remains cannot be attributed to the consequences of her fall, there is no current assurances that this will occur. I conclude that the plaintiff is, and will continue to suffer the affects of her injuries, and, as such, I find that she falls under each of the four categories set forth in Brown v. Golaiy,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assess the loss of this capacity in the amount of $65,000.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plaintiff is entitled to costs on Scale 3 unless there are reasons to order otherwise, a matter which counsel may address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TAYLOR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3"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Cliff v. Dahl, [2012] B.C.J. No. 501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C.J. Bruce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22, 2012.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13, 2012.</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M081915</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[2012] B.C.J. No. 501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2012 BCSC 364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7 C.C.L.I. (5th) 276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33 M.V.R. (6th) 139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213 A.C.W.S. (3d) 294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2012 CarswellBC 714</w:t>
      </w:r>
    </w:p>
    <w:p>
      <w:pPr>
        <w:spacing w:before="120" w:line="260" w:lineRule="atLeast"/>
        <w:rPr>
          <w:lang w:val="en-US" w:eastAsia="en-US" w:bidi="ar-SA"/>
        </w:rPr>
      </w:pPr>
      <w:r>
        <w:rPr>
          <w:rFonts w:ascii="arial" w:eastAsia="arial" w:hAnsi="arial" w:cs="arial"/>
          <w:color w:val="000000"/>
          <w:sz w:val="20"/>
          <w:lang w:val="en-US" w:eastAsia="en-US" w:bidi="ar-SA"/>
        </w:rPr>
        <w:t>Between Aaron Jeffrey Cliff, Plaintiff, and Maureen Evelyn Dahl, Aggressive Auto Towing Ltd., Terry Snelgrove, Trevor Evan Ivor Jones, Peter Alan Weaver and Brett Unger, Defendants, and Trevor Evan Ivor Jones, Peter Alan Weaver and Brett Unger,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4" style="position:absolute;z-index:25169100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09" w:name="Keywords_31"/>
      <w:bookmarkEnd w:id="209"/>
      <w:r>
        <w:rPr>
          <w:rFonts w:ascii="arial" w:eastAsia="arial" w:hAnsi="arial" w:cs="arial"/>
          <w:b/>
          <w:color w:val="000000"/>
          <w:sz w:val="20"/>
          <w:lang w:val="en-US" w:eastAsia="en-US" w:bidi="ar-SA"/>
        </w:rPr>
        <w:t>Civil litigation — Civil procedure — Discovery — Production and inspection of documents — Privileged documents — Documents prepared in contemplation of litigation — Application by two defendant/third parties for production of statements made to plaintiff's investigator allowed — Plaintiff was pedestrian injured in automobile accident while assisting tow-truck driver with loading of disabled off-road vehicles owned by applicants — Prior to being joined to action, applicants gave witness statements to investigator — Jurisprudence was clear that statement made by party to agent of adverse party was not privileged and was subject to production — It was irrelevant that statement was made when person was party rather than witness, as privilege was lost upon applicants being joined to action.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10" w:name="Case Summary_25"/>
            <w:bookmarkEnd w:id="21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defendants and third parties, Weaver and Jones, for production of statements they made to an investigator employed by the plaintiff, Cliff. The plaintiff was a pedestrian struck by a vehicle driven by Dahl. At the time, the plaintiff was assisting a tow-truck driver in the loading of two disabled off-road vehicles. Weaver, Jones and Unger were present at the scene of the accident as the owners or operators of the disabled vehicles. The third parties provided statements regarding their recollection of the accident to an investigator hired by the plaintiff's counsel. To date, they had refused to provide witness statements to an ICBC investigator. They had not been joined as third parties at the time of their statements. Dahl sought production of the statements and was refused on the basis of litigation privilege. After the third parties were joined to the action, they provided statements to the ICBC investigator. The third parties now sought production of their statements on the basis that their status had changed from witnesses to parties adverse in interest. The plaintiff opposed the order sought on the basis that the statements were protected by litigation privilege and the matter was res judicata. </w:t>
            </w:r>
            <w:r>
              <w:rPr>
                <w:lang w:val="en-US" w:eastAsia="en-US" w:bidi="ar-SA"/>
              </w:rPr>
              <w:cr/>
            </w:r>
          </w:p>
          <w:p>
            <w:pPr>
              <w:spacing w:before="120" w:line="260" w:lineRule="atLeast"/>
              <w:ind w:left="240"/>
              <w:jc w:val="both"/>
              <w:rPr>
                <w:lang w:val="en-US" w:eastAsia="en-US" w:bidi="ar-SA"/>
              </w:rPr>
            </w:pPr>
            <w:bookmarkStart w:id="211" w:name="Holdings of Court_21"/>
            <w:bookmarkEnd w:id="211"/>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matter was not res judicata, as there was a material difference between production of statements made by a witness and production of statements made by a party adverse in interest. The issues raised by the two types of applications were distinct. In addition, the prior proceeding was an application by Dahl rather than an application for production of an own statement. The jurisprudence was clear that a statement made by a party to an agent of another party adverse in interests was not privileged and was subject to production. It was irrelevant that the statement was made either before litigation had commenced or at a time when the person was a witness rather than a party to the action. Privilege over a document was lost by a change in status from a witness to an adverse party. </w:t>
            </w:r>
            <w:r>
              <w:rPr>
                <w:lang w:val="en-US" w:eastAsia="en-US" w:bidi="ar-SA"/>
              </w:rPr>
              <w:cr/>
            </w:r>
          </w:p>
          <w:p>
            <w:pPr>
              <w:rPr>
                <w:lang w:val="en-US" w:eastAsia="en-US" w:bidi="ar-SA"/>
              </w:rPr>
            </w:pPr>
          </w:p>
        </w:tc>
      </w:tr>
    </w:tbl>
    <w:p>
      <w:pPr>
        <w:jc w:val="both"/>
        <w:rPr>
          <w:lang w:val="en-US" w:eastAsia="en-US" w:bidi="ar-SA"/>
        </w:rPr>
      </w:pPr>
      <w:bookmarkStart w:id="212" w:name="Counsel_31"/>
      <w:bookmarkEnd w:id="21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85" style="position:absolute;z-index:25174220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Sheena J. Clarkson.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Maureen Evelyn Dahl: Ewen C. Carruthers.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Aggressive Auto Towing Ltd. and Terry Snelgrove: Karen L. Martin.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Trevor Evan Ivor Jones: Jonathan Lim.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Peter Alan Weaver: Diana L. Dorey.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Brett Unger: Jon R. Walsh.</w:t>
      </w:r>
      <w:r>
        <w:rPr>
          <w:lang w:val="en-US" w:eastAsia="en-US" w:bidi="ar-SA"/>
        </w:rPr>
        <w:cr/>
      </w:r>
    </w:p>
    <w:p>
      <w:pPr>
        <w:spacing w:after="240"/>
        <w:rPr>
          <w:lang w:val="en-US" w:eastAsia="en-US" w:bidi="ar-SA"/>
        </w:rPr>
      </w:pPr>
      <w:bookmarkStart w:id="213" w:name="Judgment_31"/>
      <w:bookmarkEnd w:id="213"/>
      <w:r>
        <w:pict>
          <v:line id="_x0000_s1186" style="position:absolute;z-index:25179340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14" w:name="C.J. BRUCE J."/>
            <w:bookmarkEnd w:id="214"/>
            <w:r>
              <w:rPr>
                <w:rFonts w:ascii="arial" w:eastAsia="arial" w:hAnsi="arial" w:cs="arial"/>
                <w:b/>
                <w:color w:val="000000"/>
                <w:sz w:val="30"/>
                <w:lang w:val="en-US" w:eastAsia="en-US" w:bidi="ar-SA"/>
              </w:rPr>
              <w:t>C.J. BRUCE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defendants and third parties, Mr. Weaver and Mr. Jones, for production of statements they provided to an investigator employed by Mr. Cliff, including any drafts of the statement, the audio recording of the statement given during an interview, and any transcript of the audio taped interview. The remaining defendants and third parties consent to the order sought. Mr. Cliff opposes the order sought on the ground that the statements are protected by litigation privilege.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Weaver also seeks compliance with an order for production of certain documents in the possession of Mr. Cliff that I issued at a Case Management Conference on February 11, 2011. On the morning of this application, Mr. Cliff's counsel provided a disk to Mr. Weaver's counsel that purported to include unredacted copies of the Insurance Corporation of British Columbia's ("ICBC") coordinator reports and Mr. Cliff's rehabilitation file obtained pursuant to a Freedom of Information Act request. Mr. Cliff does not oppose Mr. Weaver's application on its merits, but maintains it is academic because these documents have now been produced. Although Mr. Weaver has not yet examined the disk, it was suggested that this portion of his application be adjourned to permit a review of the disk. I find this is an appropriate course of action. Thus this portion of Mr. Weaver's application is adjourned pending an examination of the disk. Any issue of costs will be addressed by the trial judge.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action involves a motor vehicle accident that occurred on January 21, 2007, when Ms. Dahl's vehicle struck Mr. Cliff, who at the time was a pedestrian. Mr. Cliff was standing in the northbound lane of Bradner Road in Abbotsford, B.C. when he was struck by Ms. Dahl's vehicle. Mr. Cliff was assisting Mr. Snelgrove, a tow truck driver, to load two disabled off-road vehicles onto a tow truck. Aggressive Auto Towing Ltd. is a defendant because of an allegation that, as Mr. Snelgrove's employer, the company is vicariously liable for his negligent acts in the course of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third parties, Mr. Weaver, Mr. Unger, and Mr. Jones were present at the scene of the accident and were the owners or operators of the disabled vehicles. Ms. Dahl maintains the third parties caused or contributed to the accident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third party notice against Mr. Weaver and Mr. Jones was filed on June 1, 2010. On November 26, 2010, Ms. Dahl filed the third party notice against Mr. Unger. This notice was filed late due to a misunderstanding as to who, among the three third parties, owned the disabled vehicles.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Cliff subsequently applied to sever the third parties from the primary action and, alternatively, to add the third parties as defendants to ensure that he could claim damages against them in the event they were found to have caused or contributed to the accident. On February 11, 2011, I granted Mr. Cliff's application to add the third parties as defendants in the action. This matter is now set for trial commencing October 1, 2012, for a period of 25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March 2007, Mr. Weaver was interviewed by an investigator hired by Mr. Cliff's counsel; he provided the investigator with an audio recorded statement with respect to his recollection of the accident. In addition to the recording of the interview, Mr. Weaver provided the investigator with a signed statement of his account of the accident. He was not provided with a copy of the statement or the recording. Similarly, Mr. Jones and Mr. Unger were interviewed by the investigator in March and February 2007, respectively, and provided her with signed statements. Their interviews were also audio-recorded. Neither Mr. Jones nor Mr. Unger was given copies of their statements.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Commencing in February 2007, Ms. McAuley, an investigator hired by ICBC, attempted to contact Mr. Weaver, Mr. Unger and Mr. Jones to obtain statements from them regarding the accident. At this time all three individuals were only witnesses to the accident. Ms. McAuley made several attempts to secure statements from these witnesses, but they refused to comply with her request. Although all three witnesses agreed to provide Ms. McAuley with a copy of the statement they had provided to Mr. Cliff's investigator, only Mr. Weaver provided her with an authorization to release the document. Ms. McAuley made several attempts to obtain Mr. Weaver's statement from Mr. Cliff's counsel; however, she received no response to her communications. Subsequent correspondence with the three witnesses concerning an interview was not answered.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Weaver deposed that he met with counsel for Mr. Cliff in the spring of 2008 for an interview; however, he does not recall the questions or his answers. He recalled that Mr. Cliff spoke to him sometime well after the accident and advised him not to speak to ICBC without first contacting Mr. Cliff's counsel. Mr. Weaver deposed that his memory of the events was much better in the spring of 2007 than it is at present due to lapse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Jones deposed that he was interviewed by counsel for Mr. Cliff in the spring or summer of 2007. He does not have a clear recollection of the questions asked or his responses. Mr. Jones deposed that Mr. Cliff advised him not to speak with ICBC representatives without first contacting his counsel sometime in 2007 or 2008. Mr. Jones also deposed that his memory of the accident was much better when he gave a statement to Mr. Cliff's investigator due to the passage of time since that interview.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October 23, 2009, prior to Mr. Weaver, Mr. Unger and Mr. Jones being joined as third parties, Ms. Dahl brought an application for production of the statements they provided to Mr. Cliff's investigator. Master Baker dismissed Ms. Dahl's application on the ground that the documents were covered by litigation privilege; that is, the dominant purpose for their creation was in aid of the conduct of litigation and to obtain legal advice: </w:t>
      </w:r>
      <w:r>
        <w:rPr>
          <w:rFonts w:ascii="arial" w:eastAsia="arial" w:hAnsi="arial" w:cs="arial"/>
          <w:i/>
          <w:color w:val="000000"/>
          <w:sz w:val="20"/>
          <w:lang w:val="en-US" w:eastAsia="en-US" w:bidi="ar-SA"/>
        </w:rPr>
        <w:t>Cliff v. Dahl</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2009 BCSC 1947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Cliff v. Dahl</w:t>
      </w:r>
      <w:r>
        <w:rPr>
          <w:rFonts w:ascii="arial" w:eastAsia="arial" w:hAnsi="arial" w:cs="arial"/>
          <w:color w:val="000000"/>
          <w:sz w:val="20"/>
          <w:lang w:val="en-US" w:eastAsia="en-US" w:bidi="ar-SA"/>
        </w:rPr>
        <w:t xml:space="preserve">, 2009"). Ms. Dahl appealed this decision and the appeal was dismissed: </w:t>
      </w:r>
      <w:r>
        <w:rPr>
          <w:rFonts w:ascii="arial" w:eastAsia="arial" w:hAnsi="arial" w:cs="arial"/>
          <w:i/>
          <w:color w:val="000000"/>
          <w:sz w:val="20"/>
          <w:lang w:val="en-US" w:eastAsia="en-US" w:bidi="ar-SA"/>
        </w:rPr>
        <w:t>Cliff v. Dahl</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2010 BCSC 1998</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Once Mr. Weaver, Mr. Unger and Mr. Jones were added as third parties, they provided statements to Ms. McAuley. This occurred between September and December 2010.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for Mr. Cliff deposed that on numerous occasions he invited Mr. Weaver, Mr. Jones and Mr. Unger to bring an application for summary dismissal. He also advised these defendants that Mr. Cliff would support their application for summary dismissal.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ARGUMENT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Mr. Weaver argues that his change in status from a witness to a party adverse in interest gives rise to a right to production of the statement he provided to Mr. Cliff's investigator. While a witness statement may be privileged if the dominant purpose for its creation is to assist in the conduct of litigation, where the witness becomes a party to the action adverse in interest to the party taking the statement, it is no longer privileged: </w:t>
      </w:r>
      <w:r>
        <w:rPr>
          <w:rFonts w:ascii="arial" w:eastAsia="arial" w:hAnsi="arial" w:cs="arial"/>
          <w:i/>
          <w:color w:val="000000"/>
          <w:sz w:val="20"/>
          <w:lang w:val="en-US" w:eastAsia="en-US" w:bidi="ar-SA"/>
        </w:rPr>
        <w:t>Flack v. Pacific Press Ltd. et al</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[1970] B.C.J. No. 631</w:t>
        </w:r>
      </w:hyperlink>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14 D.L.R. (3d) 334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Ridout Wines Ltd. v. Barratt</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(1983), 44 B.C.L.R. 142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Bell et al v. Board of School Trustees of School District No. 7 (Courtney)</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[1987] B.C.J. No. 981</w:t>
        </w:r>
      </w:hyperlink>
      <w:r>
        <w:rPr>
          <w:rFonts w:ascii="arial" w:eastAsia="arial" w:hAnsi="arial" w:cs="arial"/>
          <w:color w:val="000000"/>
          <w:sz w:val="20"/>
          <w:lang w:val="en-US" w:eastAsia="en-US" w:bidi="ar-SA"/>
        </w:rPr>
        <w:t xml:space="preserve"> (7 May 1987), Vancouver C825989 (S.C.); </w:t>
      </w:r>
      <w:r>
        <w:rPr>
          <w:rFonts w:ascii="arial" w:eastAsia="arial" w:hAnsi="arial" w:cs="arial"/>
          <w:i/>
          <w:color w:val="000000"/>
          <w:sz w:val="20"/>
          <w:lang w:val="en-US" w:eastAsia="en-US" w:bidi="ar-SA"/>
        </w:rPr>
        <w:t>Strass v. Goldsack et al.</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[1975] A.J. No. 497</w:t>
        </w:r>
      </w:hyperlink>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58 D.L.R. (3d) 397</w:t>
        </w:r>
      </w:hyperlink>
      <w:r>
        <w:rPr>
          <w:rFonts w:ascii="arial" w:eastAsia="arial" w:hAnsi="arial" w:cs="arial"/>
          <w:color w:val="000000"/>
          <w:sz w:val="20"/>
          <w:lang w:val="en-US" w:eastAsia="en-US" w:bidi="ar-SA"/>
        </w:rPr>
        <w:t xml:space="preserve"> (Alta. S.C.); </w:t>
      </w:r>
      <w:r>
        <w:rPr>
          <w:rFonts w:ascii="arial" w:eastAsia="arial" w:hAnsi="arial" w:cs="arial"/>
          <w:i/>
          <w:color w:val="000000"/>
          <w:sz w:val="20"/>
          <w:lang w:val="en-US" w:eastAsia="en-US" w:bidi="ar-SA"/>
        </w:rPr>
        <w:t>Peters v. Toews</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(1993), 86 Man.R. (2d) 232</w:t>
        </w:r>
      </w:hyperlink>
      <w:r>
        <w:rPr>
          <w:rFonts w:ascii="arial" w:eastAsia="arial" w:hAnsi="arial" w:cs="arial"/>
          <w:color w:val="000000"/>
          <w:sz w:val="20"/>
          <w:lang w:val="en-US" w:eastAsia="en-US" w:bidi="ar-SA"/>
        </w:rPr>
        <w:t xml:space="preserve"> (Q.B.); and </w:t>
      </w:r>
      <w:r>
        <w:rPr>
          <w:rFonts w:ascii="arial" w:eastAsia="arial" w:hAnsi="arial" w:cs="arial"/>
          <w:i/>
          <w:color w:val="000000"/>
          <w:sz w:val="20"/>
          <w:lang w:val="en-US" w:eastAsia="en-US" w:bidi="ar-SA"/>
        </w:rPr>
        <w:t>Wasilkowsky v. Borysowich</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[1972] 2 O.R. 621</w:t>
        </w:r>
      </w:hyperlink>
      <w:r>
        <w:rPr>
          <w:rFonts w:ascii="arial" w:eastAsia="arial" w:hAnsi="arial" w:cs="arial"/>
          <w:color w:val="000000"/>
          <w:sz w:val="20"/>
          <w:lang w:val="en-US" w:eastAsia="en-US" w:bidi="ar-SA"/>
        </w:rPr>
        <w:t xml:space="preserve"> (Ont. H.C.J.).</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Mr. Weaver argues it is irrelevant that he was not a party at the time of the statement. The privileged status of documents can change in the course of litigation just as the parties to the action change: </w:t>
      </w:r>
      <w:r>
        <w:rPr>
          <w:rFonts w:ascii="arial" w:eastAsia="arial" w:hAnsi="arial" w:cs="arial"/>
          <w:i/>
          <w:color w:val="000000"/>
          <w:sz w:val="20"/>
          <w:lang w:val="en-US" w:eastAsia="en-US" w:bidi="ar-SA"/>
        </w:rPr>
        <w:t>Bajpai v. Hunter</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[1990] B.C.J. No. 1185</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Western Canadian Place Ltd. v. Con-Force Products Ltd.</w:t>
      </w:r>
      <w:r>
        <w:rPr>
          <w:rFonts w:ascii="arial" w:eastAsia="arial" w:hAnsi="arial" w:cs="arial"/>
          <w:color w:val="000000"/>
          <w:sz w:val="20"/>
          <w:lang w:val="en-US" w:eastAsia="en-US" w:bidi="ar-SA"/>
        </w:rPr>
        <w:t xml:space="preserve"> (1997), </w:t>
      </w:r>
      <w:hyperlink r:id="rId629" w:history="1">
        <w:r>
          <w:rPr>
            <w:rFonts w:ascii="arial" w:eastAsia="arial" w:hAnsi="arial" w:cs="arial"/>
            <w:i/>
            <w:color w:val="0077CC"/>
            <w:sz w:val="20"/>
            <w:u w:val="single"/>
            <w:shd w:val="clear" w:color="auto" w:fill="FFFFFF"/>
            <w:lang w:val="en-US" w:eastAsia="en-US" w:bidi="ar-SA"/>
          </w:rPr>
          <w:t>50 Alta. L.R. (3d) 131</w:t>
        </w:r>
      </w:hyperlink>
      <w:r>
        <w:rPr>
          <w:rFonts w:ascii="arial" w:eastAsia="arial" w:hAnsi="arial" w:cs="arial"/>
          <w:color w:val="000000"/>
          <w:sz w:val="20"/>
          <w:lang w:val="en-US" w:eastAsia="en-US" w:bidi="ar-SA"/>
        </w:rPr>
        <w:t xml:space="preserve"> (Q.B.).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Further, Mr. Weaver maintains the issues raised by his application are not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due to </w:t>
      </w:r>
      <w:r>
        <w:rPr>
          <w:rFonts w:ascii="arial" w:eastAsia="arial" w:hAnsi="arial" w:cs="arial"/>
          <w:i/>
          <w:color w:val="000000"/>
          <w:sz w:val="20"/>
          <w:lang w:val="en-US" w:eastAsia="en-US" w:bidi="ar-SA"/>
        </w:rPr>
        <w:t>Cliff v. Dahl,</w:t>
      </w:r>
      <w:r>
        <w:rPr>
          <w:rFonts w:ascii="arial" w:eastAsia="arial" w:hAnsi="arial" w:cs="arial"/>
          <w:color w:val="000000"/>
          <w:sz w:val="20"/>
          <w:lang w:val="en-US" w:eastAsia="en-US" w:bidi="ar-SA"/>
        </w:rPr>
        <w:t xml:space="preserve"> 2009. In that case, Master Baker addressed the status of a witness statement rather than a statement made by a party who is adverse in interest.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Lastly, Mr. Weaver argues that even if his statement continues to be governed by litigation privilege, it should be produced out of fairness. Despite significant efforts on the part of ICBC, the evidence contained in the statement is not otherwise available: </w:t>
      </w:r>
      <w:r>
        <w:rPr>
          <w:rFonts w:ascii="arial" w:eastAsia="arial" w:hAnsi="arial" w:cs="arial"/>
          <w:i/>
          <w:color w:val="000000"/>
          <w:sz w:val="20"/>
          <w:lang w:val="en-US" w:eastAsia="en-US" w:bidi="ar-SA"/>
        </w:rPr>
        <w:t>Steeves (Guardian ad litem of) v. Rapanos</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(1982), 140 D.L.R. (3d) 121</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Vukovic v. Madill</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(1995), 9 B.C.L.R. (3d) 78</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Patelidis v. Black Top Cabs Ltd.</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[1998] B.C.J. No. 3154</w:t>
        </w:r>
      </w:hyperlink>
      <w:r>
        <w:rPr>
          <w:rFonts w:ascii="arial" w:eastAsia="arial" w:hAnsi="arial" w:cs="arial"/>
          <w:color w:val="000000"/>
          <w:sz w:val="20"/>
          <w:lang w:val="en-US" w:eastAsia="en-US" w:bidi="ar-SA"/>
        </w:rPr>
        <w:t xml:space="preserve"> (S.C.). Mr. Weaver argues that the statement represents the best evidence of what occurred and his memory has faded over the five years since the accident. Further, had Mr. Cliff not discouraged Mr. Weaver from giving a statement to ICBC, the evidence would have been available from another source.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Jones adopts the argument made by Mr. Weaver and cites two additional authorities that support his position that a party adverse in interest is entitled to his own statement even if it has become part of Mr. Cliff's solicitor's brief: </w:t>
      </w:r>
      <w:r>
        <w:rPr>
          <w:rFonts w:ascii="arial" w:eastAsia="arial" w:hAnsi="arial" w:cs="arial"/>
          <w:i/>
          <w:color w:val="000000"/>
          <w:sz w:val="20"/>
          <w:lang w:val="en-US" w:eastAsia="en-US" w:bidi="ar-SA"/>
        </w:rPr>
        <w:t>Berghuis v. Future Shop Ltd.</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2000 BCSC 1398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Hanna v. Maritime Life Assurance Co.</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(1994), 137 N.S.R. (2d) 339</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Mr. Cliff opposes the production of the statements on the basis that it is covered by litigation privilege. He argues this finding is </w:t>
      </w:r>
      <w:r>
        <w:rPr>
          <w:rFonts w:ascii="arial" w:eastAsia="arial" w:hAnsi="arial" w:cs="arial"/>
          <w:i/>
          <w:color w:val="000000"/>
          <w:sz w:val="20"/>
          <w:lang w:val="en-US" w:eastAsia="en-US" w:bidi="ar-SA"/>
        </w:rPr>
        <w:t xml:space="preserve">res judicata: </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Cliff v. Dahl</w:t>
      </w:r>
      <w:r>
        <w:rPr>
          <w:rFonts w:ascii="arial" w:eastAsia="arial" w:hAnsi="arial" w:cs="arial"/>
          <w:color w:val="000000"/>
          <w:sz w:val="20"/>
          <w:lang w:val="en-US" w:eastAsia="en-US" w:bidi="ar-SA"/>
        </w:rPr>
        <w:t xml:space="preserve">, 2009; upheld on appeal: </w:t>
      </w:r>
      <w:hyperlink r:id="rId621" w:history="1">
        <w:r>
          <w:rPr>
            <w:rFonts w:ascii="arial" w:eastAsia="arial" w:hAnsi="arial" w:cs="arial"/>
            <w:i/>
            <w:color w:val="0077CC"/>
            <w:sz w:val="20"/>
            <w:u w:val="single"/>
            <w:shd w:val="clear" w:color="auto" w:fill="FFFFFF"/>
            <w:lang w:val="en-US" w:eastAsia="en-US" w:bidi="ar-SA"/>
          </w:rPr>
          <w:t>2010 BCSC 1998</w:t>
        </w:r>
      </w:hyperlink>
      <w:r>
        <w:rPr>
          <w:rFonts w:ascii="arial" w:eastAsia="arial" w:hAnsi="arial" w:cs="arial"/>
          <w:color w:val="000000"/>
          <w:sz w:val="20"/>
          <w:lang w:val="en-US" w:eastAsia="en-US" w:bidi="ar-SA"/>
        </w:rPr>
        <w:t>. He also argues that the issue of fairness in disclosing the statement was dealt with and dismissed in Ms. Dahl's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Mr. Cliff argues that the authorities cited by Mr. Weaver and Mr. Jones solely address the matter of solicitor-client privilege. They do not consider litigation privilege which protects the process of litigation rather than the relationship between lawyer and client: See Robert J. Sharpe, "Claiming Privilege in the Discovery Process" in </w:t>
      </w:r>
      <w:r>
        <w:rPr>
          <w:rFonts w:ascii="arial" w:eastAsia="arial" w:hAnsi="arial" w:cs="arial"/>
          <w:i/>
          <w:color w:val="000000"/>
          <w:sz w:val="20"/>
          <w:lang w:val="en-US" w:eastAsia="en-US" w:bidi="ar-SA"/>
        </w:rPr>
        <w:t>Law in Transition: Evidence, Law Society of Upper Canada Special Lectures</w:t>
      </w:r>
      <w:r>
        <w:rPr>
          <w:rFonts w:ascii="arial" w:eastAsia="arial" w:hAnsi="arial" w:cs="arial"/>
          <w:color w:val="000000"/>
          <w:sz w:val="20"/>
          <w:lang w:val="en-US" w:eastAsia="en-US" w:bidi="ar-SA"/>
        </w:rPr>
        <w:t xml:space="preserve"> (Toronto: De Boo, 1984) 163. Because these privileges are governed by different policy considerations, authorities dealing with solicitor-client privilege cannot assist the applicants. More recent cases have limited the ratio in </w:t>
      </w:r>
      <w:r>
        <w:rPr>
          <w:rFonts w:ascii="arial" w:eastAsia="arial" w:hAnsi="arial" w:cs="arial"/>
          <w:i/>
          <w:color w:val="000000"/>
          <w:sz w:val="20"/>
          <w:lang w:val="en-US" w:eastAsia="en-US" w:bidi="ar-SA"/>
        </w:rPr>
        <w:t>Flack</w:t>
      </w:r>
      <w:r>
        <w:rPr>
          <w:rFonts w:ascii="arial" w:eastAsia="arial" w:hAnsi="arial" w:cs="arial"/>
          <w:color w:val="000000"/>
          <w:sz w:val="20"/>
          <w:lang w:val="en-US" w:eastAsia="en-US" w:bidi="ar-SA"/>
        </w:rPr>
        <w:t xml:space="preserve"> to solicitor-client privilege situations: </w:t>
      </w:r>
      <w:r>
        <w:rPr>
          <w:rFonts w:ascii="arial" w:eastAsia="arial" w:hAnsi="arial" w:cs="arial"/>
          <w:i/>
          <w:color w:val="000000"/>
          <w:sz w:val="20"/>
          <w:lang w:val="en-US" w:eastAsia="en-US" w:bidi="ar-SA"/>
        </w:rPr>
        <w:t>Henderson v. Lodge</w:t>
      </w:r>
      <w:r>
        <w:rPr>
          <w:rFonts w:ascii="arial" w:eastAsia="arial" w:hAnsi="arial" w:cs="arial"/>
          <w:color w:val="000000"/>
          <w:sz w:val="20"/>
          <w:lang w:val="en-US" w:eastAsia="en-US" w:bidi="ar-SA"/>
        </w:rPr>
        <w:t xml:space="preserve"> (1993), 16 C.P.C. (3d) 276 (B.C.S.C.).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Mr. Cliff argues that production of the statements would deprive his counsel of privacy in preparing for litigation. Once Mr. Weaver and Mr. Jones have their statements, the privilege is lost and they will be obliged to produce them to Ms. Dahl. As a consequence, Ms. Dahl would have obtained indirectly what she could not obtain directly through her own application for production. This result creates additional unfairness to Mr. Cliff because it is apparent that Ms. Dahl has no case against the applicants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These parties will ultimately be released from liability in a summary trial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There are two issues to address: (1) Is the subject matter of this application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(2) Should Mr. Cliff be ordered to produce the statements of Mr. Weaver and Mr. Jones because these applicants are now parties to the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Turning to the first question, in </w:t>
      </w:r>
      <w:r>
        <w:rPr>
          <w:rFonts w:ascii="arial" w:eastAsia="arial" w:hAnsi="arial" w:cs="arial"/>
          <w:i/>
          <w:color w:val="000000"/>
          <w:sz w:val="20"/>
          <w:lang w:val="en-US" w:eastAsia="en-US" w:bidi="ar-SA"/>
        </w:rPr>
        <w:t>Cliff v. Dahl</w:t>
      </w:r>
      <w:r>
        <w:rPr>
          <w:rFonts w:ascii="arial" w:eastAsia="arial" w:hAnsi="arial" w:cs="arial"/>
          <w:color w:val="000000"/>
          <w:sz w:val="20"/>
          <w:lang w:val="en-US" w:eastAsia="en-US" w:bidi="ar-SA"/>
        </w:rPr>
        <w:t xml:space="preserve">, 2009, Master Baker dismissed Ms. Dahl's application for production of the statements provided by Mr. Weaver, Mr. Unger and Mr. Jones to the investigator hired by Mr. Cliff because they were privileged. Master Baker concluded that the dominant purpose for the creation of these statements was in aid of litigation and that litigation was a reasonable prospect at the time the statements were taken. Master Baker's decision was upheld on appeal: </w:t>
      </w:r>
      <w:hyperlink r:id="rId621" w:history="1">
        <w:r>
          <w:rPr>
            <w:rFonts w:ascii="arial" w:eastAsia="arial" w:hAnsi="arial" w:cs="arial"/>
            <w:i/>
            <w:color w:val="0077CC"/>
            <w:sz w:val="20"/>
            <w:u w:val="single"/>
            <w:shd w:val="clear" w:color="auto" w:fill="FFFFFF"/>
            <w:lang w:val="en-US" w:eastAsia="en-US" w:bidi="ar-SA"/>
          </w:rPr>
          <w:t>2010 BCSC 1998</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While I agree the question of whether the statements of Mr. Weaver and Mr. Jones were governed by litigation privilege at the time they were created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 am satisfied there is a material difference between production of statements made by a witness and production of statements made by a party who is adverse in interest. These two types of applications raise distinct issues. As illustrated by the authorities cited by Mr. Weaver and Mr. Jones, there are different legal principles involved in a determination of whether a party's statement, as opposed to a witness statement, ought to be produced by the opposing party. In addition, Master Baker, and latterly Smith J. on appeal, addressed an application by Ms. Dahl for production of statements made by Mr. Weaver, Mr. Jones and Mr. Unger rather than for production of her own statement. These two key distinguishing factors preclude a conclusion that Mr. Weaver and Mr. Jones' application for production of their statements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Addressing the second question, it is clear that since the decision of our Court of Appeal in </w:t>
      </w:r>
      <w:r>
        <w:rPr>
          <w:rFonts w:ascii="arial" w:eastAsia="arial" w:hAnsi="arial" w:cs="arial"/>
          <w:i/>
          <w:color w:val="000000"/>
          <w:sz w:val="20"/>
          <w:lang w:val="en-US" w:eastAsia="en-US" w:bidi="ar-SA"/>
        </w:rPr>
        <w:t>Flack,</w:t>
      </w:r>
      <w:r>
        <w:rPr>
          <w:rFonts w:ascii="arial" w:eastAsia="arial" w:hAnsi="arial" w:cs="arial"/>
          <w:color w:val="000000"/>
          <w:sz w:val="20"/>
          <w:lang w:val="en-US" w:eastAsia="en-US" w:bidi="ar-SA"/>
        </w:rPr>
        <w:t xml:space="preserve"> a statement made by one party to an agent of another party, who is adverse in interest, is not privileged and must be produced upon demand to the maker of the statement. It is irrelevant that the statement was made either before litigation had commenced or at a time when the person was a witness rather than a party to the action. Privilege over a document may be lost by a change in status from witness to party adverse in interest. This is precisely what occurred in </w:t>
      </w:r>
      <w:r>
        <w:rPr>
          <w:rFonts w:ascii="arial" w:eastAsia="arial" w:hAnsi="arial" w:cs="arial"/>
          <w:i/>
          <w:color w:val="000000"/>
          <w:sz w:val="20"/>
          <w:lang w:val="en-US" w:eastAsia="en-US" w:bidi="ar-SA"/>
        </w:rPr>
        <w:t>Flack</w:t>
      </w:r>
      <w:r>
        <w:rPr>
          <w:rFonts w:ascii="arial" w:eastAsia="arial" w:hAnsi="arial" w:cs="arial"/>
          <w:color w:val="000000"/>
          <w:sz w:val="20"/>
          <w:lang w:val="en-US" w:eastAsia="en-US" w:bidi="ar-SA"/>
        </w:rPr>
        <w:t xml:space="preserve"> and as noted by Master Grist (as he then was) in </w:t>
      </w:r>
      <w:r>
        <w:rPr>
          <w:rFonts w:ascii="arial" w:eastAsia="arial" w:hAnsi="arial" w:cs="arial"/>
          <w:i/>
          <w:color w:val="000000"/>
          <w:sz w:val="20"/>
          <w:lang w:val="en-US" w:eastAsia="en-US" w:bidi="ar-SA"/>
        </w:rPr>
        <w:t>Bajpai.</w:t>
      </w:r>
      <w:r>
        <w:rPr>
          <w:rFonts w:ascii="arial" w:eastAsia="arial" w:hAnsi="arial" w:cs="arial"/>
          <w:color w:val="000000"/>
          <w:sz w:val="20"/>
          <w:lang w:val="en-US" w:eastAsia="en-US" w:bidi="ar-SA"/>
        </w:rPr>
        <w:t xml:space="preserve"> Thus where a witness is subsequently joined as a party, a statement made by that witness to a party now adverse in interest is no longer privileged.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Mr. Cliff argues that the authorities, commencing with </w:t>
      </w:r>
      <w:r>
        <w:rPr>
          <w:rFonts w:ascii="arial" w:eastAsia="arial" w:hAnsi="arial" w:cs="arial"/>
          <w:i/>
          <w:color w:val="000000"/>
          <w:sz w:val="20"/>
          <w:lang w:val="en-US" w:eastAsia="en-US" w:bidi="ar-SA"/>
        </w:rPr>
        <w:t>Flack</w:t>
      </w:r>
      <w:r>
        <w:rPr>
          <w:rFonts w:ascii="arial" w:eastAsia="arial" w:hAnsi="arial" w:cs="arial"/>
          <w:color w:val="000000"/>
          <w:sz w:val="20"/>
          <w:lang w:val="en-US" w:eastAsia="en-US" w:bidi="ar-SA"/>
        </w:rPr>
        <w:t xml:space="preserve">, are distinguishable because the underlying rationale for the production of the statements is that they are not covered by solicitor-client privilege. In this case, argues Mr. Cliff, the statements are governed by litigation privilege, which is much broader and does not hinge on a finding that the communications originated in confidence. Mr. Cliff points to the fact that the cases cited by the applicants do not address the leading authority on litigation privilege: </w:t>
      </w:r>
      <w:r>
        <w:rPr>
          <w:rFonts w:ascii="arial" w:eastAsia="arial" w:hAnsi="arial" w:cs="arial"/>
          <w:i/>
          <w:color w:val="000000"/>
          <w:sz w:val="20"/>
          <w:lang w:val="en-US" w:eastAsia="en-US" w:bidi="ar-SA"/>
        </w:rPr>
        <w:t>Hamalainen (Committee of) v. Sippola</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(1991), 9 B.C.A.C. 254</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my view, the principles articulated in </w:t>
      </w:r>
      <w:r>
        <w:rPr>
          <w:rFonts w:ascii="arial" w:eastAsia="arial" w:hAnsi="arial" w:cs="arial"/>
          <w:i/>
          <w:color w:val="000000"/>
          <w:sz w:val="20"/>
          <w:lang w:val="en-US" w:eastAsia="en-US" w:bidi="ar-SA"/>
        </w:rPr>
        <w:t>Flack</w:t>
      </w:r>
      <w:r>
        <w:rPr>
          <w:rFonts w:ascii="arial" w:eastAsia="arial" w:hAnsi="arial" w:cs="arial"/>
          <w:color w:val="000000"/>
          <w:sz w:val="20"/>
          <w:lang w:val="en-US" w:eastAsia="en-US" w:bidi="ar-SA"/>
        </w:rPr>
        <w:t xml:space="preserve"> should not be interpreted narrowly, as argued by Mr. Cliff. The underlying rationale for ordering production of statements by adverse parties is the same regardless of whether it is based upon the Wigmore factors or principles of fairness. Many of the authorities cited by the applicants address both the lack of confidentiality of statements made by parties to a party adverse in interest and the concept of fairness inherent in a party knowing the case to be met and preventing trial by ambush.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Flack</w:t>
      </w:r>
      <w:r>
        <w:rPr>
          <w:rFonts w:ascii="arial" w:eastAsia="arial" w:hAnsi="arial" w:cs="arial"/>
          <w:color w:val="000000"/>
          <w:sz w:val="20"/>
          <w:lang w:val="en-US" w:eastAsia="en-US" w:bidi="ar-SA"/>
        </w:rPr>
        <w:t xml:space="preserve">, the defendant's insurer obtained a statement from the injured party in a motor vehicle accident before this party had commenced an action against the defendant. It was agreed that the statement was obtained for use in litigation pending or anticipated and for the purpose of instructing the defendant's counsel. After the writ was filed, the plaintiff sought production of this statement. Robertson J.A., in concurring reasons, addressed solicitor-client privilege in terms of confidential communications between the client and his solicitor as well as the privilege that applies to documents gathered or created by the solicitor in order to advise the client: </w:t>
      </w:r>
      <w:r>
        <w:rPr>
          <w:rFonts w:ascii="arial" w:eastAsia="arial" w:hAnsi="arial" w:cs="arial"/>
          <w:i/>
          <w:color w:val="000000"/>
          <w:sz w:val="20"/>
          <w:lang w:val="en-US" w:eastAsia="en-US" w:bidi="ar-SA"/>
        </w:rPr>
        <w:t>Flack</w:t>
      </w:r>
      <w:r>
        <w:rPr>
          <w:rFonts w:ascii="arial" w:eastAsia="arial" w:hAnsi="arial" w:cs="arial"/>
          <w:color w:val="000000"/>
          <w:sz w:val="20"/>
          <w:lang w:val="en-US" w:eastAsia="en-US" w:bidi="ar-SA"/>
        </w:rPr>
        <w:t xml:space="preserve"> at para. 13. Robertson J.A. elaborates upon the basis for concluding the statement of a party adverse in interest is not privileged at para. 27 of </w:t>
      </w:r>
      <w:r>
        <w:rPr>
          <w:rFonts w:ascii="arial" w:eastAsia="arial" w:hAnsi="arial" w:cs="arial"/>
          <w:i/>
          <w:color w:val="000000"/>
          <w:sz w:val="20"/>
          <w:lang w:val="en-US" w:eastAsia="en-US" w:bidi="ar-SA"/>
        </w:rPr>
        <w:t>Flack</w:t>
      </w:r>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my opinion the document does not fall within the principle upon which privilege rests. It can be no discouragement of laymen consulting lawyers that a party is allowed to see a document which he himself supplied to an opposite party. The information having originated with the one party, there is no secrecy to guard. The document was not a communication between the defendants and their solicitor. The matter does not fall within these words in the passage I have quoted from </w:t>
      </w:r>
      <w:r>
        <w:rPr>
          <w:rFonts w:ascii="arial" w:eastAsia="arial" w:hAnsi="arial" w:cs="arial"/>
          <w:i/>
          <w:color w:val="000000"/>
          <w:sz w:val="20"/>
          <w:lang w:val="en-US" w:eastAsia="en-US" w:bidi="ar-SA"/>
        </w:rPr>
        <w:t>Anderson v. Bank of British Columbia</w:t>
      </w:r>
      <w:r>
        <w:rPr>
          <w:rFonts w:ascii="arial" w:eastAsia="arial" w:hAnsi="arial" w:cs="arial"/>
          <w:color w:val="000000"/>
          <w:sz w:val="20"/>
          <w:lang w:val="en-US" w:eastAsia="en-US" w:bidi="ar-SA"/>
        </w:rPr>
        <w:t xml:space="preserve"> [(1876), 2 Ch.D. 644]: "The solicitor requires further information, and says, I will obtain it from a third person. That is confidential.", for the plaintiff is not "a third person" in the sense in which the phrase is used there. In the passage I have quoted from </w:t>
      </w:r>
      <w:r>
        <w:rPr>
          <w:rFonts w:ascii="arial" w:eastAsia="arial" w:hAnsi="arial" w:cs="arial"/>
          <w:i/>
          <w:color w:val="000000"/>
          <w:sz w:val="20"/>
          <w:lang w:val="en-US" w:eastAsia="en-US" w:bidi="ar-SA"/>
        </w:rPr>
        <w:t>Southwark &amp; Vauxhall Water Co. v. Quick</w:t>
      </w:r>
      <w:r>
        <w:rPr>
          <w:rFonts w:ascii="arial" w:eastAsia="arial" w:hAnsi="arial" w:cs="arial"/>
          <w:color w:val="000000"/>
          <w:sz w:val="20"/>
          <w:lang w:val="en-US" w:eastAsia="en-US" w:bidi="ar-SA"/>
        </w:rPr>
        <w:t xml:space="preserve"> [(1878), 3 Q.B.D. 315 (C.A.)] these words appear: "... no one shall be entitled to call for the production of a document which has been submitted to the solicitor for the purpose of obtaining his advice"; they do not apply here, for the plaintiff did not submit the document to the defendants' solicitor for the purpose of </w:t>
      </w:r>
      <w:r>
        <w:rPr>
          <w:rFonts w:ascii="arial" w:eastAsia="arial" w:hAnsi="arial" w:cs="arial"/>
          <w:i/>
          <w:color w:val="000000"/>
          <w:sz w:val="20"/>
          <w:lang w:val="en-US" w:eastAsia="en-US" w:bidi="ar-SA"/>
        </w:rPr>
        <w:t>her</w:t>
      </w:r>
      <w:r>
        <w:rPr>
          <w:rFonts w:ascii="arial" w:eastAsia="arial" w:hAnsi="arial" w:cs="arial"/>
          <w:color w:val="000000"/>
          <w:sz w:val="20"/>
          <w:lang w:val="en-US" w:eastAsia="en-US" w:bidi="ar-SA"/>
        </w:rPr>
        <w:t xml:space="preserve"> obtaining his advice; rather she gave the document to the adjuster so that the insurers and the defendants might submit it to their solicitor in order that he might advise </w:t>
      </w:r>
      <w:r>
        <w:rPr>
          <w:rFonts w:ascii="arial" w:eastAsia="arial" w:hAnsi="arial" w:cs="arial"/>
          <w:i/>
          <w:color w:val="000000"/>
          <w:sz w:val="20"/>
          <w:lang w:val="en-US" w:eastAsia="en-US" w:bidi="ar-SA"/>
        </w:rPr>
        <w:t>them</w:t>
      </w:r>
      <w:r>
        <w:rPr>
          <w:rFonts w:ascii="arial" w:eastAsia="arial" w:hAnsi="arial" w:cs="arial"/>
          <w:color w:val="000000"/>
          <w:sz w:val="20"/>
          <w:lang w:val="en-US" w:eastAsia="en-US" w:bidi="ar-SA"/>
        </w:rPr>
        <w:t xml:space="preserve">. The document does not fall within these words that I have quoted from Lord Blackburn in </w:t>
      </w:r>
      <w:r>
        <w:rPr>
          <w:rFonts w:ascii="arial" w:eastAsia="arial" w:hAnsi="arial" w:cs="arial"/>
          <w:i/>
          <w:color w:val="000000"/>
          <w:sz w:val="20"/>
          <w:lang w:val="en-US" w:eastAsia="en-US" w:bidi="ar-SA"/>
        </w:rPr>
        <w:t>Lyell v. Kennedy</w:t>
      </w:r>
      <w:r>
        <w:rPr>
          <w:rFonts w:ascii="arial" w:eastAsia="arial" w:hAnsi="arial" w:cs="arial"/>
          <w:color w:val="000000"/>
          <w:sz w:val="20"/>
          <w:lang w:val="en-US" w:eastAsia="en-US" w:bidi="ar-SA"/>
        </w:rPr>
        <w:t xml:space="preserve"> [ (1883), 9 App. Cas. 81]: "... the other side is not entitled, on discovery, to require the opponent to produce as a document those papers which the solicitor or attorney has prepared in the course of the case, and has sent to his client". When the document was handed by the plaintiff to the adjuster there can have been on her part no "intention of confidentiality".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Nemetz J.A., for the majority, based his decision on the lack of confidentiality as between the plaintiff providing the statement and the defendant's legal advisors. The common sense perspective he applied to the application for production is equally applicable to documents claimed to be governed by litigation privilege. In this regard, Nemetz J.A. says at para. 80 of Flack:</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would be strange, indeed, if the rule governing privileged documents was so extended as to allow the obtaining of signed statements by one litigant from another, which could be withheld until trial when the maker could then be cross-examined upon a document, a copy of which he had neglected to retain. ... I further conclude that [the trial judge] should have exercised his discretion in favour of the plaintiff since it would not, in my view, be "fit" or "right" (to use the words of O. 31) to allow the defendants to withhold the production of a statement made and signed by the plaintiff which could not possibly interfere with the confidential relationship between the defendants and their legal advisers.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my view, not only are the essential facts in </w:t>
      </w:r>
      <w:r>
        <w:rPr>
          <w:rFonts w:ascii="arial" w:eastAsia="arial" w:hAnsi="arial" w:cs="arial"/>
          <w:i/>
          <w:color w:val="000000"/>
          <w:sz w:val="20"/>
          <w:lang w:val="en-US" w:eastAsia="en-US" w:bidi="ar-SA"/>
        </w:rPr>
        <w:t>Flack</w:t>
      </w:r>
      <w:r>
        <w:rPr>
          <w:rFonts w:ascii="arial" w:eastAsia="arial" w:hAnsi="arial" w:cs="arial"/>
          <w:color w:val="000000"/>
          <w:sz w:val="20"/>
          <w:lang w:val="en-US" w:eastAsia="en-US" w:bidi="ar-SA"/>
        </w:rPr>
        <w:t xml:space="preserve"> identical to the case at hand, but the underlying rationale for the decision is also equally applicable to this application. Mr. Weaver and Mr. Jones are no longer witnesses without a stake in the pending litigation. Ms. Dahl claims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accident. Mr. Cliff has joined them as defendants to the action to enable him to claim damages against them if they are found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While it may be that the case against Mr. Jones and Mr. Weaver is weak, at present their interests are directly affected by the litigation. To properly defend themselves against the claims of either Mr. Cliff or Ms. Dahl the applicants must know the case against them. They should not be at risk of an ambush by the claimant in cross-examination or be held to have admitted certain facts harmful to their defence: per Robertson J.A. at para. 26 of </w:t>
      </w:r>
      <w:r>
        <w:rPr>
          <w:rFonts w:ascii="arial" w:eastAsia="arial" w:hAnsi="arial" w:cs="arial"/>
          <w:i/>
          <w:color w:val="000000"/>
          <w:sz w:val="20"/>
          <w:lang w:val="en-US" w:eastAsia="en-US" w:bidi="ar-SA"/>
        </w:rPr>
        <w:t>Flack</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authorities cited by the applicants that followed </w:t>
      </w:r>
      <w:r>
        <w:rPr>
          <w:rFonts w:ascii="arial" w:eastAsia="arial" w:hAnsi="arial" w:cs="arial"/>
          <w:i/>
          <w:color w:val="000000"/>
          <w:sz w:val="20"/>
          <w:lang w:val="en-US" w:eastAsia="en-US" w:bidi="ar-SA"/>
        </w:rPr>
        <w:t>Flack</w:t>
      </w:r>
      <w:r>
        <w:rPr>
          <w:rFonts w:ascii="arial" w:eastAsia="arial" w:hAnsi="arial" w:cs="arial"/>
          <w:color w:val="000000"/>
          <w:sz w:val="20"/>
          <w:lang w:val="en-US" w:eastAsia="en-US" w:bidi="ar-SA"/>
        </w:rPr>
        <w:t xml:space="preserve"> have applied its ratio to situations where the privilege claimed is litigation privilege rather than privilege related to confidential solicitor-client communications. In </w:t>
      </w:r>
      <w:r>
        <w:rPr>
          <w:rFonts w:ascii="arial" w:eastAsia="arial" w:hAnsi="arial" w:cs="arial"/>
          <w:i/>
          <w:color w:val="000000"/>
          <w:sz w:val="20"/>
          <w:lang w:val="en-US" w:eastAsia="en-US" w:bidi="ar-SA"/>
        </w:rPr>
        <w:t>Ridout Wines Ltd.</w:t>
      </w:r>
      <w:r>
        <w:rPr>
          <w:rFonts w:ascii="arial" w:eastAsia="arial" w:hAnsi="arial" w:cs="arial"/>
          <w:color w:val="000000"/>
          <w:sz w:val="20"/>
          <w:lang w:val="en-US" w:eastAsia="en-US" w:bidi="ar-SA"/>
        </w:rPr>
        <w:t xml:space="preserve">, the Court of Appeal upheld a production order with respect to a statement taken by the defendant's solicitor from a manager employed by the plaintiff. No claim of confidentiality as between solicitor and client could be made in the circumstances. Anderson J.A. agreed with the ruling in chambers that in addition to any confidentiality, it would not be "fit" to withhold the statement until trial. This conclusion stems from </w:t>
      </w:r>
      <w:r>
        <w:rPr>
          <w:rFonts w:ascii="arial" w:eastAsia="arial" w:hAnsi="arial" w:cs="arial"/>
          <w:i/>
          <w:color w:val="000000"/>
          <w:sz w:val="20"/>
          <w:lang w:val="en-US" w:eastAsia="en-US" w:bidi="ar-SA"/>
        </w:rPr>
        <w:t>Strass</w:t>
      </w:r>
      <w:r>
        <w:rPr>
          <w:rFonts w:ascii="arial" w:eastAsia="arial" w:hAnsi="arial" w:cs="arial"/>
          <w:color w:val="000000"/>
          <w:sz w:val="20"/>
          <w:lang w:val="en-US" w:eastAsia="en-US" w:bidi="ar-SA"/>
        </w:rPr>
        <w:t xml:space="preserve"> where McDonald J.A., in concurring reasons, expressly addresses the solicitor's brief privilege and concludes that this privilege cannot preclude production of a statement taken from a party adverse in interest: </w:t>
      </w:r>
      <w:r>
        <w:rPr>
          <w:rFonts w:ascii="arial" w:eastAsia="arial" w:hAnsi="arial" w:cs="arial"/>
          <w:i/>
          <w:color w:val="000000"/>
          <w:sz w:val="20"/>
          <w:lang w:val="en-US" w:eastAsia="en-US" w:bidi="ar-SA"/>
        </w:rPr>
        <w:t>Strass</w:t>
      </w:r>
      <w:r>
        <w:rPr>
          <w:rFonts w:ascii="arial" w:eastAsia="arial" w:hAnsi="arial" w:cs="arial"/>
          <w:color w:val="000000"/>
          <w:sz w:val="20"/>
          <w:lang w:val="en-US" w:eastAsia="en-US" w:bidi="ar-SA"/>
        </w:rPr>
        <w:t xml:space="preserve"> at paras. 94-103.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Peters</w:t>
      </w:r>
      <w:r>
        <w:rPr>
          <w:rFonts w:ascii="arial" w:eastAsia="arial" w:hAnsi="arial" w:cs="arial"/>
          <w:color w:val="000000"/>
          <w:sz w:val="20"/>
          <w:lang w:val="en-US" w:eastAsia="en-US" w:bidi="ar-SA"/>
        </w:rPr>
        <w:t>, Morse J. came to a similar conclusion in regard to the production of a record of a conversation between the plaintiff and an investigator hired by the defendant. In this judgment, Morse J. expressly refers to "dominant purpose" and litigation privilege as not precluding production of the transcript of the conversation. He states at para. 8:</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Plaintiff's counsel referred to authority -- authority which, in my view, should be followed -- that statements made by a party adverse in interest to a representative of the defendant are not privileged even though, as in the present case, the dominant purpose for which the statement is obtained is for anticipated litigation and for the advice of solicitors -- see </w:t>
      </w:r>
      <w:r>
        <w:rPr>
          <w:rFonts w:ascii="arial" w:eastAsia="arial" w:hAnsi="arial" w:cs="arial"/>
          <w:i/>
          <w:color w:val="000000"/>
          <w:sz w:val="20"/>
          <w:lang w:val="en-US" w:eastAsia="en-US" w:bidi="ar-SA"/>
        </w:rPr>
        <w:t>Flack v. Pacific Press</w:t>
      </w:r>
      <w:r>
        <w:rPr>
          <w:rFonts w:ascii="arial" w:eastAsia="arial" w:hAnsi="arial" w:cs="arial"/>
          <w:color w:val="000000"/>
          <w:sz w:val="20"/>
          <w:lang w:val="en-US" w:eastAsia="en-US" w:bidi="ar-SA"/>
        </w:rPr>
        <w:t xml:space="preserve"> (1970), 74 W.W.R. 275 (B.C.C.A.), </w:t>
      </w:r>
      <w:r>
        <w:rPr>
          <w:rFonts w:ascii="arial" w:eastAsia="arial" w:hAnsi="arial" w:cs="arial"/>
          <w:i/>
          <w:color w:val="000000"/>
          <w:sz w:val="20"/>
          <w:lang w:val="en-US" w:eastAsia="en-US" w:bidi="ar-SA"/>
        </w:rPr>
        <w:t>Wasilkowsky v. Borysowich</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[1972] 2 O.R. 621</w:t>
        </w:r>
      </w:hyperlink>
      <w:r>
        <w:rPr>
          <w:rFonts w:ascii="arial" w:eastAsia="arial" w:hAnsi="arial" w:cs="arial"/>
          <w:color w:val="000000"/>
          <w:sz w:val="20"/>
          <w:lang w:val="en-US" w:eastAsia="en-US" w:bidi="ar-SA"/>
        </w:rPr>
        <w:t xml:space="preserve"> (Ont. H.C.J.), </w:t>
      </w:r>
      <w:r>
        <w:rPr>
          <w:rFonts w:ascii="arial" w:eastAsia="arial" w:hAnsi="arial" w:cs="arial"/>
          <w:i/>
          <w:color w:val="000000"/>
          <w:sz w:val="20"/>
          <w:lang w:val="en-US" w:eastAsia="en-US" w:bidi="ar-SA"/>
        </w:rPr>
        <w:t>Strass v. Goldsak</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[1975] 6 W.W.R. 155</w:t>
        </w:r>
      </w:hyperlink>
      <w:r>
        <w:rPr>
          <w:rFonts w:ascii="arial" w:eastAsia="arial" w:hAnsi="arial" w:cs="arial"/>
          <w:color w:val="000000"/>
          <w:sz w:val="20"/>
          <w:lang w:val="en-US" w:eastAsia="en-US" w:bidi="ar-SA"/>
        </w:rPr>
        <w:t xml:space="preserve"> (Alta. C.A.), </w:t>
      </w:r>
      <w:r>
        <w:rPr>
          <w:rFonts w:ascii="arial" w:eastAsia="arial" w:hAnsi="arial" w:cs="arial"/>
          <w:i/>
          <w:color w:val="000000"/>
          <w:sz w:val="20"/>
          <w:lang w:val="en-US" w:eastAsia="en-US" w:bidi="ar-SA"/>
        </w:rPr>
        <w:t>85th Avenue Development Co. Ltd. v. Northern Union Insurance Company Limited et</w:t>
      </w:r>
      <w:r>
        <w:rPr>
          <w:rFonts w:ascii="arial" w:eastAsia="arial" w:hAnsi="arial" w:cs="arial"/>
          <w:color w:val="000000"/>
          <w:sz w:val="20"/>
          <w:lang w:val="en-US" w:eastAsia="en-US" w:bidi="ar-SA"/>
        </w:rPr>
        <w:t xml:space="preserve"> (1986), </w:t>
      </w:r>
      <w:hyperlink r:id="rId636" w:history="1">
        <w:r>
          <w:rPr>
            <w:rFonts w:ascii="arial" w:eastAsia="arial" w:hAnsi="arial" w:cs="arial"/>
            <w:i/>
            <w:color w:val="0077CC"/>
            <w:sz w:val="20"/>
            <w:u w:val="single"/>
            <w:shd w:val="clear" w:color="auto" w:fill="FFFFFF"/>
            <w:lang w:val="en-US" w:eastAsia="en-US" w:bidi="ar-SA"/>
          </w:rPr>
          <w:t>44 Alta. L.R. (2d) 142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GEAC Canada Ltd. v. Prologic Computer Corp.</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(1989), 26 C.P.R. (3d) 86</w:t>
        </w:r>
      </w:hyperlink>
      <w:r>
        <w:rPr>
          <w:rFonts w:ascii="arial" w:eastAsia="arial" w:hAnsi="arial" w:cs="arial"/>
          <w:color w:val="000000"/>
          <w:sz w:val="20"/>
          <w:lang w:val="en-US" w:eastAsia="en-US" w:bidi="ar-SA"/>
        </w:rPr>
        <w:t xml:space="preserve"> (B.C.S.C.).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More recently, the Nova Scotia Supreme Court, in </w:t>
      </w:r>
      <w:r>
        <w:rPr>
          <w:rFonts w:ascii="arial" w:eastAsia="arial" w:hAnsi="arial" w:cs="arial"/>
          <w:i/>
          <w:color w:val="000000"/>
          <w:sz w:val="20"/>
          <w:lang w:val="en-US" w:eastAsia="en-US" w:bidi="ar-SA"/>
        </w:rPr>
        <w:t>Hanna,</w:t>
      </w:r>
      <w:r>
        <w:rPr>
          <w:rFonts w:ascii="arial" w:eastAsia="arial" w:hAnsi="arial" w:cs="arial"/>
          <w:color w:val="000000"/>
          <w:sz w:val="20"/>
          <w:lang w:val="en-US" w:eastAsia="en-US" w:bidi="ar-SA"/>
        </w:rPr>
        <w:t xml:space="preserve"> concluded that the fact a statement given by an adverse party found its way into the "solicitor's brief" and was obtained in anticipation of litigation could not preclude production of the statement because to do otherwise would create unfairness. As found by MacAdam J. at para. 47 of </w:t>
      </w:r>
      <w:r>
        <w:rPr>
          <w:rFonts w:ascii="arial" w:eastAsia="arial" w:hAnsi="arial" w:cs="arial"/>
          <w:i/>
          <w:color w:val="000000"/>
          <w:sz w:val="20"/>
          <w:lang w:val="en-US" w:eastAsia="en-US" w:bidi="ar-SA"/>
        </w:rPr>
        <w:t>Hanna</w:t>
      </w:r>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Fairness requires that a person be able to obtain a copy of their own statement, particularly where they would have had every right to demand a copy as a condition of making the statement in the first place. As noted by Moir, J.A. [in </w:t>
      </w:r>
      <w:r>
        <w:rPr>
          <w:rFonts w:ascii="arial" w:eastAsia="arial" w:hAnsi="arial" w:cs="arial"/>
          <w:i/>
          <w:color w:val="000000"/>
          <w:sz w:val="20"/>
          <w:lang w:val="en-US" w:eastAsia="en-US" w:bidi="ar-SA"/>
        </w:rPr>
        <w:t>Strass</w:t>
      </w:r>
      <w:r>
        <w:rPr>
          <w:rFonts w:ascii="arial" w:eastAsia="arial" w:hAnsi="arial" w:cs="arial"/>
          <w:color w:val="000000"/>
          <w:sz w:val="20"/>
          <w:lang w:val="en-US" w:eastAsia="en-US" w:bidi="ar-SA"/>
        </w:rPr>
        <w:t>], "a trial is not a sporting event" and "the result of litigation ought not to depend upon ignorance or accident". Although not necessarily limited to parties, this is particularly true when the person, although not a party at the time, or even contemplated to be a party, is later sued and joined in the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Lastly, in </w:t>
      </w:r>
      <w:r>
        <w:rPr>
          <w:rFonts w:ascii="arial" w:eastAsia="arial" w:hAnsi="arial" w:cs="arial"/>
          <w:i/>
          <w:color w:val="000000"/>
          <w:sz w:val="20"/>
          <w:lang w:val="en-US" w:eastAsia="en-US" w:bidi="ar-SA"/>
        </w:rPr>
        <w:t>Berghuis</w:t>
      </w:r>
      <w:r>
        <w:rPr>
          <w:rFonts w:ascii="arial" w:eastAsia="arial" w:hAnsi="arial" w:cs="arial"/>
          <w:color w:val="000000"/>
          <w:sz w:val="20"/>
          <w:lang w:val="en-US" w:eastAsia="en-US" w:bidi="ar-SA"/>
        </w:rPr>
        <w:t xml:space="preserve">, Drost J. addressed an application by the plaintiff in a wrongful dismissal action for production of documents, including notes of the employer's questions to him and his responses. Drost J. concluded that all of the documents, including the plaintiff's statement, were prepared for the dominant purpose of obtaining legal advice or aiding in the conduct of anticipated litigation. The application was dismissed on this ground except for the plaintiff's statement. In this regard, Drost J. held that the principles in </w:t>
      </w:r>
      <w:r>
        <w:rPr>
          <w:rFonts w:ascii="arial" w:eastAsia="arial" w:hAnsi="arial" w:cs="arial"/>
          <w:i/>
          <w:color w:val="000000"/>
          <w:sz w:val="20"/>
          <w:lang w:val="en-US" w:eastAsia="en-US" w:bidi="ar-SA"/>
        </w:rPr>
        <w:t>Flack</w:t>
      </w:r>
      <w:r>
        <w:rPr>
          <w:rFonts w:ascii="arial" w:eastAsia="arial" w:hAnsi="arial" w:cs="arial"/>
          <w:color w:val="000000"/>
          <w:sz w:val="20"/>
          <w:lang w:val="en-US" w:eastAsia="en-US" w:bidi="ar-SA"/>
        </w:rPr>
        <w:t xml:space="preserve"> governed the application and ordered the documents be produced. His conclusion is found at para. 36 of </w:t>
      </w:r>
      <w:r>
        <w:rPr>
          <w:rFonts w:ascii="arial" w:eastAsia="arial" w:hAnsi="arial" w:cs="arial"/>
          <w:i/>
          <w:color w:val="000000"/>
          <w:sz w:val="20"/>
          <w:lang w:val="en-US" w:eastAsia="en-US" w:bidi="ar-SA"/>
        </w:rPr>
        <w:t>Berghuis</w:t>
      </w:r>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three possible exceptions relate to documents P10, P19 and P20, the hand-written and typed notes made by Ms. Stuart with respect to her meetings with the plaintiff. While I accept that the notes were prepared for the purpose of obtaining legal advice or aiding in the conduct of anticipated litigation, I have concluded that the confidential relationship between the defendant and its legal advisors will not be violated by an order requiring it to extract and produce any portions of those notes that record questions or allegations put to the plaintiff, and his responses. Notes of that nature are, in my opinion, the equivalent of statements made by the plaintiff and should therefore be produced to him: </w:t>
      </w:r>
      <w:r>
        <w:rPr>
          <w:rFonts w:ascii="arial" w:eastAsia="arial" w:hAnsi="arial" w:cs="arial"/>
          <w:i/>
          <w:color w:val="000000"/>
          <w:sz w:val="20"/>
          <w:lang w:val="en-US" w:eastAsia="en-US" w:bidi="ar-SA"/>
        </w:rPr>
        <w:t>Flack v. Pacific Press Ltd. et al.</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(1970), 14 D.L.R. (3d) 334</w:t>
        </w:r>
      </w:hyperlink>
      <w:r>
        <w:rPr>
          <w:rFonts w:ascii="arial" w:eastAsia="arial" w:hAnsi="arial" w:cs="arial"/>
          <w:color w:val="000000"/>
          <w:sz w:val="20"/>
          <w:lang w:val="en-US" w:eastAsia="en-US" w:bidi="ar-SA"/>
        </w:rPr>
        <w:t xml:space="preserve"> (B.C.C.A.). Apart from any such portions, Ms. Stuart's typed and hand-written notes are privileged.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Mr. Cliff cites </w:t>
      </w:r>
      <w:r>
        <w:rPr>
          <w:rFonts w:ascii="arial" w:eastAsia="arial" w:hAnsi="arial" w:cs="arial"/>
          <w:i/>
          <w:color w:val="000000"/>
          <w:sz w:val="20"/>
          <w:lang w:val="en-US" w:eastAsia="en-US" w:bidi="ar-SA"/>
        </w:rPr>
        <w:t>Henderson</w:t>
      </w:r>
      <w:r>
        <w:rPr>
          <w:rFonts w:ascii="arial" w:eastAsia="arial" w:hAnsi="arial" w:cs="arial"/>
          <w:color w:val="000000"/>
          <w:sz w:val="20"/>
          <w:lang w:val="en-US" w:eastAsia="en-US" w:bidi="ar-SA"/>
        </w:rPr>
        <w:t xml:space="preserve"> as an authority for the proposition that </w:t>
      </w:r>
      <w:r>
        <w:rPr>
          <w:rFonts w:ascii="arial" w:eastAsia="arial" w:hAnsi="arial" w:cs="arial"/>
          <w:i/>
          <w:color w:val="000000"/>
          <w:sz w:val="20"/>
          <w:lang w:val="en-US" w:eastAsia="en-US" w:bidi="ar-SA"/>
        </w:rPr>
        <w:t>Flack</w:t>
      </w:r>
      <w:r>
        <w:rPr>
          <w:rFonts w:ascii="arial" w:eastAsia="arial" w:hAnsi="arial" w:cs="arial"/>
          <w:color w:val="000000"/>
          <w:sz w:val="20"/>
          <w:lang w:val="en-US" w:eastAsia="en-US" w:bidi="ar-SA"/>
        </w:rPr>
        <w:t xml:space="preserve"> must be confined to cases where only solicitor-client privilege is at stake. However, in </w:t>
      </w:r>
      <w:r>
        <w:rPr>
          <w:rFonts w:ascii="arial" w:eastAsia="arial" w:hAnsi="arial" w:cs="arial"/>
          <w:i/>
          <w:color w:val="000000"/>
          <w:sz w:val="20"/>
          <w:lang w:val="en-US" w:eastAsia="en-US" w:bidi="ar-SA"/>
        </w:rPr>
        <w:t>Henderson</w:t>
      </w:r>
      <w:r>
        <w:rPr>
          <w:rFonts w:ascii="arial" w:eastAsia="arial" w:hAnsi="arial" w:cs="arial"/>
          <w:color w:val="000000"/>
          <w:sz w:val="20"/>
          <w:lang w:val="en-US" w:eastAsia="en-US" w:bidi="ar-SA"/>
        </w:rPr>
        <w:t xml:space="preserve">, Master Bolton does not provide a reasoned analysis for distinguishing </w:t>
      </w:r>
      <w:r>
        <w:rPr>
          <w:rFonts w:ascii="arial" w:eastAsia="arial" w:hAnsi="arial" w:cs="arial"/>
          <w:i/>
          <w:color w:val="000000"/>
          <w:sz w:val="20"/>
          <w:lang w:val="en-US" w:eastAsia="en-US" w:bidi="ar-SA"/>
        </w:rPr>
        <w:t>Flack</w:t>
      </w:r>
      <w:r>
        <w:rPr>
          <w:rFonts w:ascii="arial" w:eastAsia="arial" w:hAnsi="arial" w:cs="arial"/>
          <w:color w:val="000000"/>
          <w:sz w:val="20"/>
          <w:lang w:val="en-US" w:eastAsia="en-US" w:bidi="ar-SA"/>
        </w:rPr>
        <w:t xml:space="preserve"> on this ground. I find this is largely because it is apparent that the ratio in </w:t>
      </w:r>
      <w:r>
        <w:rPr>
          <w:rFonts w:ascii="arial" w:eastAsia="arial" w:hAnsi="arial" w:cs="arial"/>
          <w:i/>
          <w:color w:val="000000"/>
          <w:sz w:val="20"/>
          <w:lang w:val="en-US" w:eastAsia="en-US" w:bidi="ar-SA"/>
        </w:rPr>
        <w:t>Flack</w:t>
      </w:r>
      <w:r>
        <w:rPr>
          <w:rFonts w:ascii="arial" w:eastAsia="arial" w:hAnsi="arial" w:cs="arial"/>
          <w:color w:val="000000"/>
          <w:sz w:val="20"/>
          <w:lang w:val="en-US" w:eastAsia="en-US" w:bidi="ar-SA"/>
        </w:rPr>
        <w:t xml:space="preserve"> could not apply on the facts of the case before him. In </w:t>
      </w:r>
      <w:r>
        <w:rPr>
          <w:rFonts w:ascii="arial" w:eastAsia="arial" w:hAnsi="arial" w:cs="arial"/>
          <w:i/>
          <w:color w:val="000000"/>
          <w:sz w:val="20"/>
          <w:lang w:val="en-US" w:eastAsia="en-US" w:bidi="ar-SA"/>
        </w:rPr>
        <w:t>Henderson</w:t>
      </w:r>
      <w:r>
        <w:rPr>
          <w:rFonts w:ascii="arial" w:eastAsia="arial" w:hAnsi="arial" w:cs="arial"/>
          <w:color w:val="000000"/>
          <w:sz w:val="20"/>
          <w:lang w:val="en-US" w:eastAsia="en-US" w:bidi="ar-SA"/>
        </w:rPr>
        <w:t>, the plaintiff sought production of the notes taken by an expert during an independent medical examination commissioned by the defendant. The expert report and the underlying notes could only be compellable if the defendant chose to make the report part of its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Based on these authorities, I am satisfied that Mr. Weaver and Mr. Jones are entitled to a copy of the statement they provided to Mr. Cliff's investigator. While their statements as witnesses would not be compellable due to litigation privilege, the change in their status to parties adverse in interest to Mr. Cliff place them on a different footing. Disclosure of these statements is necessary to ensure fairness in the litigation process, to enable these parties to properly defend themselves against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to support the truth seeking function of the court. Production of these statements is neither counter-productive to the adversary process nor to the confidential relationship between solicitor and client.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facts here present a particularly compelling case for production of the statements. The applicants permitted Mr. Cliff's investigator to take their statements at a time when they were not represented. They were not offered copies of their statements nor advised to seek legal advice about this matter. In addition, Mr. Cliff interfered with the insurer's investigation of the claim by counselling the applicants not to give a statement unless they first contacted his lawyer. By taking these steps Mr. Cliff's actions may have prevented a timely statement from the applicants that could have formed a substitute for the statements taken by his investigator. Now that five years have elapsed since the date of the accident, it is apparent that the applicants' memory of the events has faded. While there is nothing improper about Mr. Cliff's conduct, it has imbued the applicants' case with more of a sense of urgency and necessity. There is simply no other means by which the applicants could refresh their memories of the events surrounding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For these reasons I order production of the signed statements of Mr. Weaver and Mr. Jones in possession of Mr. Cliff's counsel and the audio recording of the statement. It is not appropriate that I order production of the transcript of the audio recording. This is an aid to follow along with the audio recording and commissioned by Mr. Cliff's counsel. There is no principle of law that would require Mr. Cliff to share this work product with the applicants. They are free to commission their own transcripts of the audio recording. The applicants have not sought copies of the notes taken by Mr. Cliff's counsel during his interviews with them. I do not regard these as statements made by the applicants; they are notes to refresh counsel's recollection of the interview and nothing more. Accordingly, these notes should not be made the subject of a production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Cliff shall produce the audio recordings and signed statements to the applicants within 14 days of this order and upon payment of the reasonable costs for production of copies thereof.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Finally, the applicants are entitled to their costs for this application at Scale B in any event of the cause.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C.J. BRUCE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446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Cosway v. Boorman's Investment Co. Ltd., Owen-Flood, Ge and Ge, 2008 BREG para. 50,524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Real Estate Law Guide</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Leask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November 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05 1695</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British Columbia Real Estate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2008 BREG para. 50,524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[2008] B.C.J. No. 2081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2008 BCSC 1482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Cosway v. Boorman's Investment Co. Ltd., Owen-Flood, Ge and Ge</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8"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5" w:name="Keywords_32"/>
      <w:bookmarkEnd w:id="215"/>
      <w:r>
        <w:rPr>
          <w:rFonts w:ascii="arial" w:eastAsia="arial" w:hAnsi="arial" w:cs="arial"/>
          <w:b/>
          <w:color w:val="000000"/>
          <w:sz w:val="20"/>
          <w:lang w:val="en-US" w:eastAsia="en-US" w:bidi="ar-SA"/>
        </w:rPr>
        <w:t>Professional duties and liabilities — Liability of listing agent — Negligent misrepresentation — Boundary lines of the subject property included what was later identified as municipal property — The Court found that all criteria were present in this case to establish negligent misrepresentation, except for consequential damages — The plaintiffs asserted that they should be compensated for the cost to acquire the municipal property which bordered on their lands — The Court held that this would be ordering damages on a contractual and not a tort measure — The Court held that the plaintiffs had not suffered damages as a result of the negligent misrepresentation and dismissed the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6" w:name="Case Summary_26"/>
            <w:bookmarkEnd w:id="216"/>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 October 2003, the Cosways contacted realtor Mark Ziegler ("Ziegler") about viewing properties in Victoria. One of the properties suggested by Ziegler was 3485 Upper Terrace Road ("No. 3485") for which Marc Owen-Flood ("Owen-Flood") was the listing agent. Owen-Flood advertised No. 3485 as being 0.62 of an acre. When the Cosways inspected the property with Owen-Flood and Ziegler, they recalled one of the realtors indicated that the property was special as it backed onto both Upper Terrace Road and Midland Road. The Cosways were very interested in the property but wished to reorient the house so that it faced Midland Road. They discussed this possibility with Owen-Flood while inspecting the property. They understood that No. 3485 stretched all the way to Midland Road.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Cosways' offer of $1.35 million was accepted by the vendors and in early 2004 the Cosways moved into No. 3485. The Cosways reviewed an architectural plan of their property, and a Davenport plot plan, which was a plan prepared and distributed to real estate agents depicting properties in the greater Victoria area. Mrs. Cosway began dealing with the Municipality of Oak Bay (the "Municipality") in order to determine what had to be done so the Cosways could start the renovations to their house, and learned that they did not own all the property to Midland Road. The Municipality informed the Cosways that it owned 65 linear feet at the eastern border of the property, separating No. 3485 from Midland Road. The Municipality further advised that it was willing to sell the 65 linear feet to the Cosways, but as a first step the Cosways would be required to pay a deposit of $2,000. The Cosways refused to expend the money and instead brought a claim of negligent misrepresentation against Owen-Flood and Boorman's Investment Co. Ltd. ("Boorman's"), Owen-Flood's employer.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Jane Danzo ("Jane") occupied the house next to No. 3485. Soon after buying the property in 1979, she became aware that a portion of the tennis court on the eastern boundary of her property was on municipal property. Jane testified that because of this knowledge she contacted Owen-Flood in 2003 and advised him that he should investigate the boundaries of No. 3485, as he was the listing agent for that property. Some time later she had another conversation with Owen-Flood in which she advised him about the boundary issue and that he should consider investigating whether or not No. 3485 was similarly situated on municipal property. Owen-Flood requested a property survey from the vendors of No. 3485, but never received the survey and did not take further steps to investigate.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7" w:name="Holdings of Court_22"/>
            <w:bookmarkEnd w:id="217"/>
            <w:r>
              <w:rPr>
                <w:rFonts w:ascii="arial" w:eastAsia="arial" w:hAnsi="arial" w:cs="arial"/>
                <w:color w:val="000000"/>
                <w:sz w:val="20"/>
                <w:lang w:val="en-US" w:eastAsia="en-US" w:bidi="ar-SA"/>
              </w:rPr>
              <w:t>HELD: The Court dismissed the Cosways' claim against Boorman's Investment Co.</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Ltd. and Owen-Flood.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determining whether or not the Cosways would be successful in their claim for negligent misrepresentation, the Court first considered the five-part test articulated in </w:t>
            </w:r>
            <w:r>
              <w:rPr>
                <w:rFonts w:ascii="arial" w:eastAsia="arial" w:hAnsi="arial" w:cs="arial"/>
                <w:i/>
                <w:color w:val="000000"/>
                <w:sz w:val="20"/>
                <w:lang w:val="en-US" w:eastAsia="en-US" w:bidi="ar-SA"/>
              </w:rPr>
              <w:t>Queen v. Cognos</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With respect to the first part of the test, the Court found that Boorman's did have a duty of care to the Cosways, as there was a special relationship between a real estate agent acting for a seller, and a prospective purchaser. In the case at hand, Owen-Flood had a responsibility to make the Cosways aware of the problem raised by Jane. The Court further found that the second criteria in the five-part test was satisfied, as Owen-Flood's showing of the property constituted a representation to the extent that he made it seem that the property for sale contained the entire property up to the fenceline, including the municipal property.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looking to the third criterion in the test for negligent misrepresentation, the Court considered whether or not expert evidence was necessary to establish what the professional duty of care was for a listing agent. The Court relied on the reasoning in </w:t>
            </w:r>
            <w:r>
              <w:rPr>
                <w:rFonts w:ascii="arial" w:eastAsia="arial" w:hAnsi="arial" w:cs="arial"/>
                <w:i/>
                <w:color w:val="000000"/>
                <w:sz w:val="20"/>
                <w:lang w:val="en-US" w:eastAsia="en-US" w:bidi="ar-SA"/>
              </w:rPr>
              <w:t>Wallis v. Ross &amp; Barta &amp; Whitehouse et al.</w:t>
            </w:r>
            <w:r>
              <w:rPr>
                <w:rFonts w:ascii="arial" w:eastAsia="arial" w:hAnsi="arial" w:cs="arial"/>
                <w:color w:val="000000"/>
                <w:sz w:val="20"/>
                <w:lang w:val="en-US" w:eastAsia="en-US" w:bidi="ar-SA"/>
              </w:rPr>
              <w:t xml:space="preserve">, 2001 BCPC 0187, in which it was determined that whether or not expert evidence is required will depend on the facts of each case. In this case, the Court found that expert evidence establishing the duty of care was not necessary, as the breach was obvious and egregious on a reasonable person standard. As such, the Court found that Owen-Flood was negligent and Boorman's was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final two criteria the Court reviewed were reasonable reliance and consequential damages. With respect to reasonable reliance, the Court distinguished the facts of the case at hand from those in </w:t>
            </w:r>
            <w:r>
              <w:rPr>
                <w:rFonts w:ascii="arial" w:eastAsia="arial" w:hAnsi="arial" w:cs="arial"/>
                <w:i/>
                <w:color w:val="000000"/>
                <w:sz w:val="20"/>
                <w:lang w:val="en-US" w:eastAsia="en-US" w:bidi="ar-SA"/>
              </w:rPr>
              <w:t>Manita Investments Ltd. v. T.T.D. Management Services Ltd. (Realty World Capital)</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[2001] BCJ No. 845</w:t>
              </w:r>
            </w:hyperlink>
            <w:r>
              <w:rPr>
                <w:rFonts w:ascii="arial" w:eastAsia="arial" w:hAnsi="arial" w:cs="arial"/>
                <w:color w:val="000000"/>
                <w:sz w:val="20"/>
                <w:lang w:val="en-US" w:eastAsia="en-US" w:bidi="ar-SA"/>
              </w:rPr>
              <w:t xml:space="preserve"> (B.C.C.A.), in which it was held that when a purchaser is given a property plan, reliance on a misrepresentation as to property lines is not reasonable. The Court distinguished the case at hand, stating that in this case,Owen-Flood did not make good faith efforts to determine the nature of the problem and considering the relationship between the Cosways and the agent, the Cosways relied in a reasonable manner on Owen-Flood's representations.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did not, however, find that there were consequential damages as a result of the negligent misrepresentation and the Cosways' reliance. The Court found that the Cosways paid fair market price for the property as evidenced by an appraisal of the property, the evidence of Ziegler, and the fact that the Cosways would not accept an offer of $1.495 million for the property. The Court rejected the Cosways' submission that they should be compensated for the cost of acquiring the outstanding lands from the municipality. The Court found that compensating the Cosways for this sum would be awarding damages on a contractual basis, namely by placing the Cosways in the position they would have been in if the representation were true, rather than on a tort basis.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8" w:name="Counsel_32"/>
      <w:bookmarkEnd w:id="2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9"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J.M. Hutchison, Q.C. for the plaintiffs; P.G. Guy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9" w:name="Judgment_32"/>
      <w:bookmarkEnd w:id="219"/>
      <w:r>
        <w:pict>
          <v:line id="_x0000_s1190" style="position:absolute;z-index:2517944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0" w:name="P.D. LEASK J."/>
            <w:bookmarkEnd w:id="220"/>
            <w:r>
              <w:rPr>
                <w:rFonts w:ascii="arial" w:eastAsia="arial" w:hAnsi="arial" w:cs="arial"/>
                <w:b/>
                <w:color w:val="000000"/>
                <w:sz w:val="30"/>
                <w:lang w:val="en-US" w:eastAsia="en-US" w:bidi="ar-SA"/>
              </w:rPr>
              <w:t>P.D. LEASK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October 2003, the Cosways were living in a house they owned in Swampscott, Massachusetts. They decided that they wanted to move either to Victoria, B.C. or Austin, Texas. Ms. Cosway searched the Internet and identified six properties that might be suitable in Victoria. She got in touch with Mark Ziegler, a Victoria realtor who was the listing agent for one of the six properties. Through him they arranged to view all six properties on a weekend visit to Victoria in late October. By the time they came to Victoria, one of the properties had been sold. None of the other properties proved to be suitable after inspection. The Cosways were seeking a house at least 5,000 square feet in size situated on a relatively large property. At that time they had two teen-age children and two German Shepherd dogs. Most of the properties they rejected in Victoria were too small for them. After they had seen all the properties on Ms. Cosway's list, Mr. Ziegler suggested looking at 3485 Upper Terrace Road, a property located in the Uplands district of Oak Bay, a suburb of Victoria. The listing agent for the Upper Terrace property was Marc Owen-Flood. The property at 3485 Upper Terrace Road was described in Mr. Owen-Flood's MLS listing as being 0.62 of an acre (approximately 27,000 square feet). Ms. Cosway had seen the listing for the Upper Terrace property during her Internet search but had not short-listed it because the house was less than 4,000 square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After being telephoned by Mr. Ziegler, Mr. Own-Flood came to 3485 Upper Terrace Road, opened the property, and was present while the Cosways and Mr. Ziegler inspected the house and grounds. On inspection, the property seemed to meet the Cosway's requirements. They began discussing, between themselves and with Mr. Ziegler, the prospects of renovating the house to increase the square footage and improve its appearance. One of the renovation ideas they began considering was "re-orienting" the house. It faced Upper Terrace Road but the property appeared to extend eastward to Midland Road. Ms. Cosway thought that by creating a driveway entrance off Midland Road and renovating the house so that it faced Midland Road, the house and property might suit them very well. To aid them in considering this, and other possible renovation ideas, the Cosways requested, through Mr. Ziegler, and received from Mr. Owen-Flood, copies of plans prepared by a local architect, Ms. Charlesworth, who had recently assisted the current owners to carry out a renovation. Included with the Charlesworth plans was the Davenport plan depicting the 3485 Upper Terrace lot in relation to the adjacent and surrounding properties. The Cosways requested a second inspection of the property the next day. Again Mr. Owen-Flood attended and again the Cosways and Mr. Ziegler inspected the house and grounds. During one of the two inspections, the Cosways recall one of the realtors saying that this property, and its neighbours, were "special" in stretching between Upper Terrace Road and Midland Road, permitting the property owners to access their properties from either road. After their second visit to the property, the Cosways met with Mr. Ziegler and prepared a $1,200,000 offer for 3485 Upper Terrace Road which was listed at $1,600,000. Their offer was rejected but Mr. Owen-Flood indicated that an offer of $1,350,000 would be accepted. The Cosways increased their offer to $1,350,000 and an interim agreement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Through Mr. Ziegler, the Cosways retained a Victoria solicitor, Robert Glazier, to arrange for the conveyance. The solicitor sent the Cosways an extract from the plan at the Land Title Office, asking them to initial the property they intended to acquire. This they did. On December 29, 2003, the purchase was completed and, early in 2004, the Cosways moved to 3485 Upper Terrace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Shortly after her arrival in Victoria, Ms. Cosway began dealing with the Municipality of Oak Bay in order to learn what the Cosways would have to do to re-orient their property and provide motor vehicle access from a driveway off Midland Road. At that point she learned that the property they had purchased did not extend to Midland Road. The Municipality owned approximately 65 linear feet at the eastern border of their property, separating 3485 Upper Terrace Road from Midland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Municipality was prepared to sell the land it owned to the Cosways. The first step in the process required the Cosways to deposit $2,000 with the Municipality to pay for an appraisal of the value of the municipally owned land. Rather than making that deposit, the Cosways commenced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Jane Danzo, a neighbour of the Cosways, who lives at 3475 Upper Terrace Road, gave evidence for the plaintiffs. She is a licenced real estate agent who works with her husband in property development. They bought 3475 Upper Terrace Road in November of 1979. Soon after buying they discovered that two-thirds of the tennis court on the eastern side of their property did not belong to them. It was municipal property, part of a road allowance for a road that had never been built. They asked the Municipality if they could buy the portion of the road allowance that contained their tennis court. The Municipality agreed and they bought it. Their property now borders on Midland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Danzos have lived at their Upper Terrace Road address since they purchased their property. Prior to the Cosways' purchase, the neighbouring property was owned by Mr. and Mrs. Ge. While they owned the property, a wrought iron fence was built enclosing their garden quite close to the Midland Road boulevard. The Danzos' property extends father east than the Ge's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2003 the property next door to the Danzos' was for sale. The listing agent was Marc Owen-Flood and Ms. Danzo had known the Owen-Flood family for 30 years. She telephoned Mr. Owen-Flood. After exchanging telephone messages, she spoke with him directly on the telephone. She asked him how he was presenting the eastern boundary of the property for sale. He replied, "Up to the fence." She said to him, "I think you should investigate further. I think you should question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Some time later she had another telephone conversation with Mr. Owen-Flood. She was more explicit. She told him that when they purchased their property two-thirds of their tennis court was on a municipally designated road allowance. They had approached the Municipality and bought the additional property all the way down to Midland Road. At that time the Municipality offered all the Upper Terrace property owners the opportunity to buy the portion of the road allowance adjoining their properties. She told him that to the best of her knowledge, the Danzos were the only people who bought all that was offered. The owners of Lot 12 at the time (predecessors in title to the defendants) had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purchased the land offered to them at that time to the best of Ms. Danzo's knowledge. Ms. Danzo suggested to Mr. Owen-Flood that it might be a good idea to investigate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had one further conversation with Mr. Owen-Flood on the subject. It was a face-to-face conversation at a social function. Mr. Owen-Flood told her that there was no problem. He'd spoken with the owners and it had all been taken care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cross-examination Ms. Danzo agreed that she couldn't say when the telephone conversation occurred except to say it was "early in the listing process." In the telephone conversation she told Mr. Owen-Flood that the property he was selling was not as large as it presented or appeared. She told him that the fence was on municipal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defence called three witnesses: Elaine Humphreys, an appraiser, Michael Ziegler, the Cosway's real estate agent, and Marc Owen-Flood, the primary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Humphreys testified that she had prepared two appraisals of the property at 3485 Upper Terrace Road. Both were historic appraisals, valuing the property at Dec. 30, 2003. On her first appraisal she valued the property at $1,300,000. In the second, she valued it at $1,375,000. The difference between the two appraisals was that in the first appraisal she had ignored a comparable sale. In August 2003 a house in the same block as the subject property sold for $1,350,000. It was also identical in lot size. She testified that, in the fall of 2003, real estate values were rising. In her opinion, between August and December 2003 both the comparable and the subject property would have increased in value by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Ziegler explained how Ms. Cosway had contacted him and arranged to come to Victoria to view a number of properties. His recollection was that Ms. Cosway's two search priorities were "architectural interest" and safety for her children. He said that they had never discussed lot size. Mr. Ziegler said that on Ms. Cosway's initial prospect list, all but one of the properties were 0.3 acre. The other property was slightly less than 0.5 acre. He could not remember the reasons why the Cosways had rejected all the properties on their initial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Ziegler remembered the first showing of 3485 Upper Terrace Road, which he thought went very well. He remembered receiving the Charlesworth architectural drawing of the property and the Davenport plot plan. He explained that Davenport plot plans were prepared annually. A huge book was delivered to every real estate agency. The Davenport plot plans were the most accurate rendition of property size and location in the greater Victoria area and were relied upon by local real estate agents. He testified that he and the Cosways certainly looked at the Charlesworth documents and the Davenport plot plan. He could not recall "zeroing in" on the Davenport plan. He said he told the Cosways that the Municipality of Oak Bay was very difficult to deal with and any planned renovations would need to be cleared with them. He remembered returning for a second inspection of the property but was not sure that Mr. Owen-Flood was with them for the second inspection. In cross-examination Mr. Ziegler acknowledged that he told the Cosways that an advantage of this property was that it had two street frontages.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Ziegler remembered the discussion with the Cosways during which their offer to purchase was prepared. He discussed a number of comparable properties with them. In his opinion the best comparison was 3460 Upper Terrace Road, which sold in August 2003 for $1,350,000. He suggested offering that amount. The Cosways decided to make an offer of $1.2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the sale had completed, Ms. Cosway telephoned Mr. Ziegler to inform him about the property line issue and the fact that the fence was not in the proper place. Ms. Cosway expressed concern about whether they had received fair value for the purchase price they had paid. Mr. Ziegler agreed to review that issue. His conclusion was that the Cosways had paid a fair price for the property. On two separate occasions after Ms. Cosway raised the issue, Mr. Ziegler had buyers interested in purchasing 3485 Upper Terrace Road. One was prepared to pay $1,495,000. The Cosways were not interested in selling. Both of these prospective purchasers bought properties using Mr. Ziegler's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Ziegler concluded his direct examination by pointing out that many properties in the neighbourhood of 3485 Upper Terrace Road encroached on municipal land. The municipality was aware of the fact and had no plans to do anything about it. One way of looking at the situation was that the Cosways had the use of extra property without the obligation of paying tax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cross-examination Mr. Ziegler agreed that he had no reason to think that the property line differed from the fence line. His attention was drawn to the provision in the interim agreement permitting the Cosways to have a property survey prepared. He agreed that he had not advised them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asked when he had first learned of the problem, Mr. Ziegler testified that it was from Ms. Cosway's telephone call after the transaction was completed. He also testified that Mr. Owen-Flood had told him that he had a discussion with Ms. Danzo prior to the closing. Mr. Owen-Flood told Mr. Ziegler that he didn't know "what it was about". He said he had gone to the municipality to check and found no problem. Mr. Ziegler said he telephoned the municipality and was satisfied with what he was told.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Marc Owen-Flood was the last witness for the defence. He testified that he has been a licensed real estate salesman since 1989. He has both an agent's licence and a broker's licence. For a number of years, Mr. Owen-Flood was a Director of the Real Estate Board. He is a past Secretary Treasurer and President of the Real Estate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Owen-Flood explained that he obtained the listing to sell 3485 Upper Terrace Road by presenting a Market Evaluation and Plan to the owners. He had personal dealings with Ms. Ge but his only contact with Mr. Ge was by internet and telephone. He explained that he calculated the area of the property - 0.62 acre or approximately 27,000 square feet - from data available from the B.C. Assessment Authority and by making use of the Davenport plan. In response to a question from the court, he said that the plans registered at the Land Title Office were not necessarily up-to-date.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Owen-Flood's evidence concerning his dealings with Ms. Danzo was quite clear. He has known her his entire life as she is an acquaintance of his parents. His first actual conversation with her took place on a Saturday night at the Victoria Symphony. She told him that when they bought their property (next door to 3485 Upper Terrace Road) their realtor did not realize that their tennis court was on municipal land. It was necessary for them to buy property from the municipality. That caused Mr. Owen-Flood to send an e-mail to his client inquiring about a survey. It also caused Mr. Owen-Flood to go back to Oak Bay Municipality and to check the Davenport Plan. At the Municipal Hall he spoke with Brian Anderson who (apparently with reference to the Davenport plan) said: "Those are the properties; that's how they stand". Mr. Owen-Flood saw Ms. Danzo next on Tuesday May 13 when she came to the MLS realtor's showing of 3485 Upper Terrace Road and spoke about road allowance problems with her property. Despite Mr. Owen-Flood's e-mail request to the Ge's for a property survey and their reply that they had one they could show him in "late June", he never saw a property survey.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Owen-Flood's account of the Cosway's inspections and the negotiations leading to the contract for purchase and sale of 3485 Upper Terrace Road contained no surprises.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At the conclusion of the plaintiff's case, the defendants before the court moved for non-suit, relying on Rule 40(8)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I dismissed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Supreme Court of Canada in </w:t>
      </w:r>
      <w:r>
        <w:rPr>
          <w:rFonts w:ascii="arial" w:eastAsia="arial" w:hAnsi="arial" w:cs="arial"/>
          <w:b/>
          <w:i/>
          <w:color w:val="000000"/>
          <w:sz w:val="20"/>
          <w:lang w:val="en-US" w:eastAsia="en-US" w:bidi="ar-SA"/>
        </w:rPr>
        <w:t xml:space="preserve"> Queen v.Cognos</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articulated a five-part test for finding liability in negligent misrepresentation. The five requirements are:</w:t>
      </w:r>
      <w:r>
        <w:rPr>
          <w:rFonts w:ascii="arial" w:eastAsia="arial" w:hAnsi="arial" w:cs="arial"/>
          <w:sz w:val="20"/>
          <w:lang w:val="en-US" w:eastAsia="en-US" w:bidi="ar-SA"/>
        </w:rPr>
        <w:cr/>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representee;</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untrue, inaccurate, or misleading;</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misrepresentation;</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they suffered resulting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On the first issue I believe the law was stated accurately by Ryan J. (as she then was) in </w:t>
      </w:r>
      <w:r>
        <w:rPr>
          <w:rFonts w:ascii="arial" w:eastAsia="arial" w:hAnsi="arial" w:cs="arial"/>
          <w:b/>
          <w:i/>
          <w:color w:val="000000"/>
          <w:sz w:val="20"/>
          <w:lang w:val="en-US" w:eastAsia="en-US" w:bidi="ar-SA"/>
        </w:rPr>
        <w:t>Shaak v. McIntyre</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[1991] B.C.J. No. 2607</w:t>
        </w:r>
      </w:hyperlink>
      <w:r>
        <w:rPr>
          <w:rFonts w:ascii="arial" w:eastAsia="arial" w:hAnsi="arial" w:cs="arial"/>
          <w:color w:val="000000"/>
          <w:sz w:val="20"/>
          <w:lang w:val="en-US" w:eastAsia="en-US" w:bidi="ar-SA"/>
        </w:rPr>
        <w:t xml:space="preserve"> (S.C.), where she stated at para. 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Bolton v. Solaga</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[1989] B.C.J. No. 1565</w:t>
        </w:r>
      </w:hyperlink>
      <w:r>
        <w:rPr>
          <w:rFonts w:ascii="arial" w:eastAsia="arial" w:hAnsi="arial" w:cs="arial"/>
          <w:color w:val="000000"/>
          <w:sz w:val="20"/>
          <w:lang w:val="en-US" w:eastAsia="en-US" w:bidi="ar-SA"/>
        </w:rPr>
        <w:t>, Justice Huddart stated that the duty of a selling agent 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to check the completeness and accuracy of all information which it is usual or customary for brokers to verify and of all other information as to completeness and accuracy of which he is in doubt before conveying that information to the purchaser.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From this I gather that the broker is under a duty to check information of which he or she is in doubt (or ought to have been in doubt) before passing it on to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find that there is a "special relationship" between a real estate agent acting for a seller and a prospective purchaser sufficient to meet the </w:t>
      </w:r>
      <w:r>
        <w:rPr>
          <w:rFonts w:ascii="arial" w:eastAsia="arial" w:hAnsi="arial" w:cs="arial"/>
          <w:b/>
          <w:i/>
          <w:color w:val="000000"/>
          <w:sz w:val="20"/>
          <w:lang w:val="en-US" w:eastAsia="en-US" w:bidi="ar-SA"/>
        </w:rPr>
        <w:t>Cognos</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facts of this case I accept the evidence of Mr. Ziegler that Mr. Owen-Flood said that he did not understand the problem Ms. Danzo was attempting to explain to him. In those circumstances I find that he had a duty to make the purchasers aware of the problem he did not understand.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first position taken by the defence is that Mr. Owen-Flood made no representation. I reject that submission. I find that showing the property with its landscaping and fence was a representation by conduct that the property listed for sale included the garden at least to the line of the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second position taken by the defence is that there was nothing untrue, inaccurate or misleading in Mr. Owen-Flood's representations covering the extent of the property listed for sale because he listed it as 0.62 of an acre and it was 0.62 of an acre.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reject this submission and find as a fact that Mr. Owen-Flood's conduct constituted a misrepresentation of the extent of the property being listed for sale in the sense that his representation was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Counsel for the defendants argued that they could not be found negligent without evidence establishing the standard of care owed by a listing agent to purchasers represented by their own real estate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On this point, I adopt the reasoning of Stansfield J. (as he then was) in </w:t>
      </w:r>
      <w:r>
        <w:rPr>
          <w:rFonts w:ascii="arial" w:eastAsia="arial" w:hAnsi="arial" w:cs="arial"/>
          <w:b/>
          <w:i/>
          <w:color w:val="000000"/>
          <w:sz w:val="20"/>
          <w:lang w:val="en-US" w:eastAsia="en-US" w:bidi="ar-SA"/>
        </w:rPr>
        <w:t>Wallis v. Ross &amp; Barta &amp; Whitehouse et al.</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2001 BCPC 187</w:t>
        </w:r>
      </w:hyperlink>
      <w:r>
        <w:rPr>
          <w:rFonts w:ascii="arial" w:eastAsia="arial" w:hAnsi="arial" w:cs="arial"/>
          <w:color w:val="000000"/>
          <w:sz w:val="20"/>
          <w:lang w:val="en-US" w:eastAsia="en-US" w:bidi="ar-SA"/>
        </w:rPr>
        <w:t>, in which the learned provincial court judge stated at paras. 68-69: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there can be cases in which expert evidence is not required to prove a realtor's failure to meet what the court will determine to be the standard of care expected of realtors in particular circumstances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that whether expert evidence is or is not required is a question which falls to be determined on the facts (and most especially, one imagines, the egregiousness of the conduct or the very specialized or technical nature of the activity in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also accept the formulation put forward by Mr. Guy in his non-suit submissions. "[Evidence] may not be required in a case in which the court is able to say that a breach or non-breach is egregious and obvious based on the experience of the ordinary man and judge ..." </w:t>
      </w:r>
      <w:r>
        <w:rPr>
          <w:rFonts w:ascii="arial" w:eastAsia="arial" w:hAnsi="arial" w:cs="arial"/>
          <w:b/>
          <w:color w:val="000000"/>
          <w:sz w:val="20"/>
          <w:lang w:val="en-US" w:eastAsia="en-US" w:bidi="ar-SA"/>
        </w:rPr>
        <w:t>This is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Whether one looks to Ms. Danzo's evidence or Mr. Owen-Flood's evidence, I find that Mr. Owen-Flood had sufficient information from her conversation and the Davenport plan that an inspection of the two adjacent properties would have revealed the problem. I also believe simply asking the Oak Bay Municipality officials: "What happened after the Danzos' brought their property?" would have revealed the problem. On this branch of the case, I agree with Mr. Hutchinson. Mr. Owen-Flood failed to meet the "reasonable person" standard. No evidence concerning "professional" standards or "professional" duties was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Based on my findings of fact, I find that Mr. Owen-Flood was negligent in making the representation and Boorman's is vicariously liable for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Reasonable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say that Mr. Owen-Flood gave the Cosways the Charlesworth drawings and Davenport plot plan that fully disclosed the true state of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Manita Investments Ltd. v. T.T.D. Management Services Ltd. (Realty World Capital)</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[2001] B.C.J. No. 845</w:t>
        </w:r>
      </w:hyperlink>
      <w:r>
        <w:rPr>
          <w:rFonts w:ascii="arial" w:eastAsia="arial" w:hAnsi="arial" w:cs="arial"/>
          <w:color w:val="000000"/>
          <w:sz w:val="20"/>
          <w:lang w:val="en-US" w:eastAsia="en-US" w:bidi="ar-SA"/>
        </w:rPr>
        <w:t xml:space="preserve"> (B.C.C.A.) is authority that when a purchaser is given a plot plan setting out the true property lines, reliance on a misrepresentation as to those property lines is not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Court of Appeal upheld Quijano, J.'s decision that there was no reasonable reliance because the purchaser had been given an accurate plot plan. Finch, J.A. said because Manita received a map showing the boundaries of the lots and showing a significant inconsistency between what was on the map and what appeared on visual examination there was no reasonable reliance on the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defendants submitted that </w:t>
      </w:r>
      <w:r>
        <w:rPr>
          <w:rFonts w:ascii="arial" w:eastAsia="arial" w:hAnsi="arial" w:cs="arial"/>
          <w:b/>
          <w:color w:val="000000"/>
          <w:sz w:val="20"/>
          <w:lang w:val="en-US" w:eastAsia="en-US" w:bidi="ar-SA"/>
        </w:rPr>
        <w:t>Manita</w:t>
      </w:r>
      <w:r>
        <w:rPr>
          <w:rFonts w:ascii="arial" w:eastAsia="arial" w:hAnsi="arial" w:cs="arial"/>
          <w:color w:val="000000"/>
          <w:sz w:val="20"/>
          <w:lang w:val="en-US" w:eastAsia="en-US" w:bidi="ar-SA"/>
        </w:rPr>
        <w:t xml:space="preserve"> is on point with this case; the Cosways were provided with the Davenport plot plan and architectural drawings that showed the location of the east property line. Consequently there can be no reasonable reliance on an alleged misrepresentation about the boundaries by the Realtors.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find the facts of this case to be distinguishable from </w:t>
      </w:r>
      <w:r>
        <w:rPr>
          <w:rFonts w:ascii="arial" w:eastAsia="arial" w:hAnsi="arial" w:cs="arial"/>
          <w:b/>
          <w:i/>
          <w:color w:val="000000"/>
          <w:sz w:val="20"/>
          <w:lang w:val="en-US" w:eastAsia="en-US" w:bidi="ar-SA"/>
        </w:rPr>
        <w:t>Manita</w:t>
      </w:r>
      <w:r>
        <w:rPr>
          <w:rFonts w:ascii="arial" w:eastAsia="arial" w:hAnsi="arial" w:cs="arial"/>
          <w:color w:val="000000"/>
          <w:sz w:val="20"/>
          <w:lang w:val="en-US" w:eastAsia="en-US" w:bidi="ar-SA"/>
        </w:rPr>
        <w:t>. I find a serious inconsistency between Mr. Owen-Flood's evidence, and his counsel's submissions, that Mr. Owen-Flood made good faith efforts to determine the nature of the problem raised by Ms. Danzo but was unable to, and the suggestion that the plaintiffs were unreasonable to rely on what they saw and the behaviour of Mr. Owen-Flood. Considering the dealings between the parties and the evidence of Mr. Ziegler, I find that the plaintiffs relied, in a reasonable manner, on Mr. Owen-Flood's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my non-suit ruling 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On the issue of damages, counsel for the defendants argued that the measure of damages is "the difference between the price paid and the actual value of the property at the date of the purchase. Consequential damages are not awarded." Counsel for the plaintiffs argued that damages should include the value of the land owned by the municipality that the plaintiffs believed they were buying as well as general damages for the compromises that they have made with respect to their use and enjoyment of the property. In reply, counsel for the defendants accepted the proposition that </w:t>
      </w:r>
      <w:r>
        <w:rPr>
          <w:rFonts w:ascii="arial" w:eastAsia="arial" w:hAnsi="arial" w:cs="arial"/>
          <w:b/>
          <w:i/>
          <w:color w:val="000000"/>
          <w:sz w:val="20"/>
          <w:lang w:val="en-US" w:eastAsia="en-US" w:bidi="ar-SA"/>
        </w:rPr>
        <w:t>C.R.F. Holdings Ltd. v. Fundy Chemical International Ltd.</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(1981), 33 B.C.L.R. 291</w:t>
        </w:r>
      </w:hyperlink>
      <w:r>
        <w:rPr>
          <w:rFonts w:ascii="arial" w:eastAsia="arial" w:hAnsi="arial" w:cs="arial"/>
          <w:color w:val="000000"/>
          <w:sz w:val="20"/>
          <w:lang w:val="en-US" w:eastAsia="en-US" w:bidi="ar-SA"/>
        </w:rPr>
        <w:t xml:space="preserve"> (B.C.C.A.), establishes that the tortuous measure of damages, applicable on a claim for negligent misrepresentation, includes consequential losses "that is out-of-pocket expenses but not ... loss of bargain or prospective loss of profits."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 plaintiffs' theory of damages is inconsistent with </w:t>
      </w:r>
      <w:r>
        <w:rPr>
          <w:rFonts w:ascii="arial" w:eastAsia="arial" w:hAnsi="arial" w:cs="arial"/>
          <w:b/>
          <w:i/>
          <w:color w:val="000000"/>
          <w:sz w:val="20"/>
          <w:lang w:val="en-US" w:eastAsia="en-US" w:bidi="ar-SA"/>
        </w:rPr>
        <w:t>C.R.F.</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final submissions the defendant still argues that the price paid for the property was equal to the market value and hence no damages arise under that hearing. As to consequential damages, the defendant argues that the plaintiff has incurred no consequential damages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plaintiffs urge me to reject the evidence of the appraiser. They say the true market value of a property is what an arm's length purchaser is prepared to pay. Their offer of $1,350,000 was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for the property covered by the legal description. but rather for the property they were shown.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to the value of the property at the time of purchase, I find it to be $1,350,000. I base this finding on a number of factors. First, I rely upon the second appraisal of Ms. Humphreys. She was cross-examined extensively by plaintiff's counsel. In my view, her evidence survived that cross-examination. I discounted her appraisal by $25,000. In Ms. Humphrey's second appraisal report she assigns a value of $25,000 to the proposition that 3485 Upper Terrace Road has "2 road frontages." I have therefore subtracted $25,000 from her appraisal of $1,375,000 to reach a value of $1,350,000.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Second, I rely upon the evidence of Mr. Ziegler. He testified that he recommended that the Cosway's offer $1,350,000 for the property. He thought that the August sale of 3460 Upper Terrace Road for $1,350,000 was a true comparable. He also investigated the issue after Ms. Cosway discovered the existence of the municipally owned road allowance and concluded that the price the Cosways had paid represented fair market value. Further, Mr. Ziegler found buyers ready and willing to purchase the Cosway property, including one purchaser who was prepared to offer $1,495,000. The Cosway's lack of interest in such an offer is some indication of their valuation of the property after occupying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Lastly, on the evidence before me, I find that the price paid in an arm's length transaction for 3460 Upper Terrace Road in August, 2003 - $1,350,000, does establish a fair market value for 3485 Upper Terrace Road in December,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This finding does not dispose of the issue of damages. What about consequential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to consequential damages, the plaintiffs' first submission is that, if they had known the true extent of the property, they would not have purchased it. Hence, they should be awarded, as consequential damages, their out-of-pocket expenses incurred by making the purchase. Those expenses comprise the Property Transfer Tax of $25,000 and their conveyancing legal fees of $1,789.90. I see no merit in this submission and I reject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Their second submission is that I should treat, as consequential damages, the costs of acquiring from the municipality the land they thought they were buying. Of course, this would have to be an estimate as they have not actually expended any funds to acquire the municipally owned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When I ruled on the defendant's non-suit motion, I characterized compensating the plaintiffs for whatever sum they would have to pay the municipality for the land as a theory of damages "inconsistent with </w:t>
      </w:r>
      <w:r>
        <w:rPr>
          <w:rFonts w:ascii="arial" w:eastAsia="arial" w:hAnsi="arial" w:cs="arial"/>
          <w:b/>
          <w:color w:val="000000"/>
          <w:sz w:val="20"/>
          <w:lang w:val="en-US" w:eastAsia="en-US" w:bidi="ar-SA"/>
        </w:rPr>
        <w:t>C.R.F</w:t>
      </w:r>
      <w:r>
        <w:rPr>
          <w:rFonts w:ascii="arial" w:eastAsia="arial" w:hAnsi="arial" w:cs="arial"/>
          <w:color w:val="000000"/>
          <w:sz w:val="20"/>
          <w:lang w:val="en-US" w:eastAsia="en-US" w:bidi="ar-SA"/>
        </w:rPr>
        <w:t>." I thought, and I continued to think, at the conclusion of the evidence and during counsel's oral submissions, that an award of consequential damages could be made to the plaintiff for the out-of-pocket expenses they would incur in carrying out such a purchase. I was thinking of such matters as the costs of an appraisal, solicitor's fees, etc. Upon careful review of the defendants' written submissions, I began to have concerns that my own reasoning was faulty. The defendants forcefully submitted that compensating the plaintiff for any portion of the cost of purchasing the municipal road allowance amounted to awarding them damages on a contractual, rather than a tort, basis. Recognizing that all summaries are over simplifications - the contractual basis for damages is to place the injured party in the position he would have been if the representation were true; the tort measure is to place the party in the position he would have been if the representation had not been made. At that point in my thinking, I invited the parties to make further written submissions, which they both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am now satisfied that the defendants' submissions on this head of damages are correct. Compensating the plaintiff for any portion of the cost of acquiring the municipal road allowance would be applying a contractual measure of damages, i.e. putting them in the position they would have been in if the representation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therefore find that, on the evidence before me, the plaintiffs have suffered no consequential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To sum up on the issue of damages, I have found that the value of the property the plaintiffs purchased was equal to the price they paid and that they have incurred no consequential loss. Therefore they have suffered no resulting damage as a consequence of the negligent misrepresentation and they have failed to satisfy the fifth criteria established by </w:t>
      </w:r>
      <w:r>
        <w:rPr>
          <w:rFonts w:ascii="arial" w:eastAsia="arial" w:hAnsi="arial" w:cs="arial"/>
          <w:b/>
          <w:i/>
          <w:color w:val="000000"/>
          <w:sz w:val="20"/>
          <w:lang w:val="en-US" w:eastAsia="en-US" w:bidi="ar-SA"/>
        </w:rPr>
        <w:t>Cognos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am fortified in this conclusion by my view that the plaintiffs failed to mitigate by not accepting the offer of the purchaser (located by their agent, Mr. Ziegler), who was prepared to pay $1,495,000 for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result, the plaintiffs' claim against Mr. Marc Owen Flood and Boorman's Investment Co. Ltd.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P.D. LEASK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1" style="position:absolute;z-index:2518456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Davidson v. Kokanee Park Marine Ltd., [2001] B.C.J. No. 633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Nelson,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Nelson Registry No. 6724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633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263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104 A.C.W.S. (3d) 851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Douglas Davidson, plaintiff, and Kokanee Park Marine Ltd., Leonard Cassimer Filbert and Catherine Mary Filbert,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2"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1" w:name="Keywords_33"/>
      <w:bookmarkEnd w:id="221"/>
      <w:r>
        <w:rPr>
          <w:rFonts w:ascii="arial" w:eastAsia="arial" w:hAnsi="arial" w:cs="arial"/>
          <w:b/>
          <w:color w:val="000000"/>
          <w:sz w:val="20"/>
          <w:lang w:val="en-US" w:eastAsia="en-US" w:bidi="ar-SA"/>
        </w:rPr>
        <w:t>Practice — Conduct of trial — Adjournments — Circumstances when request for adjournment refused — Workers' Compensation — Compensation — Practice.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2" w:name="Case Summary_27"/>
            <w:bookmarkEnd w:id="2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Kokanee Park Marine, for an adjournment. The plaintiff, Davidson, began working for Kokanee in July 1990 as a marine mechanic. Davidson was laid off in November 1990 and a record of employment was issued on December 18, 1990. Davidson injured himself on Kokanee's premises on December 2, 1990. He did not apply for workers' compensation until March 1991 and did so without obtaining legal advice. He reported the injury when it appeared that he would not be able to return to full-time work when recalled by Kokanee. In April 1991, Kokanee provided the Workers' Compensation Board with an employer's report of injury, which indicated that the injury had occurred while Davidson was acting on Kokanee's business and that the injury occurred as part of Davidson's regular work. The Board accepted the claim in May 1991. The Board understood the injury to have arisen during a lay off while Davidson was employed on a casual on-call basis. Five years later, Kokanee sought a readjudication of the claim on the basis that the injuries were not work-related. It succeeded in establishing that Davidson was not a worker and was disentitled to benefits. The Board found that Davidson had not been employed at the time of the injury. The Board did not refer to the apprenticeship relationship or the bearing it might have had. Davidson subsequently instituted legal proceedings against Kokanee. He sought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under the Occupiers Liability Act. Kokanee denied liability and pleaded the Limitation Act. The Limitation Act defence was the subject of a stated case, which Kokanee lost. As a result of its lack of success on the stated case ruling, Kokanee amended its pleadings to plead sections 10 and 11 of the Workers' Compensation Act and sought a finding that the reassessment was in error and that the assumption of jurisdiction was right the first time. Kokanee sought an adjournment so that the Board could make a determination as to Davidson's status as a worker under section 11 of the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3" w:name="Holdings of Court_23"/>
            <w:bookmarkEnd w:id="223"/>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trial was not adjourned. Kokanee was wholly responsible for the existing situation between itself and Davidson. It initiated the review that resulted in the ruling whereby Davidson was disentitled to benefits because it was disenchanted with the assessments it was paying as a result of Davidson's claim. However, if the adjournment application were brought in circumstances where the section 11 determination was being sought to render the Board's ruling on jurisdiction final, the court would have been well advised to adjourn the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4" w:name="Legislation Cited_26"/>
      <w:bookmarkEnd w:id="2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3"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Workers' Compensation Act, R.S.B.C. 1996, c. 492, ss. 10, 11, 96(1), 96(2), 96(3).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5" w:name="Counsel_33"/>
      <w:bookmarkEnd w:id="2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4"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 Pearkes, for the plaintiff. T.R. Darby,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6" w:name="Judgment_33"/>
      <w:bookmarkEnd w:id="226"/>
      <w:r>
        <w:pict>
          <v:line id="_x0000_s1195" style="position:absolute;z-index:25184665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March 21, 2001.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7" w:name="McEWAN J._0"/>
            <w:bookmarkEnd w:id="227"/>
            <w:r>
              <w:rPr>
                <w:rFonts w:ascii="arial" w:eastAsia="arial" w:hAnsi="arial" w:cs="arial"/>
                <w:b/>
                <w:color w:val="000000"/>
                <w:sz w:val="30"/>
                <w:lang w:val="en-US" w:eastAsia="en-US" w:bidi="ar-SA"/>
              </w:rPr>
              <w:t>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seek an order adjourning the trial of this matter. It is presently set for May 22, 2001, for two weeks before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adjournment is requested so that the Workers' Compensation Board can make a determination as to the plaintiff's status as a worker under s. 11 of the Workers Compensation Act R.S. 1996 c. 492. The section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an action based on a disability caused by occupational disease, personal injury or death is brought, the board must, on request by the court or by any party to the action, determine any matter that is relevant to the action and within its competence under this Act and, without limiting the generality of the foregoing, may determine whether</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was, at the time the cause of action arose, a worker within the meaning of this Part;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disability or death of a worker arose out of, and in the course of, the worker's employment;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employer or the employer's servant or agent was, at the time the cause of action arose, employed by another employer; and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employer was, at the time the cause of action arose, engaged in an industry within the meaning of this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must certify its determination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Board has a broad jurisdiction defined in s. 96(1) of the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board has exclusive jurisdiction to inquire into, hear and determine all matters and questions of fact and law arising under this Part, and the action or decision of the board on them is final and conclusive and is not open to question or review in any court, and proceedings by or before the board must not be restrained by injunction, prohibition or other process or proceeding in any court or be removable by certiorari or otherwise into any court, and an action must not be maintained or brought against a governor, officer, appeal commissioner or employee of the board in respect of an act, omission or decision done or made in the belief that it was within the jurisdiction of the board in respect of an act, omission or decision done or made in the belief that it was within the jurisdiction of the board; and, without restricting the generality of the foregoing, the board has exclusive jurisdiction to inquire into, hear and determine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whether an injury has arisen out of or in the course of an employment within the scope of this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person is a worker, a subcontractor, or a contractor or an employer within the meaning of this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Ordinarily, where an issue arises as to a civil litigant's status as a worker, no matter when it arises, the proper course is for the court to adjourn or stay its proceedings pending a determination of the matter by the Board. The reason for this was articulated by Mr. Justice Clancy in Hazell v. Toews et al, </w:t>
      </w:r>
      <w:hyperlink r:id="rId658" w:history="1">
        <w:r>
          <w:rPr>
            <w:rFonts w:ascii="arial" w:eastAsia="arial" w:hAnsi="arial" w:cs="arial"/>
            <w:i/>
            <w:color w:val="0077CC"/>
            <w:sz w:val="20"/>
            <w:u w:val="single"/>
            <w:shd w:val="clear" w:color="auto" w:fill="FFFFFF"/>
            <w:lang w:val="en-US" w:eastAsia="en-US" w:bidi="ar-SA"/>
          </w:rPr>
          <w:t>[1997] B.C.J. No. 2495</w:t>
        </w:r>
      </w:hyperlink>
      <w:r>
        <w:rPr>
          <w:rFonts w:ascii="arial" w:eastAsia="arial" w:hAnsi="arial" w:cs="arial"/>
          <w:color w:val="000000"/>
          <w:sz w:val="20"/>
          <w:lang w:val="en-US" w:eastAsia="en-US" w:bidi="ar-SA"/>
        </w:rPr>
        <w:t>, Victoria Registry No. 97-0639, Jun 26, 1998 (S.C.B.C.):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 . . the authorities binding on me and to which I am obliged to give deference make it clear that, at any stage of the proceedings, the issue may be raised and if that is done on any conceivable grounds, the proper course is to stay the action and refer the matter to the Board for a determination. The contrary authorities in Yuen and Parmar do not appear to have fully considered the issue and can be distinguished. There are circumstances described in the affidavit material which raise the question of whether this is a worker/worker action. The proper course is to allow the amendment and stay the action so that the issue of jurisdiction can be determined by the Board. The question of whether a stay of the action was necessary was discussed during submissions. There may be circumstances where a stay would be inappropriate but where, as here, court time and resources may be wasted if the action proceeds without resolving the jurisdictional issue, I find that a stay should be entered.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Counsel for the plaintiff does not suggest otherwise. What he does submit, however, is that the unusual circumstances underlying this application dictate a different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background circumstances are, briefly that: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27, 1990 the plaintiff began working for the defendant Kokanee Park Marine Ltd. (Kokanee) as a marine mechanic.</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3, 1990 the plaintiff entered into a formal apprenticeship agreement with Kokanee effective July 27, 1990, in the inboard/outboard mechanical repairs trade. The term was for four years, ending July 24, 1994.</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apprenticeship was registered October 3, 1990.</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24, 1990 Kokanee laid the plaintiff off. It issued a Record of Employment December 18, 1990 to that effect.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2, 1990 the plaintiff claims he was injured on Kokanee's premises. He saw a doctor the next day.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planned to travel to Vancouver to attend training courses associated with his apprenticeship on December 3, 1990.</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apply for Workers' Compensation until March 15, 1991. He did not seek legal advice before he did so. He reported the injury when it appeared he would not be able to return to full time work when recalled by Kokanee.</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3, 1991 Kokanee provided the Workers' Compensation Board with an Employer's Report of Injury. Among other things this Report asserted: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December 2, 1990 was the date of injury;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Kokanee had been notified of it December 3, 1990;</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manner in which the injury had occurred;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injury happened while the plaintiff was acting on Kokanee's business;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injury occurred as part of the plaintiff's regular work;</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no reason to suspect that the injury did not occur as stated;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were witnesses who confirmed these events;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injury occurred on Kokanee's premises;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last day the plaintiff worked was December 2, 1990;</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"injury happened at the end of the season/seasonal lay off" and that the employment arrangement was that the plaintiff would work 10 months with a two month lay off in winter.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was accepted by the Workers' Compensation Board on May 10, 1991. The Board apparently understood the injury to have arisen during a lay off while the plaintiff was employed on a "casual - on call" basis.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8, 1995 Kokanee wrote the Workers' Compensation Board requesting a re-adjudication of the claim on the basis that the injuries were not work related.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1, 1996, in furtherance of this request, Kokanee formally applied for a re-adjudication of the plaintiff's claim.</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Workers' Compensation Board interviewed the plaintiff in the course of investigating the re-adjudication. The plaintiff did not make any formal submissions to the Workers' Compensation Board.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31, 1996 the Workers' Compensation Board re-adjudicated the claim and disallowed it. In doing so the Board found that the plaintiff had not been employed at the time of the injury, without reference to the apprenticeship relationship, or what bearing it might have.</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24, 1996 the plaintiff filed an appeal of the re-adjudication.</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summer of 1996 the plaintiff sought legal advice. He abandoned his appeal.</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1, 1997 the plaintiff commenced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This summary is derived from the facts submitted to this court in March 1999 on a Stated Case on the question of whether this action was barred by the Limitation Act. I ruled then that the running of time had been postponed and that accordingly the action had been brought in time (see: Davidson v. Kokanee Park Marine Ltd. et al, </w:t>
      </w:r>
      <w:hyperlink r:id="rId659" w:history="1">
        <w:r>
          <w:rPr>
            <w:rFonts w:ascii="arial" w:eastAsia="arial" w:hAnsi="arial" w:cs="arial"/>
            <w:i/>
            <w:color w:val="0077CC"/>
            <w:sz w:val="20"/>
            <w:u w:val="single"/>
            <w:shd w:val="clear" w:color="auto" w:fill="FFFFFF"/>
            <w:lang w:val="en-US" w:eastAsia="en-US" w:bidi="ar-SA"/>
          </w:rPr>
          <w:t>174 D.L.R. (4th) 568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summary, in 1991 the plaintiff, supported by documentation from the defendants, made a claim arising out of the incident presently at issue in these proceedings. The claim was accepted by the Workers' Compensation Board. Some five years later the defendants sought a review and succeeded in establishing that Mr. Davidson was not a worker and was disentitled to Workers' Compensation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documentation from that time is instructive. On September 8, 1995, the defendant Leonard Filbert wrote the Workers' Compensation Board a letter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point I would like to raise is that Mr. Davidson reported that his injury happened on Sunday Dec. 2, 1990. Our records show that Mr. Davidson's last working day was November 23, 1990. This information is recorded in our payroll book and a copy of the Record of Employment sheet was submitted to Revenue Canada. Mr. Davidson was laid off for the season with an unknown return to work date. Sunday is a day off for all employees, with the exception of the store staff. Kokanee Park Marine does call back employees when there is enough work. In order for Mr. Davidson to be called back to work there would have had to be enough work for both the master mechanic and the apprentice. Apprentices must work under the supervision of a qualified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second point is that Mr. Davidson uses Kokanee Park Marine as a social setting. Mr. Davidson started coming around soon after he moved here and still comes around, even today.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Davidson was laid off for the season.</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Davidson's last working day was November 24, 1990.</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injuries were reported to be on a Sunday.</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Sundays are regular days off.</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Davidson was on his own recreational time during the fishing trip.</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Historical back problems and inconsistent findings.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Kokanee Park Marine requests that this claim be re-adjusted on the basis of the new information supplied. Kokanee Park Marine requests a relief of costs on this claim. A written decision regarding this claim is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This stimulated the following on March 25, 1996 from a Mr. A Lapierre, Client Services Manager of the Nelson Area office of the Workers' Compensation Board: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letter dated September 8, 1995, regarding the re-adjudication of the above claim. I would point out that at the time of the claim, a Form 7 signed by you (copy enclosed) indicated that the incident was work related and in fact witnessed.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Subsequent to this incident, five years later you now submit further information which it would seem to me to have been available at the time of the Form 7 submission.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meantime, there are issues on the claim which have been dealt with by the Review Board.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above, it is my opinion that since issues on the claim have been dealt with by the Review Board and a change in a decision as to the acceptability of the claim would have the effect of changing a Review Board decision, reconsideration of the acceptance of this claim is beyond my jurisdiction and should be considered by the Appeal Division.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point out that if I were to have the discretion to hear the issue, I would not exercise it as I feel that the information you provided in 1995 should have been available when you completed the Form 7. To evaluate this would impose undue hardship on the claimant to now produce evidence on an issue that is five years old.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decision may be appealed and I am enclosing the appropriate information should you wish to consider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April 1, 1996, one Gerald Merry, an Employers' Advisor at the Ministry of Skills, Labour and Training, wrote to Deborah Mills, Director, Compensation Services, Worker's Compensation Board, on behalf of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Form 7 was requested from the Employer, April/01 the Employer didn't question the worker or the WCB and left the matter up to the WCB to make an informed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Several years passed and the claimant appealed several decisions. When the Employer received disclosure it was noted that the claimant was not employed when he was injured and the substantial costs to date are not compensable. The Employer asked for readjudication by correspondence of September 8/95. The file was with the Review Board and the Adjudicator did not obtain the file for this review until several months later, March/96. By correspondence of March 25/96 the Manager has refused a readjudication.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Employer finds this unreasonable. The Employer asserts that, due to an exceptionally long delay in reporting and the Employer's understanding that the WCB would investigate and make an informed decision has resulted in a significant and costly error that could be easily rectified in view of the evidence that has come to light.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advised the Employer that I would seek your assistance in obtaining a decision from readjudication that can be appealed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May 31, 1996 Ms. Mills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letter is in response to Mr. Gerald Merry's correspondence to me of April 1, 1996. Acting on your behalf, in his capacity as Employers' Adviser, Mr. Merry requested that I readjudicate Mr. Davidson's Workers' Compensation claim referenced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outset, I would like to express serious concerns regarding the employer's significantly delayed request for readjudication of this claim. It is my view that the employer was not only remiss in failing to diligently reconcile employment records surrounding the worker's reported injury date and his employment status at the time of filing the employer's report of injury but also in failing to identify any dispute of the facts at any time prior to the employer's first inquiry directed to the Nelson Workers' Compensation office in 1995, some four and one half years later.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must also acknowledge considerable reservations about undertaking a review in light if the inherent difficulties in retrospectively investigating the circumstances surrounding Mr. Davidson's claim. Despite these concerns, the circumstances as presented by the employer appeared to warrant reexamination and a decision was made to proceed with a field investigation to obtain further information from which to consider the employer's request for adjudication.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Briefly, Mr. Davidson was employed up to November 24, 1990 as reported on his Record of Employment filed with Employment and Immigration Canada, as an apprentice mechanic under the supervision of a master mechanic also employed with Kokanee Park Marine. Mr. Davidson's claim was originally established following a fall he claimed to have had while in the employ of Kokanee Park Marine Ltd. while in the course of refilling a portable propane tank for delivery to a local neighbour/customer. The worker reported the injury date as December 2, 1990 although he did not apply for compensation with respect to this claim until March 15, 1991. Of note is that December 2, 1990 is a Sunday which, at the time of Mr. Davidson's employment with Kokanee Park Marine, was a regular day off for all employees, including Mr. Davidson, other than those staff employed in the marine store.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required under the Workers' Compensation Act, Kokanee Park Marine Ltd. provided a Form 7 (Employer's Report of Injury of Industrial Disease) confirming the date of Mr. Davidson's fall and the details reported by the worker surrounding it. This report was signed and dated by yourself, L.C. Filbert, President, Kokanee Park Marine Ltd. on April 3, 1991. This report did not note any contrary information to that provided by the worker, Mr. Davidson, on his Application for Compensation filed March 15, 1991. In fact, the employers, Len and Kathy Filbert, do not contest that Mr. Davidson had a fall on December 2, 1990. They now contend, however, that this fall occurred while Mr. Davidson was no longer an employee with their company, Kokanee Park Marine Ltd. as he had received layoff notice and had been issued a Record of Employment indicating his final day of employment as November 24, 1990 and stating that this date was also Mr. Davidson's final pay period ending date. It should be noted that the Record of Employment was dated December 14, 1990.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these initial corroborative reports of injury received from the worker and his employer, a claim was established for Mr. Davidson.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his correspondence to me dated April 1, 1996, Mr. Merry contends that through disclosure obtained by Kokanee Park Marine Ltd., at the time of an appeal by the worker in 1995, the employer realized that the worker was in fact laid off prior to the date of his reported injury and therefore now contests the compensability of the original claim. A Record of Employment, previously reference, documenting Mr. Davidson's layoff is on file.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respond to the employer's request to readjudicate Mr. Davidson's claim, a thorough review of the claim file was undertaken and a field investigation was completed. This report has been placed on Mr. Davidson's claim file. Subsequent to the receipt of the field investigation, additional documentation was requested from the employer.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review of the referenced information and documentation above, it is clear that Mr. Davidson's formal employment relationship with Kokanee Marine Park Ltd. had been terminated effective November 24, 1990, prior to the reported date of the worker's injury. Mr. Davidson has not contested this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what appears, however, to have been relatively informal and casual access to the employer's worksite granted to Mr. Davidson outside of his formal employment relationship with Kokanee Park Marine Ltd., further enquiries were also made to determine whether any financial, or in kind consideration, was given Mr. Davidson in return for what he alleges were work activities undertaken for the employer on the date of his fall.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informal access to the employer's worksite apparently existed and perhaps still does as Mr. Davidson owned(s) and moored(s) a powerboat at the marina as his residence is adjacent to the marina and has been known to the employer as a seasonal employee.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Specifically, a request was made for records of Mr. Davidson's personal account at the marine operation and any credits, financial or in kind, subsequent to his reported injury date of December 2, 1990 that might indicate some kind of remuneration for his efforts on December 2, 1990 or which would establish that this kind of arrangement had existed or continued to exist between Mr. Davidson and Kokanee Park Marine at the time of his injury. Documentation received indicates that Mr. Davidson carried a zero balance on his personal account with Kokanee Park Marine after his date of lay off on November 24, 1990 when he cleared all of his outstanding account balance upon receiving his final pay cheque and incurred no additional balance until his seasonal rehiring in the Spring of 1991.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that there is no dispute that Mr. Davidson sustained a fall on December 2, 1990, the outstanding issue which remains is to determine whether this fall occurred out of and in the course of employment in order to determine its compensability.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considering this question, particular reference to Section #14.00 and #16.40 of the Rehabilitation Services and Claims Manual was made. Section #14.00 delineates a list of guidelines commonly used to assist in assessing whether an injury has arisen out of and in the course of employment. Section #16.40 deals, in part, with activities undertaken by a worker without the employer's instructions as one factor to be considered in conjunction with the guidelines outlined in #14.00. After considering these guidelines against the information obtained through the reviews referenced above and from the witness statements obtained through the field investigation, including those of the worker and the employer, I have concluded that Mr. Davidson's fall did not occur out of and in the course of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it may be argued that Mr. Davidson's injury occurred on the employer's grounds and even while utilizing some of the employer's equipment, I cannot conclude that he was acting on instructions from the employer or that he received any remuneration for his activities. Although requested during the course of the field investigation, no documentation has been provided by either the worker or the employer to support that the worker's injury was sustained while within the employ of Kokanee Park Marine Ltd. In arriving at this conclusion, I have relied most heavily on documentation in reexamining these circumstances rather the [sic] on the inconclusive statements of witnesses, who by virtue of the significant time delay, undoubtedly do not recall all of the circumstances surrounding Mr. Davidson's injury as clearly as they would have had they been surveyed about any dispute about the facts at the outset.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reasons above, I will allow the employer's request for readjudication and confirm that this claim is now disallowed. As this decision results in a decisional overpayment, the monies paid to Mr. Davidson during the course of his claim to date will not be recovered from the worker. As of today's date, the worker will not be entitled to further Workers' Compensation benefits on this claim as a result of this decision. The employer will be relieved of costs associated with this claim and I will ask that the adjudicator process this immediately.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details or reasons for this decision are not clear to you, please feel free to contact me by telephone. I have also enclosed for your information a pamphlet giving details of the appeal procedures available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November 27, 1996 Mr. Davidson received a letter from the Appeal Division of the Workers' Compensation Board. It concerned certain Review Board findings he had appealed, including matters of his wage rate, earnings loss and permanent functional impairment. In view of the disallowance of the claim by Ms. Mills, which had been raised as a preliminary objection, the Appeal Board made the following ruling: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there is no appealable decision at this time. There can be no question of the correct wage rate, or loss of earnings entitlement, or permanent disability if the claim itself is not viable. If the claim status changes, consideration can be given to reestablishing the worker and employer appeals from the Review Board findings of February 22, 1996 if the appellant notifies the Appeal Division of an intention to appeal within 30 days of the relevant decision. (i.e. if there was any change in the May 31, 1996 decision as a result of an appeal or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This action was commenced May 1, 1997. It claims damages against the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under the Occupiers Liability Act. Apart from the conventional denials the defendants initially pleaded the Limitation Act. They did not at that time plead Section 10 and 11 of the Workers' Compensation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Limitation Act defence was, as I have said, the subject of a stated case heard March 30, 1999. The defendants on that occasion made a very strong submission that the plaintiff had sufficient knowledge to obtain advice that he had a reasonable prospect of success in this tort action well before the limitation period ran out. In other words, the defendants were submitting on that occasion, within this action, not that the matter ought to be determined under the Workers' Compensation scheme, but that it was so obvious a tort action that the limitation period ought not to be postponed for the period during which the Board had erroneously assumed jurisdiction. Had they succeeded at that juncture, the defendants would have had the benefit of the "Mills" ruling that the Board had no jurisdiction - affording the "relief from costs" that had been the point of seeking re-adjudication in the first place - and of a ruling that the plaintiff's tort claim was estopped by the Limitation Act. It would have been a classic example of having it both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have now amended their pleadings in view of their lack of success on the Stated Case ruling, to plead Section 10 and 11 of the Workers' Compensation Act. This is, of course, to say that having led the Board into "error" in accepting the claim in the first place, and having satisfied the Board of that error five years later, the defendants now wish to resubmit the question to the Board - ten years later - for a finding that the reassessment was in error and the assumption of jurisdiction was right the first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basis of this re-submission is set out in an affidavit by Judith P. Kennedy, one of the defendants' solicitors. It includes, among other things, the following description of the investigations she has initiated:</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my review of the WCB re-adjudication decision and field memorandum concerning investigations made by the WCB prior to the re-adjudication, it appeared that the issues which had influenced the decision to re-adjudicate and the conclusion reached that the Plaintiff was not a worker injured within the course of the his employment at the time of the injury included: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claimed to have been injured on Sunday, December 2, 1990. Sunday was usually a day off for shop employees which included the plaintiff, Lawrence Campbell, and the Plaintiff's brother, Greg Davidson;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Kokanee's payroll records did not indicate that the Plaintiff had been remunerated for any work done on the alleged date of injury or for the pay period within which the alleged date of injury fell;</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Kokanee's Record of Employment for the Plaintiff recorded his last day worked to have been November 23, 1990;</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re-adjudication, the Record of Employment was interpreted to mean that the Plaintiff's employment had been terminated by lay-off nine days prior to the alleged date of injury and the Plaintiff was not therefore a worker, injured in the course of his employment, as of the date of injury.</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my review of the documentation and my discussions with Mr. Campbell, Mr. Filbert, Mrs. Filbert and Kokanee's bookkeeper, Kathy Van Hemert, the issues which I considered needed further investigation in order to enable me to prepare a Section 11 application for a determination of the Plaintiff's status at the time of injury included:</w:t>
      </w:r>
    </w:p>
    <w:p>
      <w:pPr>
        <w:numPr>
          <w:numId w:val="2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December 2, 1990 the actual date of injury or was the Plaintiff mistaken as to the date of injury;</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claimed that his first injury had taken place while he was moving a motor in conjunction with the two other shop employees and Mr. Filbert. Did Mr. Filbert and/or the other shop employees confirm that they were working with the Plaintiff on Sunday, December 2, 1990. Did either of them recall the incident;</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November 23, 1990 a "lay-off" date for the Plaintiff;</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receive any remuneration or other benefits for work performed on or around that date;</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Kokanee's employment records accurate insofar as they indicated November 23, 1990 to be the last day worked by the Plaintiff, whereas the Plaintiff said he had been working together with the other shop employees on December 2, 1990;</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laid off from employment, prior to the end-of-season lay-off of his brother, Greg Davidson.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r>
        <w:rPr>
          <w:rFonts w:ascii="arial" w:eastAsia="arial" w:hAnsi="arial" w:cs="arial"/>
          <w:sz w:val="20"/>
          <w:lang w:val="en-US" w:eastAsia="en-US" w:bidi="ar-SA"/>
        </w:rPr>
        <w:cr/>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13, 2000, Mr. Campbell provided me with Greg Davidson's telephone number and I interviewed Greg Davidson by telephone on that date. Mr. Davidson did recall that his brother had been injured in the course of moving a motor on Kokanee's property and that Lawrence Campbell and he had been involved in attempting to move the motor at that time. Mr. Davidson could not recall the date of this incident. However, his recollection was that the Plaintiff, Lawrence Campbell and he had all been working on a regular shift at Kokanee's premises when this occurred, and that it was prior to the three of them being laid off towards the end of the 1990 marina season.</w:t>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Greg Davidson also told me that the incident occurred on a day which was a regular paid work day for him and that the incident took place shortly before the three shop employees, Lawrence Campbell, the Plaintiff and Greg Davidson were scheduled to leave to attend a training course in the Vancouver area. The Plaintiff was ultimately unable to attend this course because of the injury. Finally, Greg Davidson did not recall that the Plaintiff, who was Kokanee's apprentice, had been laid off prior to Greg being laid off at the end of the 1990 fiscal year.</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October 16, 2000, I had a further lengthy telephone interview with Lawrence Campbell. I then prepared an Affidavit for Lawrence Campbell.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r>
        <w:rPr>
          <w:rFonts w:ascii="arial" w:eastAsia="arial" w:hAnsi="arial" w:cs="arial"/>
          <w:sz w:val="20"/>
          <w:lang w:val="en-US" w:eastAsia="en-US" w:bidi="ar-SA"/>
        </w:rPr>
        <w:cr/>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7, 2000, I received some further documentation which I had requested from Kokanee, pertaining to the journal entry records and certain journal entries. I was also advised that certain other documentation which I had requested, could not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have also reviewed the extensive submissions that counsel have prepared for submission to the Workers' Compensation Board. It appears that while a very diligent effort has now been put into ascertaining whether Mr. Davidson was or was not a worker, none of the material now in hand is of a nature that could not, with a little diligence, have been discovered and put before the Board on the earlier occasions when the matter was considered. It is material to which the defendants have apparently always had access. Respecting the proposed evidence from witnesses, I do not think it unfair to note that the weaknesses of memory due to lapse of time Ms. Mills noted at the five years juncture (see paragraph 12 above) cannot have improved with the lapse of a further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Returning to the issue I must decide, it is evident that this case is unusual in that the Section 11 determination now sought will not be an adjudication of first instance, but would require a reversal of a present subsisting ruling. The defendants have not so much raised a "conceivable" issue as to the plaintiff's status as a worker, as they seek to displace what the Board has already decided. There is presently no unanswered question going to this court's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submit that there is a distinction between Ms. Mills' ruling, which was not a determination at the Appeal Board level, and a s. 11 certificate, which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do not think there is much to the distinction. While Mr. Davidson did not, ultimately, pursue his appeal of Ms. Mills' ruling, there is no suggestion that it was not given by a competent authority and intended to be acted upon by the parties affected. It speaks until it is reversed.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This poses the difficulty for Mr. Davidson, of course, that within the Workers' Compensation scheme there is no time limit beyond which such a decision may be questioned. Section 96(2) and (3) of the Workers Compensation Act read as follows:</w:t>
      </w:r>
      <w:r>
        <w:rPr>
          <w:rFonts w:ascii="arial" w:eastAsia="arial" w:hAnsi="arial" w:cs="arial"/>
          <w:sz w:val="20"/>
          <w:lang w:val="en-US" w:eastAsia="en-US" w:bidi="ar-SA"/>
        </w:rPr>
        <w:cr/>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subsection (1), the board may at any time at its discretion reopen, rehear and redetermine any matter, except a decision of the appeal division, which has been dealt with by it or by an officer of the board.</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appeal under section 91(1), the appeal division may reopen, rehear and redetermine any matter that has been dealt with by an officer of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If this adjournment application were brought in circumstances where the s. 11 determination was being sought to render the Board's ruling on jurisdiction "final" - a process within which Ms. Mills' ruing would be an important, but not necessarily conclusive factor - I think this court would be well advised to adjourn in order to completely quiet the issue. But here, the circumstances are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in the present case are wholly responsible for the existing state of affairs: they initiated the review that resulted in the 1996 "Mills" ruling because they were disenchanted with the WCB assessments they were paying as a result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was no oversight or mistake. The defendants were quite content with that ruling until the limitation issue was decided. At that time, as I have noted, they stood before the court promoting an outcome that would have denied the plaintiff Workers' Compensation due to Ms. Mills' ruling, and foreclosed him from litigating because he had failed to issue process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If this issue were entirely within my jurisdiction, the defendants would, I think, be estopped in the circumstances. This court has longstanding, intelligible rules respecting such embarrassments. I think, as well, that the defendants' conduct in this matter probably offends the rule against case-splitting embodied in the Law and Equity Act. This court does not normally countenance the serial adjudication of inconsistent positions in the same action, or by the same parties in different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Lastly, the extensive material prepared by the defendants to demonstrate that Ms. Mills' ruling - which they so actively sought when they thought it was to their advantage - is wrong, is all material which, in my view, could not pass the "due diligence" test our appellate court would apply as ground for reopening one of our adjudications.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Whether the material suggests a "conceivable" case before the Workers' Compensation Board cannot be answered by me, nor can I, as far as I can see, make any order that would estop the matter from going back before that Board should it see fit to entertain it. By the standards applied in this court, however, the answer to the question would almost certainly be, no.</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situation at present is that a competent manifestation of the Board has ruled that Mr. Davidson was not a worker at the relevant time. That ruling does not have the aspect of finality a s. 11 certificate would have. In ordinary circumstances - that is if the jurisdictional issue were raised at first instance - I think the case law clearly and sensibly dictates that the court ought to accommodate a ruling by the Board before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am further of the view that even in circumstances where there has been a ruling - such as here - it might normally be prudent to accommodate the issue of a s. 11 certificate to bring finality to the jurisdictional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circumstances of the present case, however, the position taken by the defendants so offends principles of fairness this court would ordinarily apply that I think it appropriate to accept the extant ruling at face value and not to actively accommodate the possibility that the Appeal Board might be moved to reverse its reversal. If it does, it does, but I will not adjourn the trial to abet such a prospect.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March 21,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corrigendum is issued with respect to my Reasons for Judgment published March 15,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It has been pointed out that paragraph 6, page 5, item 6, last line, should read "December 3, 1990", as opposed to "December 2,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Page 6, Item 8 (c) should read "the manner in which the the injury had occurred", not "the manner is which the injury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 Paragraph 15, second line, should read "The defendants", rather than "The plaintiffs". Line 7 should also be corrected to read "defendants were submitting", rather than "plaintiff was submitting".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 Paragraph 16, lines six and seven, should read "the defendants now wish to resubmit", rather than "the plaintiff now wishes to resubmit".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 These changes are noted and have been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6"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Gamble v. Canada (Attorney General), [2011] B.C.J. No. 2382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Dickson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16,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S104193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2382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1698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Ronald James Gamble and Ronald J. Gamble, a Law Corporation, Plaintiffs, and Her Majesty the Queen in Right of Canada as represented by the Attorney General of Canada, Her Majesty the Queen in Right of the Province of British Columbia as represented by the Attorney General of British Columbia, William C. West, Robert Prior, Holly Akin and Dano Sahulka,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7"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8" w:name="Keywords_34"/>
      <w:bookmarkEnd w:id="228"/>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Application by the defendants to strike certain paragraphs of the Amended Notice of Civil Claim allowed in part — The plaintiff Gamble, a lawyer, was terminated as legal agent to the federal prosecution service and criminal fraud charges were approved against him — Those charges were later stayed — Gamble commenced an action for malicious prosecution, defamation and other causes of action — As there were no material facts pleaded to support the malicious prosecution and defamation allegations, such claims were struck — However, the Court could not say that the breach of fiduciary duty claim was doomed to fail.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Pleadings — Amendment — Adding or striking out claim — Application by the defendants to strike certain paragraphs of the Amended Notice of Civil Claim allowed in part — The plaintiff Gamble, a lawyer, was terminated as legal agent to the federal prosecution service and criminal fraud charges were approved against him — Those charges were later stayed — Gamble commenced an action for malicious prosecution, defamation and other causes of action — As there were no material facts pleaded to support the malicious prosecution and defamation allegations, such claims were struck — However, the Court could not say that the breach of fiduciary duty claim was doomed to fail.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9" w:name="Case Summary_28"/>
            <w:bookmarkEnd w:id="2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strike out certain paragraphs of the Amended Notice of Civil Claim. The plaintiff Gamble was a lawyer who practiced law through the corporate plaintiff prior to 2004. The defendants Akin and Sahulka were also lawyers and were Gamble's employees prior to 2004. Gamble was appointed as legal agent to the federal prosecution service. However, his contract was terminated in 2004 following an audit into his billing practices. The RCMP subsequently conducted a criminal investigation and criminal fraud charges were approved against him. However, those charges were ultimately stayed. Gamble subsequently commenced an action against the defendants for malicious prosecution, breach of privacy, defamation and several other causes of action. The defendant applicants took the position that the paragraphs at issue disclosed no reasonable cause of action or were unnecessary, scandalous, frivolous or vexatious. Gamble took the position that his pleadings were proper and that adequate particulars had been provided.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0" w:name="Holdings of Court_24"/>
            <w:bookmarkEnd w:id="230"/>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were no material facts pleaded to support the allegation of malicious prosecution or the allegation of defamation. Furthermore, the professional misconduct of the type pleaded did not give rise to a civil cause of action and there was no common law tort in British Columbia for invasion and breach of privacy. Therefore, such claims were struck. However, the Court could not say that the breach of fiduciary duty claim was doomed to fail and that aspect of the claim was thus allowed to stand.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1" w:name="Legislation Cited_27"/>
      <w:bookmarkEnd w:id="2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8"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Attorney General Act, R.S.B.C. [1996] c.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R.S.C. 1985, App. II, No. 44,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Liability and Proceedings Act, </w:t>
      </w:r>
      <w:hyperlink r:id="rId667" w:history="1">
        <w:r>
          <w:rPr>
            <w:rFonts w:ascii="arial" w:eastAsia="arial" w:hAnsi="arial" w:cs="arial"/>
            <w:i/>
            <w:color w:val="0077CC"/>
            <w:sz w:val="20"/>
            <w:u w:val="single"/>
            <w:shd w:val="clear" w:color="auto" w:fill="FFFFFF"/>
            <w:lang w:val="en-US" w:eastAsia="en-US" w:bidi="ar-SA"/>
          </w:rPr>
          <w:t>R.S.C. 1985, c. C-50, s. 3</w:t>
        </w:r>
      </w:hyperlink>
      <w:r>
        <w:rPr>
          <w:rFonts w:ascii="arial" w:eastAsia="arial" w:hAnsi="arial" w:cs="arial"/>
          <w:color w:val="000000"/>
          <w:sz w:val="20"/>
          <w:lang w:val="en-US" w:eastAsia="en-US" w:bidi="ar-SA"/>
        </w:rPr>
        <w:t>, s. 23, s.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668" w:history="1">
        <w:r>
          <w:rPr>
            <w:rFonts w:ascii="arial" w:eastAsia="arial" w:hAnsi="arial" w:cs="arial"/>
            <w:i/>
            <w:color w:val="0077CC"/>
            <w:sz w:val="20"/>
            <w:u w:val="single"/>
            <w:shd w:val="clear" w:color="auto" w:fill="FFFFFF"/>
            <w:lang w:val="en-US" w:eastAsia="en-US" w:bidi="ar-SA"/>
          </w:rPr>
          <w:t>RSBC 1996, CHAPTER 367, s. 20</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r>
        <w:rPr>
          <w:rFonts w:ascii="arial" w:eastAsia="arial" w:hAnsi="arial" w:cs="arial"/>
          <w:i/>
          <w:color w:val="000000"/>
          <w:sz w:val="20"/>
          <w:lang w:val="en-US" w:eastAsia="en-US" w:bidi="ar-SA"/>
        </w:rPr>
        <w:t>RSBC 1996, CHAPTER 373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3-7, Rule 3-7(18), Rule 9-5(1)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2" w:name="Counsel_34"/>
      <w:bookmarkEnd w:id="2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9"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N. Ganapathi, M. Galambos.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the Attorney General of Canada and the Attorney General of British Columbia: K. Johnston, (appearing for T. Callan).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William West: M. Palmer.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Holly Akin and Dano Sahulka: M. DeBock.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3" w:name="Judgment_34"/>
      <w:bookmarkEnd w:id="233"/>
      <w:r>
        <w:pict>
          <v:line id="_x0000_s1200" style="position:absolute;z-index:251847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4" w:name="G. DICKSON J. (orally)"/>
            <w:bookmarkEnd w:id="234"/>
            <w:r>
              <w:rPr>
                <w:rFonts w:ascii="arial" w:eastAsia="arial" w:hAnsi="arial" w:cs="arial"/>
                <w:b/>
                <w:color w:val="000000"/>
                <w:sz w:val="30"/>
                <w:lang w:val="en-US" w:eastAsia="en-US" w:bidi="ar-SA"/>
              </w:rPr>
              <w:t>G. DICKSON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applicants, Her Majesty the Queen in Right of the Province of British Columbia ("the Province"), Holly Akin ("Akin"), and Dano Sahulka ("Sahulka"), are three of several defendants in this action brought by the plaintiffs for malicious prosecution, constitutional tort, breach of professional ethics, invasion and breach of privacy, breach of fiduciary duty, defamation and several other unparticularized causes of action. The applicants seek an order striking specified paragraphs of the Amended Notice of Civil Claim on the basis that they disclose no reasonable claim or are unnecessary, scandalous, frivolous or vexatious. In the alternative, they seek an order for further and better particulars, together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summary, the applicants say that certain claims as pleaded are bound to fail and, in some respects, are improper so should be struck or revised to comply with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requirements. The plaintiffs respond that their pleadings are proper, disclose the causes of actions pleaded, and adequate particulars have been provided. In addition, they seek an order permitting further amendment of the Amended Notice of Civil Claim in a form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other defendants take no position on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for determination are whether the specified paragraphs of the Amended Notice of Civil Claim should be struck or, alternatively, better particulars ordered and whether the Amended Notice of Civil Claim should be further amended as proposed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personal plaintiff, Ronald Gamble, is a lawyer. Prior to 2004 he practiced law through the corporate plaintiff, Ronald J. Gamble, a Law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applicants Akin and Sahulka are also lawyers. Prior to 2004 they were the plaintiffs'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part of his law practice, Gamble was appointed as legal agent to the federal prosecution service. In 2004, following an audit into his billing practices, Gamble's contract was terminated. Thereafter, the RCMP conducted a criminal investigation and provincial Crown counsel eventually approved criminal fraud charges against him. In November 2009, however,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Crown counsel directed a stay of proceedings with respect to the charges. In June 2010, the plaintiffs commenced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factual allegations contained in the Amended Notice of Civil Claim are complex and wide-ranging. For present purposes it is unnecessary to review them all in detail. In brief summary, as against the Province the plaintiff alleges that Crown counsel failed to disclose certain particulars and documents relating to the criminal charges laid against him and denied him the opportunity to clear his name in open court, caused him emotional distress by causing charges to be read out in open court when his son, also a lawyer, was appearing on other matters. As against Akin and Sahulka, the plaintiff alleges that, in concert, they conspired with federal Crown employees to, amongst other things, spy on him, copy and remove office files and otherwise interfere with and damage his legal practice in order to take over the conduct of the federal Crown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the action was commenced, counsel for Akin and Sahulka wrote to plaintiffs' counsel and identified several aspects of the pleadings to which objection was taken. In addition, counsel demanded particulars of several of the claims that were being advanced. In response, plaintiffs' counsel provided a large binder of documents with tabbed references on identified topics. In his covering letter, plaintiffs' counsel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Attached to our Response to your demand, please find a binder containing copies of the following documents referred to in our Response, from which you will undoubtedly distill your own understanding of the wrongs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9-5 -- Striking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Scandalous, frivolous or vexatious matters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 [am. B.C. Reg. 119/2010, Sch. A, s.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the court set out the applicable test on an application to strike pleadings. At page 980,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assuming that the facts as stated in the statement of claim can be proved, is it "plain and obvious" that the plaintiff's statement of claim discloses no reasonable causes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 should the relevant portions of a plaintiff's statement of claim be struck out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Jensen v. MacGregor et al</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1992 CanLii 2167</w:t>
        </w:r>
      </w:hyperlink>
      <w:r>
        <w:rPr>
          <w:rFonts w:ascii="arial" w:eastAsia="arial" w:hAnsi="arial" w:cs="arial"/>
          <w:color w:val="000000"/>
          <w:sz w:val="20"/>
          <w:lang w:val="en-US" w:eastAsia="en-US" w:bidi="ar-SA"/>
        </w:rPr>
        <w:t>, Madam Justice Sinclair Prowse considered an application to strike pleadings in the context of a claim that legal advice given to and followed by one estranged spouse damaged the other estranged spouse and their children. At pages 3 and 4 of the decision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application pursuant to Rule 19(24)(a) to succeed the defendants must establish that the pleadings presently (and even if amended) , absolutely beyond doubt, do not disclose a plausible argument to be heard at trial [citations omitted]; that the facts as pleaded or as amended disclose no cause of action; and that the pleadings disclose no arguable issue and therefore it is plain and obvious that the claim cannot succeed.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Moreover, if the case involves an investigation of a serious question of law or questions of general importance or if the facts are to be known before the rights are definitely decided, this Rule ought not to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this case several causes of action have been pleaded. They include, amongst others, malicious prosecution, invasion of privacy, breach of fiduciary duty and defamation. In addition, the plaintiff pleads that the Province is vicariously liable for torts committed by members of the RCMP. In order to determine the application to strike the pleadings, it is necessary to consider the elements of these causes of action and applicable 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Miazga v. Kvello Estate</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2009 SCC 51</w:t>
        </w:r>
      </w:hyperlink>
      <w:r>
        <w:rPr>
          <w:rFonts w:ascii="arial" w:eastAsia="arial" w:hAnsi="arial" w:cs="arial"/>
          <w:color w:val="000000"/>
          <w:sz w:val="20"/>
          <w:lang w:val="en-US" w:eastAsia="en-US" w:bidi="ar-SA"/>
        </w:rPr>
        <w:t xml:space="preserve">, is a recent decision of the Supreme Court of Canada that deals with the tort of malicious prosecution.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the Supreme Court of Canada clarified the constituent elements of the tort. They are:</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prosecution was initiated by the defendant;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terminated in favour of the plaintiff;</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undertaken without reasonable and probable cause;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motivated by malice or a primary purpose other than that of carrying the law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Importantly, the Court held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that malice cannot be inferred solely from a finding of the absence of a belief in reasonable and probable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xml:space="preserve">, provides a statutory basis for a claim in breach of privacy. There is, however, no common law tort of invasion or breach of privacy in British Columbia: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2003 BCCA 257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Bracken v. Vancouver Police Board</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2006 BCSC 189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 fiduciary duty may arise in the context of an employment relationship, although not all employment relationships necessarily give rise to a fiduciary duty. The level of responsibility of the employee in question is a relevant factor for consideration in connection with the possible existence of such a duty. So, too, is the manner and extent to which employees may owe to their employers duties of, for example, confidentiality and loyalty: </w:t>
      </w:r>
      <w:r>
        <w:rPr>
          <w:rFonts w:ascii="arial" w:eastAsia="arial" w:hAnsi="arial" w:cs="arial"/>
          <w:i/>
          <w:color w:val="000000"/>
          <w:sz w:val="20"/>
          <w:lang w:val="en-US" w:eastAsia="en-US" w:bidi="ar-SA"/>
        </w:rPr>
        <w:t>Barton Insurance Brokers Ltd. v. Irwin</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1999 BCCA 73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 defamation action, a plaintiff is required to prove three things in order to obtain judgment and an award of damages: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impugned words were defamatory in the sense that they tend to lower the plaintiff's reputation in the eyes of a reasonable person;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in fact refer to the plaintiff;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were published, meaning that they were communicated to at least one person other than the plaintiff.</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Grant v. Torstar Corporation</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2009 SCC 61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As noted, in this case the plaintiffs plead that the Province is vicariously liable for acts of the RCMP. The pleading is expressed as being pursuant to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R.S.C. 1985 and amendments thereto and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however, is a federal statute that concerns only the federal Crown, not the Province.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is a provincial statute, but s. 20 concerns only torts committed by municipal constables in the performance of their duties when they are acting in a municipality other than that in which their duties are normally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applicants also seek an order for particulars. In so doing, they rely upon Rule 3-7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Pursuant to Rule 3-7(18) full particulars, including dates, must be provided when an allegation of misrepresentation is made. In addition, particulars are required when necessary in order to:</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 the other side of the nature of the case they have to meet, as distinguished from the mode in which the case is to be proved;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 the other side from being taken by surprise at the trial;</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enable the other side to know what evidence they ought to be prepared with and to prepare for trial;</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limit the generality of the pleadings;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 and decide the issues to be tried and as to which discovery is required;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tie the hands of the party so that the party cannot, without leave, go into matters not included.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Harris v. Ray Kissack Memorial Housing Society</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2003 BCSC 1476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Province seeks an order striking out paragraphs 5, 7, 9, 10, 37, 43, 47 and 48 of the Amended Notice of Civil Claim. They read as follows:</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Her Majesty the Queen in Right of the Province of British Columbia as represented by the Attorney General of British Columbia (the "Provincial Crown") has the regulation and conduct of all litigation for or against the government of British Columbia and is the party in whose name proceedings are to be taken against Her Majesty the Queen in Right of the Province of British Columbia as represented by the Attorney General of British Columbia (the "Provincial Crown"). The Provincial Crown has an address for service at 1001 Douglas Street, Victoria,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Provincial Crown has a duty to see that public affairs within its jurisdiction are administered in accordance with law, including the </w:t>
      </w:r>
      <w:r>
        <w:rPr>
          <w:rFonts w:ascii="arial" w:eastAsia="arial" w:hAnsi="arial" w:cs="arial"/>
          <w:i/>
          <w:color w:val="000000"/>
          <w:sz w:val="20"/>
          <w:lang w:val="en-US" w:eastAsia="en-US" w:bidi="ar-SA"/>
        </w:rPr>
        <w:t>Attorney General Act</w:t>
      </w:r>
      <w:r>
        <w:rPr>
          <w:rFonts w:ascii="arial" w:eastAsia="arial" w:hAnsi="arial" w:cs="arial"/>
          <w:color w:val="000000"/>
          <w:sz w:val="20"/>
          <w:lang w:val="en-US" w:eastAsia="en-US" w:bidi="ar-SA"/>
        </w:rPr>
        <w:t xml:space="preserve"> R.S.B.C. [1996] c. 22, and must superintend all matters connected with the administration of justice in British Columbia not within the jurisdiction of the Federal Crown.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Provincial Crown is vicariously liable for torts committed by the RCMP pursuant to ss. 3, 23 and 36 of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virtue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R.S.B.C. [1996], c. 367, the government of the Province of British Columbia is jointly and severally liable for torts committed by municipal constables and special constables in the performance of their duties when acting in other than the municipality where they normally perform their duties.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West, as part of the conspiracy alleged herein, laid or personally caused to be laid an Information charging the Plaintiff Gamble with fraud in Kelowna, B.C., when Gamble resided in the Smithers jurisdiction. In electing to invoke the machinery of the criminal law, Prior and West </w:t>
      </w:r>
      <w:r>
        <w:rPr>
          <w:rFonts w:ascii="arial" w:eastAsia="arial" w:hAnsi="arial" w:cs="arial"/>
          <w:color w:val="000000"/>
          <w:sz w:val="20"/>
          <w:u w:val="single"/>
          <w:lang w:val="en-US" w:eastAsia="en-US" w:bidi="ar-SA"/>
        </w:rPr>
        <w:t>improperly turned an administrative investigation into a criminal one without the requisite grounds and, without limiting the generality of the foregoing, otherwise</w:t>
      </w:r>
      <w:r>
        <w:rPr>
          <w:rFonts w:ascii="arial" w:eastAsia="arial" w:hAnsi="arial" w:cs="arial"/>
          <w:color w:val="000000"/>
          <w:sz w:val="20"/>
          <w:lang w:val="en-US" w:eastAsia="en-US" w:bidi="ar-SA"/>
        </w:rPr>
        <w:t xml:space="preserve"> failed to act judiciously, fettered their discretion, and attempted to exert an external influence on the </w:t>
      </w:r>
      <w:r>
        <w:rPr>
          <w:rFonts w:ascii="arial" w:eastAsia="arial" w:hAnsi="arial" w:cs="arial"/>
          <w:color w:val="000000"/>
          <w:sz w:val="20"/>
          <w:u w:val="single"/>
          <w:lang w:val="en-US" w:eastAsia="en-US" w:bidi="ar-SA"/>
        </w:rPr>
        <w:t>criminal process and the</w:t>
      </w:r>
      <w:r>
        <w:rPr>
          <w:rFonts w:ascii="arial" w:eastAsia="arial" w:hAnsi="arial" w:cs="arial"/>
          <w:color w:val="000000"/>
          <w:sz w:val="20"/>
          <w:lang w:val="en-US" w:eastAsia="en-US" w:bidi="ar-SA"/>
        </w:rPr>
        <w:t xml:space="preserve"> Court </w:t>
      </w:r>
      <w:r>
        <w:rPr>
          <w:rFonts w:ascii="arial" w:eastAsia="arial" w:hAnsi="arial" w:cs="arial"/>
          <w:color w:val="000000"/>
          <w:sz w:val="20"/>
          <w:u w:val="single"/>
          <w:lang w:val="en-US" w:eastAsia="en-US" w:bidi="ar-SA"/>
        </w:rPr>
        <w:t>in exchange for their common and secret civil objectives</w:t>
      </w:r>
      <w:r>
        <w:rPr>
          <w:rFonts w:ascii="arial" w:eastAsia="arial" w:hAnsi="arial" w:cs="arial"/>
          <w:color w:val="000000"/>
          <w:sz w:val="20"/>
          <w:lang w:val="en-US" w:eastAsia="en-US" w:bidi="ar-SA"/>
        </w:rPr>
        <w:t>. The Plaintiffs [say] that the charge against Gamble laid by the Defendant West was partisan, and in fact a private prosecution not authorized by the Federal Prosecution Service, or in the alternative without following the guidelines established by the Federal Prosecution Service for private prosecutions and, in any event, was a personal, partisan vendetta against the Plaintiffs by Prior and West. The Plaintiffs also say the charge had no prospect of success and was contrary to the public interest. In pursuing the prosecution of Gamble, Prior and West compromised the absolute independence of the Attorney General of Canada and violated the "Shawcross Principle" to main public confidence in the administration of justice and uphold the rule of law. The Plaintiffs say that West had a hand in appointing and directing Gamble's prosecution by an agent Provincial Prosecutor and his doing so was not approved, nor would it ever have been approved, by his superiors.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charge against Gamble was delegated for prosecution to the Defendant the Provincial Crown and West and Prior were instrumental in </w:t>
      </w:r>
      <w:r>
        <w:rPr>
          <w:rFonts w:ascii="arial" w:eastAsia="arial" w:hAnsi="arial" w:cs="arial"/>
          <w:color w:val="000000"/>
          <w:sz w:val="20"/>
          <w:u w:val="single"/>
          <w:lang w:val="en-US" w:eastAsia="en-US" w:bidi="ar-SA"/>
        </w:rPr>
        <w:t>choosing and appointing the prosecutor and</w:t>
      </w:r>
      <w:r>
        <w:rPr>
          <w:rFonts w:ascii="arial" w:eastAsia="arial" w:hAnsi="arial" w:cs="arial"/>
          <w:color w:val="000000"/>
          <w:sz w:val="20"/>
          <w:lang w:val="en-US" w:eastAsia="en-US" w:bidi="ar-SA"/>
        </w:rPr>
        <w:t xml:space="preserve"> directing that prosecution. [It] </w:t>
      </w:r>
      <w:r>
        <w:rPr>
          <w:rFonts w:ascii="arial" w:eastAsia="arial" w:hAnsi="arial" w:cs="arial"/>
          <w:color w:val="000000"/>
          <w:sz w:val="20"/>
          <w:u w:val="single"/>
          <w:lang w:val="en-US" w:eastAsia="en-US" w:bidi="ar-SA"/>
        </w:rPr>
        <w:t>The criminal Information naming Gamble</w:t>
      </w:r>
      <w:r>
        <w:rPr>
          <w:rFonts w:ascii="arial" w:eastAsia="arial" w:hAnsi="arial" w:cs="arial"/>
          <w:color w:val="000000"/>
          <w:sz w:val="20"/>
          <w:lang w:val="en-US" w:eastAsia="en-US" w:bidi="ar-SA"/>
        </w:rPr>
        <w:t xml:space="preserve"> was not immediately brought to [the] </w:t>
      </w:r>
      <w:r>
        <w:rPr>
          <w:rFonts w:ascii="arial" w:eastAsia="arial" w:hAnsi="arial" w:cs="arial"/>
          <w:color w:val="000000"/>
          <w:sz w:val="20"/>
          <w:u w:val="single"/>
          <w:lang w:val="en-US" w:eastAsia="en-US" w:bidi="ar-SA"/>
        </w:rPr>
        <w:t>his</w:t>
      </w:r>
      <w:r>
        <w:rPr>
          <w:rFonts w:ascii="arial" w:eastAsia="arial" w:hAnsi="arial" w:cs="arial"/>
          <w:color w:val="000000"/>
          <w:sz w:val="20"/>
          <w:lang w:val="en-US" w:eastAsia="en-US" w:bidi="ar-SA"/>
        </w:rPr>
        <w:t xml:space="preserve"> attention [of Gamble], and only came to his </w:t>
      </w:r>
      <w:r>
        <w:rPr>
          <w:rFonts w:ascii="arial" w:eastAsia="arial" w:hAnsi="arial" w:cs="arial"/>
          <w:color w:val="000000"/>
          <w:sz w:val="20"/>
          <w:u w:val="single"/>
          <w:lang w:val="en-US" w:eastAsia="en-US" w:bidi="ar-SA"/>
        </w:rPr>
        <w:t>Gamble's</w:t>
      </w:r>
      <w:r>
        <w:rPr>
          <w:rFonts w:ascii="arial" w:eastAsia="arial" w:hAnsi="arial" w:cs="arial"/>
          <w:color w:val="000000"/>
          <w:sz w:val="20"/>
          <w:lang w:val="en-US" w:eastAsia="en-US" w:bidi="ar-SA"/>
        </w:rPr>
        <w:t xml:space="preserve"> notice when it was read out in the Provincial Court in Smithers, B.C. where Gamble's son, Tyson Gamble, was </w:t>
      </w:r>
      <w:r>
        <w:rPr>
          <w:rFonts w:ascii="arial" w:eastAsia="arial" w:hAnsi="arial" w:cs="arial"/>
          <w:color w:val="000000"/>
          <w:sz w:val="20"/>
          <w:u w:val="single"/>
          <w:lang w:val="en-US" w:eastAsia="en-US" w:bidi="ar-SA"/>
        </w:rPr>
        <w:t>appearing as</w:t>
      </w:r>
      <w:r>
        <w:rPr>
          <w:rFonts w:ascii="arial" w:eastAsia="arial" w:hAnsi="arial" w:cs="arial"/>
          <w:color w:val="000000"/>
          <w:sz w:val="20"/>
          <w:lang w:val="en-US" w:eastAsia="en-US" w:bidi="ar-SA"/>
        </w:rPr>
        <w:t xml:space="preserve"> a Provincial Crown Counsel, causing severe embarrassment to the Plaintiffs </w:t>
      </w:r>
      <w:r>
        <w:rPr>
          <w:rFonts w:ascii="arial" w:eastAsia="arial" w:hAnsi="arial" w:cs="arial"/>
          <w:color w:val="000000"/>
          <w:sz w:val="20"/>
          <w:u w:val="single"/>
          <w:lang w:val="en-US" w:eastAsia="en-US" w:bidi="ar-SA"/>
        </w:rPr>
        <w:t>and Tyson Gamble</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The 2 Provincial Court Judges before whom the charge was successively brought </w:t>
      </w:r>
      <w:r>
        <w:rPr>
          <w:rFonts w:ascii="arial" w:eastAsia="arial" w:hAnsi="arial" w:cs="arial"/>
          <w:color w:val="000000"/>
          <w:sz w:val="20"/>
          <w:u w:val="single"/>
          <w:lang w:val="en-US" w:eastAsia="en-US" w:bidi="ar-SA"/>
        </w:rPr>
        <w:t>before</w:t>
      </w:r>
      <w:r>
        <w:rPr>
          <w:rFonts w:ascii="arial" w:eastAsia="arial" w:hAnsi="arial" w:cs="arial"/>
          <w:color w:val="000000"/>
          <w:sz w:val="20"/>
          <w:lang w:val="en-US" w:eastAsia="en-US" w:bidi="ar-SA"/>
        </w:rPr>
        <w:t xml:space="preserve"> recused themselves from the proceeding due to their familiarity with Gamble as a Federal Crown Counsel, and in accordance with the principles of judicial impartiality.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several hearings that ensued before the Provincial Court in Vancouver, B.C., the Provincial Crown steadfastly refused to disclose important particulars relating to the charge against Gamble, and in particular withheld communications between the Defendants Prior and West which would have disclosed the existence of a pre-existing plan contrived between them to eliminate Gamble as Legal Agent and appoint Sahulka and Akin as his replacements. Such continuous refusals led to the repeated adjournments of the arraignment hearing, at substantial cost to the Plaintiff Gamble, and despite evidence tendered on behalf of Gamble of abuses of process by the Defendants, the Provincial Crown denied the existence of the plot between Prior and West to terminate Gamble's Appointment as Legal Agent, and failed to disclose any evidence which might assist Gamble in formulating and presenting a full and proper defence to the charge </w:t>
      </w:r>
      <w:r>
        <w:rPr>
          <w:rFonts w:ascii="arial" w:eastAsia="arial" w:hAnsi="arial" w:cs="arial"/>
          <w:color w:val="000000"/>
          <w:sz w:val="20"/>
          <w:u w:val="single"/>
          <w:lang w:val="en-US" w:eastAsia="en-US" w:bidi="ar-SA"/>
        </w:rPr>
        <w:t>contrary to their obligation to disclose such evidence.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November 6, 2009, the Provincial Crown stayed the charge against the Plaintiff Gamble, and the proceedings were thus terminated in favour of this Plaintiff. In staying the charge, the Plaintiffs were denied the right and opportunity to prove their innocence and clear their names, and the obligation to disclose all evidence then ceased.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[Underlining and strikethrough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Province submits that the first two elements of the test for a claim of a malicious prosecution are met, but the plaintiffs have not pleaded any material facts that meet the requirements of the third and fourth elements. The plaintiffs respond that, on all of the facts pleaded, from an objective perspective there were no reasonable and probable grounds for the prosecution and malice on the part of Crown counsel can be inferred. In the plaintiff's submission the application to strike is, at best, premature and there are serious questions of general importance that are raised on the pleadings. Accordingly, in the plaintiffs' submission they should at the very least have an opportunity to amend their claim in the form proposed in the application brought to further amend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agree with the Province with respect to the claim brought against it for malicious prosecution. It is clear from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that, regardless of a prosecutor's subjective belief in the grounds to prosecute, malice may not simply be inferred. In this case, there are no material facts whatsoever pleaded in support of the allegation that Crown counsel was motivated by malice or any other improper purpose in conducting the prosecution against the plaintiff. This is as true of the proposed Further Amended Notice of Civil Claim as it is of the claim in its existing form. Indeed, the proposed amendments include a specific pleading that malice is to be inferred, which is directly contrary to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pleadings frame the issues for determination in an action and circumscribe the parties' rights and obligations with respect to discovery and disclosure obligations. If an essential element of a cause of action pleaded is absent from the outset, the pleadings should not be permitted to stand so that discovery and disclosure can occur. This is so because the parameters of discovery and disclosure have not been properly defined by the pleadings and the opposing party has not been advised of the case to be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Province goes on to submit that the plaintiffs' claim it is vicariously liable for the acts of RCMP officers is also untenable. In its submission,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referenced in paragraph 9 of the Amended Notice of Civil Claim applies on its clear terms to the federal Crown, not to the provincial Crown. In addition,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referenced in paragraph 10 applies to entirely different circumstances than those which are at issue. In particular, it applies to joint and several liability for torts committed by municipal constables in the performance of their duties when they are acting in a municipality other than that in which their duties are normally performed. In this case, there are no material facts pleaded that indicate the RCMP officers were acting in other than the municipality in which they normally performed their duties. Accordingly, this is not a case of the sort to which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Again, I agree with the Province. It is the federal Crown, not the provincial Crown, which is vicariously liable for the acts of RCMP officers except in unusual circumstances that do not arise on the pleadings as framed. It follows that the Province's application is granted and the impugned paragraphs are struck. The proposed further amendments do not cure these fatal defects and, therefore, they are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Turning to the application brought by Akin and Sahulka, the applicants seek an order striking out paragraphs 17, 18, 24(a), 25, 26, 28, 29, 52 of Part 1 of the Amended Notice of Civil Claim and the portions of Parts 2 and 3 that apply to them. The impugned paragraphs of Part 1 read as follows: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time of their respective calls to the Bar of British Columbia, each of Sahulka and Akin swore an oath that they would not promote suits upon frivolous pretences, and that they would not pervert the law to favour or prejudice anyone. Each of them swore that in all things they would conduct themselves truly and with integrity, and that they would uphold the rule of law and the rights and freedoms of all persons according to the laws of Canada and the Province of British Columbia. </w:t>
      </w:r>
      <w:r>
        <w:rPr>
          <w:rFonts w:ascii="arial" w:eastAsia="arial" w:hAnsi="arial" w:cs="arial"/>
          <w:color w:val="000000"/>
          <w:sz w:val="20"/>
          <w:u w:val="single"/>
          <w:lang w:val="en-US" w:eastAsia="en-US" w:bidi="ar-SA"/>
        </w:rPr>
        <w:t>These Defendants owed the Plaintiffs a duty of care, and the oath sets out a description of the standard of care required of lawyers in B.C. The conduct of these Defendants described inter alia in paragraph 25 herein were in breach of the duty and standard of care set out in the oath</w:t>
      </w:r>
      <w:r>
        <w:rPr>
          <w:rFonts w:ascii="arial" w:eastAsia="arial" w:hAnsi="arial" w:cs="arial"/>
          <w:color w:val="000000"/>
          <w:sz w:val="20"/>
          <w:lang w:val="en-US" w:eastAsia="en-US" w:bidi="ar-SA"/>
        </w:rPr>
        <w: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professional associates and employees of the Plaintiffs, each of the Defendants Sahulka and Akin owed the Plaintiffs certain fiduciary duties and a duty of loyalty, a duty of obedience and a duty of care to act professionally, honestly, faithfully and in good faith. </w:t>
      </w:r>
      <w:r>
        <w:rPr>
          <w:rFonts w:ascii="arial" w:eastAsia="arial" w:hAnsi="arial" w:cs="arial"/>
          <w:color w:val="000000"/>
          <w:sz w:val="20"/>
          <w:u w:val="single"/>
          <w:lang w:val="en-US" w:eastAsia="en-US" w:bidi="ar-SA"/>
        </w:rPr>
        <w:t>The fiduciary duties arose from the relationship of employer and employee, and included the duty to relinquish self interest, the duty to act in accordance with the duties of loyalty, obedience, and care reposed on them through such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24(a). At or about the same time, in pursuit of secret and improper ambitions </w:t>
      </w:r>
      <w:r>
        <w:rPr>
          <w:rFonts w:ascii="arial" w:eastAsia="arial" w:hAnsi="arial" w:cs="arial"/>
          <w:color w:val="000000"/>
          <w:sz w:val="20"/>
          <w:u w:val="single"/>
          <w:lang w:val="en-US" w:eastAsia="en-US" w:bidi="ar-SA"/>
        </w:rPr>
        <w:t>to be appointed as Federal Agents and take over the contract of the Plaintiffs</w:t>
      </w:r>
      <w:r>
        <w:rPr>
          <w:rFonts w:ascii="arial" w:eastAsia="arial" w:hAnsi="arial" w:cs="arial"/>
          <w:color w:val="000000"/>
          <w:sz w:val="20"/>
          <w:lang w:val="en-US" w:eastAsia="en-US" w:bidi="ar-SA"/>
        </w:rPr>
        <w:t xml:space="preserve">, the Defendants Sahulka and Holly, who had a romantic relationship with each other </w:t>
      </w:r>
      <w:r>
        <w:rPr>
          <w:rFonts w:ascii="arial" w:eastAsia="arial" w:hAnsi="arial" w:cs="arial"/>
          <w:color w:val="000000"/>
          <w:sz w:val="20"/>
          <w:u w:val="single"/>
          <w:lang w:val="en-US" w:eastAsia="en-US" w:bidi="ar-SA"/>
        </w:rPr>
        <w:t>giving rise to a unity of interest overshadowing their respective duties to their employer</w:t>
      </w:r>
      <w:r>
        <w:rPr>
          <w:rFonts w:ascii="arial" w:eastAsia="arial" w:hAnsi="arial" w:cs="arial"/>
          <w:color w:val="000000"/>
          <w:sz w:val="20"/>
          <w:lang w:val="en-US" w:eastAsia="en-US" w:bidi="ar-SA"/>
        </w:rPr>
        <w:t>, were seeking to enrich themselves by:</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Sahulka rendering bills under Holly's name for work performed by Sahulka, thereby resulting in a 20% overpayment of commission from the Plaintiffs to Holly in 60% of her gross billings; and ....</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furtherance of their respective fiduciary, contractual and tortuous wrongs, fueled by their secret and improper ambitions described above, Sahulka and Akin and in a conflict of interest with the Plaintiffs, developed a rapport and conspired with West and Prior to terminate the Plaintiff's Appointment as Legal Agent. Particulars of their wrongdoing, inter alia, are that they offered their services to act as agents and henchmen for West and Prior and, commencing in July 2002, actively worked surreptitiously for West and Prior to seek out and provide information to these Defendants which would justify the Defendant Federal Crown's termination of the Plaintiff's Appointment as Legal Agent. Without limiting the generality of the foregoing, Sahulka and Akin conspired with and were directed by West and Prior in conducting large numbers of illegal, immoral, unethical, warrantless and groundless surreptitious searches, under the supervision of West and Prior, of the Plaintiff's premises and business and personal records (paper, electronic, legal administrative and accounting) by:</w:t>
      </w:r>
    </w:p>
    <w:p>
      <w:pPr>
        <w:numPr>
          <w:numId w:val="2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spying on the activities of the Plaintiffs;</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setting up traps to track the activities of the Plaintiffs;</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copying records and files of the Plaintiffs and forwarding them to Prior and West;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accessing and copying files including closed files on which they did not perform any work and to which they had not right;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removing client files from the office of the Plaintiffs without their knowledge or consent and forwarding them to the Defendants Prior and West;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eavesdropping on conversations of the Plaintiffs;</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accessing the billing and other financial records of the Plaintiffs without consent;</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disclosing confidential and privileged matters relating to the Plaintiffs in breach of their professional ethics as members of the legal profession;</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tracking and reporting their interpretation of the movements and activities of the Plaintiffs; and</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performing a variety of acts in breach of their fiduciary duties to the Plaintiffs as their employer;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of which caused and continue to cause the Plaintiffs loss, injuries and damages. </w:t>
      </w:r>
      <w:r>
        <w:rPr>
          <w:rFonts w:ascii="arial" w:eastAsia="arial" w:hAnsi="arial" w:cs="arial"/>
          <w:color w:val="000000"/>
          <w:sz w:val="20"/>
          <w:u w:val="single"/>
          <w:lang w:val="en-US" w:eastAsia="en-US" w:bidi="ar-SA"/>
        </w:rPr>
        <w:t xml:space="preserve">This calculated and joint course of action, whereby the conspirators West, Prior, Akin and Sahulka administratively investigated the Plaintiffs in furtherance of their objectives herein stated, renders the Federal Crown (and not the RCMP) the true Investigative Agency with respect to the Plaintiffs at all material times and Akin and Sahulka agents of the Federal Crown. The Plaintiffs say that the conduct of the Defendants constituted an invasion of privacy of the Plaintiffs, a breach of the Plaintiffs constitutional rights to be secure from unreasonable search and seizure, constitutional tort, mischief, theft, conversion, trespass upon chattels, deceit, misrepresentation, negligent investigation, negligent misstatement,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and a flagrant breach of and disregard for professional ethics.</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say that these searches by Aiken and Sahulka, surreptitiously supervised and directed by West and Prior, were contrary to his guaranteed freedoms and rights under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and are actionable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heart of the conspiracy against the Plaintiffs, in exchange for the espionage and risks taken by the Defendants Sahulka and Akin, the Defendants Prior and West offered them the Appointment held by the Plaintiffs as Legal Agent and they acted to implement such an Appointment. Sahulka and Akin thereupon continuously acted as secret plants and agents of the Defendants Prior and West in the office of the Plaintiffs </w:t>
      </w:r>
      <w:r>
        <w:rPr>
          <w:rFonts w:ascii="arial" w:eastAsia="arial" w:hAnsi="arial" w:cs="arial"/>
          <w:color w:val="000000"/>
          <w:sz w:val="20"/>
          <w:u w:val="single"/>
          <w:lang w:val="en-US" w:eastAsia="en-US" w:bidi="ar-SA"/>
        </w:rPr>
        <w:t>as described in paragraph 25 herein</w:t>
      </w:r>
      <w:r>
        <w:rPr>
          <w:rFonts w:ascii="arial" w:eastAsia="arial" w:hAnsi="arial" w:cs="arial"/>
          <w:color w:val="000000"/>
          <w:sz w:val="20"/>
          <w:lang w:val="en-US" w:eastAsia="en-US" w:bidi="ar-SA"/>
        </w:rPr>
        <w:t>, and provided them information as they saw fit or as Prior and West directed from time to time.</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Emboldened by the backdoor agreement with the Defendant West to be appointed as Federal Agents in place of the Plaintiffs, the Defendants Sahulka and Akin thereupon masqueraded as lords of the ring within the practice of the Plaintiffs </w:t>
      </w:r>
      <w:r>
        <w:rPr>
          <w:rFonts w:ascii="arial" w:eastAsia="arial" w:hAnsi="arial" w:cs="arial"/>
          <w:color w:val="000000"/>
          <w:sz w:val="20"/>
          <w:u w:val="single"/>
          <w:lang w:val="en-US" w:eastAsia="en-US" w:bidi="ar-SA"/>
        </w:rPr>
        <w:t xml:space="preserve">by removing files belonging to the Plaintiffs and delivering them to the Defendant West as though their appointments in place of the Plaintiffs were a </w:t>
      </w:r>
      <w:r>
        <w:rPr>
          <w:rFonts w:ascii="arial" w:eastAsia="arial" w:hAnsi="arial" w:cs="arial"/>
          <w:i/>
          <w:color w:val="000000"/>
          <w:sz w:val="20"/>
          <w:u w:val="single"/>
          <w:lang w:val="en-US" w:eastAsia="en-US" w:bidi="ar-SA"/>
        </w:rPr>
        <w:t>fait accompli</w:t>
      </w:r>
      <w:r>
        <w:rPr>
          <w:rFonts w:ascii="arial" w:eastAsia="arial" w:hAnsi="arial" w:cs="arial"/>
          <w:color w:val="000000"/>
          <w:sz w:val="20"/>
          <w:u w:val="single"/>
          <w:lang w:val="en-US" w:eastAsia="en-US" w:bidi="ar-SA"/>
        </w:rPr>
        <w:t xml:space="preserve"> and the files of the Plaintiffs now belonged to them</w:t>
      </w:r>
      <w:r>
        <w:rPr>
          <w:rFonts w:ascii="arial" w:eastAsia="arial" w:hAnsi="arial" w:cs="arial"/>
          <w:color w:val="000000"/>
          <w:sz w:val="20"/>
          <w:lang w:val="en-US" w:eastAsia="en-US" w:bidi="ar-SA"/>
        </w:rPr>
        <w:t>. The Plaintiffs, unaware of the plans between these Defendants, considered the actions of the Defendants Sahulka and Akin to be insubordination and terminated them accordingly in early January 2004.</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conspiracy,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investigation, breaches of contract, breaches of fiduciary duty, intentional wrongs, mischief, misfeasance of public office, constitutional tort and malicious prosecution of the Plaintiffs by the Defendants, the Plaintiffs have sustained injuries and have suffered loss and damage, particulars of which include: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character, credit and reputation;</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stress, fear and anxiety;</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enjoyment of life;</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humiliation and loss of standing in society;</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income;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income; and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substantial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As to the claim for malicious prosecution, Akin and Sahulka submit that this claim is bound to fail against them because there is no pleading that they initiated a prosecution against the plaintiffs. On the contrary, they say the plaintiffs plead the prosecution was initiated by the defendants Prior and West and conducted by Crown counsel, and that their alleged participation was restricted to providing information used by others to initiate the prosecution. In these circumstances they say the first essential element of the tort of malicious prosecution, as outlined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is entirely missing. The plaintiffs respond that they plead Akin and Sahulka acted in concert with Prior and West, as their agents, and that is sufficient to allow the malicious prosecution pleading to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Although I accept the plaintiffs' allegations that Akin and Sahulka acted in concert with Prior and West are sufficient to underpin some of the other causes of action pleaded, I agree with the applicants that they do not support the malicious prosecution pleading. The general assertion that Akin and Sahulka assisted Prior and West in matters such as file removal and "spying" with respect to the federal agency contract does not extend to initiation of the alleged malicious prosecution. On the material facts pleaded, that aspect of the claim against Akin and Sahulka is clearly doomed to fail because an essential element is wholly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also claim against Akin and Sahulka in constitutional tort. Again the applicants say there is no allegation or pleading that Akin and Sahulka exercised any government function and thus the claim for breach of constitutional tort is plainly bound to fail. As with the malicious prosecution claim, the plaintiffs respond the pleadings generally allege that Sahulka and Akin were acting as agents for Prior and West. Again, in my view this general assertion does not extend to the allegation of agency in the exercise of governmental function. Accordingly, I agree with the applicants on the constitutional tort aspect of the application to strike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further claim that Akin and Sahulka breached their professional ethics and seek damages in connection with this allegation. The applicants say that professional misconduct of the sort pleaded does not give rise to a civil cause of action. Rather, it is a matter for disciplinary action before the Law Society. The plaintiffs did not provide any authority in support of the proposition that such a civil claim exists or argue by analogy to any other established causes of action. In the circumstances, I agree with the applicants that the claim for breach of professional ethics is bound to fail. Accordingly that aspect of the Amended Notice of Claim should also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plaintiffs go on to claim against Akin and Sahulka for the tort of invasion and breach of their privacy. As previously noted there is no such common law tort in British Columbia. For this reason I agree with the applicants that, as pleaded, this aspect of the claim is doomed to fail. The plaintiffs acknowledge that they should have pleaded their breach of privacy claim as being pursuant to the provisions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Although argument was not presented as to the proper parameters of such a claim, I accept that such a claim can be advanced. Subject to what I am going to say at the end of these reasons regarding the manner in which further amendments will be allowed, I am prepared to grant leave to the plaintiffs to amend their claim to plead a breach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plaintiffs plead further that Akin and Sahulka breached their fiduciary duties in the context of their employment relationship. The applicants submit that the facts pleaded do not allege an employment relationship of the sort that can give rise to a fiduciary duty, as discussed, for example, in </w:t>
      </w:r>
      <w:r>
        <w:rPr>
          <w:rFonts w:ascii="arial" w:eastAsia="arial" w:hAnsi="arial" w:cs="arial"/>
          <w:i/>
          <w:color w:val="000000"/>
          <w:sz w:val="20"/>
          <w:lang w:val="en-US" w:eastAsia="en-US" w:bidi="ar-SA"/>
        </w:rPr>
        <w:t>Barton Insurance Brokers Ltd.</w:t>
      </w:r>
      <w:r>
        <w:rPr>
          <w:rFonts w:ascii="arial" w:eastAsia="arial" w:hAnsi="arial" w:cs="arial"/>
          <w:color w:val="000000"/>
          <w:sz w:val="20"/>
          <w:lang w:val="en-US" w:eastAsia="en-US" w:bidi="ar-SA"/>
        </w:rPr>
        <w:t xml:space="preserve"> Accordingly, in their submission, this aspect of the claim should also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Although the plaintiffs do not plead Akin and Sahulka were key employees or senior management of the sort described in </w:t>
      </w:r>
      <w:r>
        <w:rPr>
          <w:rFonts w:ascii="arial" w:eastAsia="arial" w:hAnsi="arial" w:cs="arial"/>
          <w:i/>
          <w:color w:val="000000"/>
          <w:sz w:val="20"/>
          <w:lang w:val="en-US" w:eastAsia="en-US" w:bidi="ar-SA"/>
        </w:rPr>
        <w:t>Barton Insurance Brokers Ltd.</w:t>
      </w:r>
      <w:r>
        <w:rPr>
          <w:rFonts w:ascii="arial" w:eastAsia="arial" w:hAnsi="arial" w:cs="arial"/>
          <w:color w:val="000000"/>
          <w:sz w:val="20"/>
          <w:lang w:val="en-US" w:eastAsia="en-US" w:bidi="ar-SA"/>
        </w:rPr>
        <w:t xml:space="preserve">, I do not accept that this is the only type of claim for breach of fiduciary duty within an employment context with any prospect of success. On the contrary, in </w:t>
      </w:r>
      <w:r>
        <w:rPr>
          <w:rFonts w:ascii="arial" w:eastAsia="arial" w:hAnsi="arial" w:cs="arial"/>
          <w:i/>
          <w:color w:val="000000"/>
          <w:sz w:val="20"/>
          <w:lang w:val="en-US" w:eastAsia="en-US" w:bidi="ar-SA"/>
        </w:rPr>
        <w:t>Barton Insurance Brokers Ltd.</w:t>
      </w:r>
      <w:r>
        <w:rPr>
          <w:rFonts w:ascii="arial" w:eastAsia="arial" w:hAnsi="arial" w:cs="arial"/>
          <w:color w:val="000000"/>
          <w:sz w:val="20"/>
          <w:lang w:val="en-US" w:eastAsia="en-US" w:bidi="ar-SA"/>
        </w:rPr>
        <w:t xml:space="preserve"> the court noted that breaches of confidentiality and loyalty within the employment context may give rise to a claim for breach of fiduciary duty regardless of the seniority of the employee in question. In these circumstances, bearing in mind the unusual nature of the case, I am not prepared at this stage to say I am absolutely certain that the breach of fiduciary duty claim is doomed to fail. Accordingly, I decline to strike this aspect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As to the defamation claim, the applicants submit that no material facts are pleaded. In these circumstances, the claim is certain to fail and, therefore, it should be struck. They go on to say that the mischief, theft, conversion, trespass to chattels, deceit, misrepresentation, negligent investigation, negligent misstatement,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pleaded against them are asserted baldly and without particularization. In their submission, these unparticularised claims should also be struck or, at the very least, full particulars should be ordered so that they can know the case they are being called upon to meet. In the applicants' submission, the provision of large volumes of documents is unsuitable for purposes of particularization. In the absence of explanation, the mere provision of documents does not inform the opposing party in pleadings form of the case to be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applicants further submit that the pleadings also include numerous allegations that are unnecessary, scandalous, frivolous or vexatious. For example: in paragraph 17 the Barristers and Solicitors Oath, which is irrelevant, is referenced; in paragraph 25 the applicants are described as "henchmen"; in paragraph 28 they are described as "secret plants"; and in paragraph 29 they are said to have "masqueraded as Lords of the Ring within the practice of the plaintiffs." In the applicants' submission this sort of language is wholly inappropriate as part of a pleading and should not be permitted to stand. I agree. It must all be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also agree that no material facts are pleaded in support of the defamation claim and the other claims enumerated above are not properly particularized. Given the absence of material facts pleaded in support of the cause of action, the defamation claim is struck. I am, however, prepared to give the plaintiffs an opportunity properly to particularize the other claims that are asserted in bare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Amended Notice of Civil Claim in its present form does not accord with these reasons for judgment. That being so, there is no purpose in allowing the plaintiffs' application to amend further as currently proposed. In addition, apart from the paragraphs specifically dealt with in the application, in my view the Amended Notice of Civil Claim includes superfluous commentary and pleading of evidence, as opposed to material facts, that do not contribute to its level of legal clarity. For example, paragraph 23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or about January 24, 2003, Prior, after receiving a routine letter of enquiry from Gamble, and erroneously concluded that his authority was not respected by Gamble, directed West, in writing, that Gamble "was a guy who seriously needed his chain jerked". West, who was relatively new to the job and had little relational experience with Gamble, </w:t>
      </w:r>
      <w:r>
        <w:rPr>
          <w:rFonts w:ascii="arial" w:eastAsia="arial" w:hAnsi="arial" w:cs="arial"/>
          <w:color w:val="000000"/>
          <w:sz w:val="20"/>
          <w:u w:val="single"/>
          <w:lang w:val="en-US" w:eastAsia="en-US" w:bidi="ar-SA"/>
        </w:rPr>
        <w:t>was swayed by and</w:t>
      </w:r>
      <w:r>
        <w:rPr>
          <w:rFonts w:ascii="arial" w:eastAsia="arial" w:hAnsi="arial" w:cs="arial"/>
          <w:color w:val="000000"/>
          <w:sz w:val="20"/>
          <w:lang w:val="en-US" w:eastAsia="en-US" w:bidi="ar-SA"/>
        </w:rPr>
        <w:t xml:space="preserve"> conspired with Prior to discover or fabricate any grounds to terminate the Federal contract of Gamble as Legal Agent. Prior and West exchanged written correspondence </w:t>
      </w:r>
      <w:r>
        <w:rPr>
          <w:rFonts w:ascii="arial" w:eastAsia="arial" w:hAnsi="arial" w:cs="arial"/>
          <w:color w:val="000000"/>
          <w:sz w:val="20"/>
          <w:u w:val="single"/>
          <w:lang w:val="en-US" w:eastAsia="en-US" w:bidi="ar-SA"/>
        </w:rPr>
        <w:t>in which they conspired</w:t>
      </w:r>
      <w:r>
        <w:rPr>
          <w:rFonts w:ascii="arial" w:eastAsia="arial" w:hAnsi="arial" w:cs="arial"/>
          <w:color w:val="000000"/>
          <w:sz w:val="20"/>
          <w:lang w:val="en-US" w:eastAsia="en-US" w:bidi="ar-SA"/>
        </w:rPr>
        <w:t xml:space="preserve"> to implement their common goal of seeking an eye for an eye or a tooth for a tooth. In their written correspondence Prior and West agreed that they "wanted Gamble gone". By the Spring of 2003, word was out that Gamble would be deprived of all Fisheries prosecutions, that being the bulk of his legal work for the Federal Crown. </w:t>
      </w:r>
      <w:r>
        <w:rPr>
          <w:rFonts w:ascii="arial" w:eastAsia="arial" w:hAnsi="arial" w:cs="arial"/>
          <w:color w:val="000000"/>
          <w:sz w:val="20"/>
          <w:u w:val="single"/>
          <w:lang w:val="en-US" w:eastAsia="en-US" w:bidi="ar-SA"/>
        </w:rPr>
        <w:t>The Plaintiffs say the conspiracy and actions surrounding it amounted to an abuse of process and a misfeasance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84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[Underlining in original]</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paragraph includes a mix of evidence and commentary, which are not properly pleaded, together with proper pleadings of material facts and legal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some cases where amendments are permitted, courts allow counsel to revise the form of the claim entirely rather than to try to work with an existing structure which must be changed based on a court order striking out portions of the claim: see, for example, </w:t>
      </w:r>
      <w:r>
        <w:rPr>
          <w:rFonts w:ascii="arial" w:eastAsia="arial" w:hAnsi="arial" w:cs="arial"/>
          <w:i/>
          <w:color w:val="000000"/>
          <w:sz w:val="20"/>
          <w:lang w:val="en-US" w:eastAsia="en-US" w:bidi="ar-SA"/>
        </w:rPr>
        <w:t>Harry et. al. v. HMQBC et. al.</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 November 13, 1998, Vancouver Registry No. C944747.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wish to hear from counsel as to whether this would be an appropriate approach to be taken here, given my conclusions. So, for example, I have let the Province out. I have said that certain language specifically identified ought not to be included. I have expressed the general view that there is evidence being pleaded here, rather than just material facts, and given as an example paragraph 23. I have said that the malicious prosecution claim cannot stand, but the breach of fiduciary duty claim can, as can certain other claims if they are properly particularized. It seems to me that, in the light of all of that, it would be an almost impossible task to work with the existing structure and try to take pieces out and put pieces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am going to permit the plaintiffs 30 days from the date of receiving these reasons for judgment in written form to produce a revised Notice of Civil Claim. The revised Notice of Civil Claim is to accord with these reasons for judgment. In particular, the revised Notice of Civil Claim is not to include a malicious prosecution claim as against Akin and Sahulka, the Province is out, it is not to include defamation, it may include breach of fiduciary duty, it is not to include constitutional tort as against Akin and Sahulka. The plaintiffs are permitted to plead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The defendants will have 30 days thereafter to plead in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DICKSON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1"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5"/>
          <w:headerReference w:type="default" r:id="rId676"/>
          <w:footerReference w:type="even" r:id="rId677"/>
          <w:footerReference w:type="default" r:id="rId678"/>
          <w:headerReference w:type="first" r:id="rId679"/>
          <w:footerReference w:type="first" r:id="rId6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1" w:history="1">
        <w:r>
          <w:rPr>
            <w:rFonts w:ascii="arial" w:eastAsia="arial" w:hAnsi="arial" w:cs="arial"/>
            <w:b/>
            <w:bCs/>
            <w:i/>
            <w:color w:val="0077CC"/>
            <w:kern w:val="32"/>
            <w:sz w:val="28"/>
            <w:szCs w:val="32"/>
            <w:u w:val="single"/>
            <w:shd w:val="clear" w:color="auto" w:fill="FFFFFF"/>
            <w:lang w:val="en-US" w:eastAsia="en-US" w:bidi="ar-SA"/>
          </w:rPr>
          <w:t>Gemex Developments Corp. v. Sekora, [2011] B.C.J. No. 440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Lynn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2-3,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S035251 and S045308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440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318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80 M.P.L.R. (4th) 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582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199 A.C.W.S. (3d) 421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Gemex Developments Corp., Plaintiff, and Louis Sekora, The City of Coquitlam, Brian Robinson, Louella Hollington, Dieter Soukup and Soukup Land Surveying Inc., Defendants And between Gemex Developments Corp., Plaintiff, and City of Coquitlam, Don Buchanan, Robert Lee, Jason Cardoni, Her Majesty the Queen in Right of the Provincial Government of British Columbia as represented by the Ministry of Environment, Lands and Parks, Colin Stewart, Robert Edwards, Neil Peters, Her Majesty the Queen in right of the Government of Canada as represented by the Department of Fisheries and Oceans, C.D. Patterson, Scott Coultish, Markus Feldoff, Kon Johansen, Bruce Reid, David Griggs, Deborah Brown, Norm Cook, Jon Kingsbury, Louis Sekora, Soukup Land Surveying Inc., Dieter Soukup, Brian Robinson, Louella Hollington, Barry Elliott, CH2M Gore &amp; Storrie Limited, Neil Nyberg, Frank Quinn, Tom Field, Shinji Goto, Richard Roe and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2"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5" w:name="Keywords_35"/>
      <w:bookmarkEnd w:id="235"/>
      <w:r>
        <w:rPr>
          <w:rFonts w:ascii="arial" w:eastAsia="arial" w:hAnsi="arial" w:cs="arial"/>
          <w:b/>
          <w:color w:val="000000"/>
          <w:sz w:val="20"/>
          <w:lang w:val="en-US" w:eastAsia="en-US" w:bidi="ar-SA"/>
        </w:rPr>
        <w:t>Civil litigation — Civil procedure — Disposition without trial — Dismissal of action — Delay or failure to prosecute — Application by city and current and former employees and councillors to dismiss action for want of prosecution allowed — Plaintiff owned large parcel of land in city, through which river ran — In 1996, after plaintiff constructed concrete wall on land, city obtained engineering report and plaintiff commenced claim alleging defendants conspired to stop construction of wall and acquire property — No meaningful steps had been taken in action since 1998 — Despite complexity of litigation and plaintiff's recent steps, delay was inordinate, caused mainly by plaintiff, was not reasonably excused and caused serious prejudice to defendants.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6" w:name="Case Summary_29"/>
            <w:bookmarkEnd w:id="2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city and current and former city employees and councillors for an order dismissing the action against them for want of prosecution. The plaintiff corporation, Gemex Developments Corp. ("Gemex") owned a large parcel of land in the city, which was bisected by a river. In 1996, Gemex, concerned about trespassers, built an eight-foot concrete wall along three sides of the property. Public outcry regarding the wall led the city to obtain an independent engineering report on the stability of the structure. Gemex then brought an action in damages against the engineering firm alleging that they negligently prepared the report. Gemex also commenced two actions, which were later consolidated into this action, against the city and a number of current and former employees and councillors and other parties for damages alleging that they acted improperly, conspired to stop the construction of the wall and to have it removed, and conspired to interfere with and acquire the property. In addition, Gemex commenced two other actions in which the city was named as a defendant, including an action for damages for the construction of a bridge across the river, which Gemex claimed trespassed on its property, and an unrelated class action. The defendants sought the dismissal of the consolidated action for want of prosecution on the basis that the delay was inordinate. No meaningful steps had been taken in the first action since 1998 when Gemex delivered a demand for particulars and filed a notice of motion to compel answers to interrogatories by two of the defendants, and that no meaningful steps had been taken in the second action for a six and one-half year period between 2002 and 2009. Thereafter, Gemex made a request for an updated list of documents and forwarded interrogatories. No examinations for discovery had been conducted or scheduled and no trial dates had been set. Since the commencement of the action, two of the defendants, one of whom was a city solicitor and would have been a key witness, had passed away and other defendants had begun to forget details of the events. Gemex took the position that the delay was not inordinate as the parties had a standstill agreement whereby the defendants consented to delays and that the defendants had contributed to the delay in failing to respond in a timely manner to requests for document disclosure and interrogatories.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7" w:name="Holdings of Court_25"/>
            <w:bookmarkEnd w:id="23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Despite the complexity of the litigation and the steps Gemex had taken in the past two years, the delay had been inordinate both in terms of the total time that had passed and the length of the different periods of inactivity. Gemex was responsible for almost all of the delay and there was no evidence that the defendants caused any material part of the delay or caused Gemex to believe that they acquiesced to the delay. Furthermore, Gemex had no reasonable excuse for the delay. The delay caused serious prejudice to the defendants as some of them had begun to forget the details of the events and key witnesses had passed away. Consequently, the balance of justice favoured granting the application to dismiss the action for want of prosecution.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8" w:name="Legislation Cited_28"/>
      <w:bookmarkEnd w:id="2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3"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hyperlink r:id="rId682" w:history="1">
        <w:r>
          <w:rPr>
            <w:rFonts w:ascii="arial" w:eastAsia="arial" w:hAnsi="arial" w:cs="arial"/>
            <w:i/>
            <w:color w:val="0077CC"/>
            <w:sz w:val="20"/>
            <w:u w:val="single"/>
            <w:shd w:val="clear" w:color="auto" w:fill="FFFFFF"/>
            <w:lang w:val="en-US" w:eastAsia="en-US" w:bidi="ar-SA"/>
          </w:rPr>
          <w:t>B.C. Reg. 127/98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22-7</w:t>
      </w:r>
      <w:r>
        <w:rPr>
          <w:rFonts w:ascii="arial" w:eastAsia="arial" w:hAnsi="arial" w:cs="arial"/>
          <w:color w:val="000000"/>
          <w:sz w:val="20"/>
          <w:lang w:val="en-US" w:eastAsia="en-US" w:bidi="ar-SA"/>
        </w:rPr>
        <w:t>(7), Rule 28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9" w:name="Counsel_35"/>
      <w:bookmarkEnd w:id="2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4"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A. Tobin and J. Dhahan.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The City of Coquitlam, Robert Lee, Louella Hollington, Jon Kingsbury, Brian Robinson, Norm Cook, Jason Cardoni, Barry Elliott, Louis Sekora, Deborah Brown, Don Buchanan: J. Singleton, Q.C. and S. Brearley.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0" w:name="Judgment_35"/>
      <w:bookmarkEnd w:id="240"/>
      <w:r>
        <w:pict>
          <v:line id="_x0000_s1205"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1" w:name="C. LYNN SMITH J."/>
            <w:bookmarkEnd w:id="241"/>
            <w:r>
              <w:rPr>
                <w:rFonts w:ascii="arial" w:eastAsia="arial" w:hAnsi="arial" w:cs="arial"/>
                <w:b/>
                <w:color w:val="000000"/>
                <w:sz w:val="30"/>
                <w:lang w:val="en-US" w:eastAsia="en-US" w:bidi="ar-SA"/>
              </w:rPr>
              <w:t>C. LYNN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applicants, the City of Coquitlam and a number of present or former City councillors and officials, seek an order dismissing the plaintiff's action against them for want of prosecution. Alternatively, they seek an order striking certain portions of the plaintiff's pleadings, on the ground that the allegations in those pleadings have already been adjudicated.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applicable Rule is now Rule 22-7(7),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 application by a party, it appears to the court that there is want of prosecution in a proceeding, the court may order that the proceeding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the action, the plaintiff corporation, Gemex Developments Corp. ("Gemex") seeks damages against the City of Coquitlam and a number of individual defendants. The plaintiff alleges tortious conspiracy,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and abuse of process. It seeks not only general and special damages, but also aggravated, punitive and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have been four actions involving Gemex and the City of Coquitlam. The action with respect to which this application is brought is a consolidation of two of those four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application relates to Action S035251, New Westminster Registry, which was commenced on October 30, 1996, by Gemex against Louis Sekora, the City of Coquitlam, Brian Robinson, Louella Hollington, Dieter Soukup and Soukup Land Surveying Inc. That action has been consolidated with Action S045308, New Westminster Registry, which was commenced on February 24, 1998, by Gemex against the City of Coquitlam, Her Majesty the Queen in Right of the Provincial Government of British Columbia as represented by the Ministry of Environment, Lands and Parks, Her Majesty the Queen in right of the Government of Canada as represented by the Department of Fisheries and Oceans, Soukup Land Surveying Inc., CH2M Gore &amp; Storrie Limited, and 25 named individuals as well as "Richard Roe" and "Jane Doe".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have referred to Action S035251 as the "second action" and Action S045308 as the "third action" in their materials, and I will do the same in these Reasons. I will refer to them together as the "consolidated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applicants (the "Coquitlam defendants") are the City of Coquitlam and ten individuals. The individual applicants are all either former employees, current employees, or former or current city councillors in the City of Coquitlam. Two of the applicants, Don Buchanan and Deborah Brown, are now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Specifically, the individual Coquitlam defendants who bring this application are: Robert Lee, who was employed as an engineer with the City of Coquitlam, Louella Hollington, now retired, a former city councillor of the City of Coquitlam; Jon Kingsbury, a former city councillor and mayor of the City of Coquitlam; Brian Robinson, retired, a former city councillor of the City of Coquitlam; Norm Cook, retired, a former city manager of the City of Coquitlam; Jason Cardoni, currently employed as the Supervisor of Development Servicing of the City of Coquitlam; Barry Elliott, currently employed as a Facility Sustainability Manager of the City of Coquitlam; Louis Sekora, a former mayor and current city councillor of the City of Coquitlam; Deborah Brown, deceased March 6, 2009, who was employed in the City of Coquitlam City Solicitor's office as a lawyer; and Don Buchanan, deceased January 11, 2000, who was also a City of Coquitlam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litigation in the consolidated action has been resolved as against all of the defendants listed in the style of cause, except those (the Coquitlam defendants) who bring this application. Of the applicants, the City of Coquitlam, Louis Sekora, Brian Robinson and Louella Hollington are defendants in both of the actions that have been consolidated.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UNDERLYING DISPUTE AND OTHER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Gemex is a private company, the principal shareholder of which is Diane Spraggs. Gemex owns a large parcel of land in the City of Coquitlam, of some 20.5 acres. The land is bisected by the Coquitlam River. In 1996, Gemex built an eight-foot concrete wall (the "fence") along three sides of its property. Gemex was concerned about trespassers, particularly since Ms. Spraggs was in the process of constructing a family residence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Public outcry regarding the concrete fence led Coquitlam City Council to obtain an independent engineering report on the stability of the structure. Gemex brought an action (the "first action") in damages against the firm, CH2M Gore &amp; Storrie Ltd., that had prepared the engineering report. In the first action (No. S034541, New Westminster Registry), Gemex claimed the engineering report was negligently prepared. It was unsuccessful in that litigation: </w:t>
      </w:r>
      <w:hyperlink r:id="rId683" w:history="1">
        <w:r>
          <w:rPr>
            <w:rFonts w:ascii="arial" w:eastAsia="arial" w:hAnsi="arial" w:cs="arial"/>
            <w:i/>
            <w:color w:val="0077CC"/>
            <w:sz w:val="20"/>
            <w:u w:val="single"/>
            <w:shd w:val="clear" w:color="auto" w:fill="FFFFFF"/>
            <w:lang w:val="en-US" w:eastAsia="en-US" w:bidi="ar-SA"/>
          </w:rPr>
          <w:t>2005 BCSC 604</w:t>
        </w:r>
      </w:hyperlink>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2006 BCCA 401</w:t>
        </w:r>
      </w:hyperlink>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[2006] S.C.C.A. No. 439</w:t>
        </w:r>
      </w:hyperlink>
      <w:r>
        <w:rPr>
          <w:rFonts w:ascii="arial" w:eastAsia="arial" w:hAnsi="arial" w:cs="arial"/>
          <w:color w:val="000000"/>
          <w:sz w:val="20"/>
          <w:lang w:val="en-US" w:eastAsia="en-US" w:bidi="ar-SA"/>
        </w:rPr>
        <w:t xml:space="preserve"> (application to the Supreme Court of Canada for leave to appeal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the consolidated action that is the subject of this application, Gemex makes serious claims against the Coquitlam defendants, alleging that they acted improperly and conspired to stop the construction of the fence and to have it removed, and conspired to interfere with and acquire Gemex's property. The plaintiff claims that the Coquitlam defendants' actions amounted to tortious conspiracy,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and abuse of process. It also says that the City of Coquitlam requested the assistance of the federal Department of Fisheries and Oceans ("DFO") and the provincial Ministry of Environment, Lands and Parks ("MOE") to stop construction of the fence and to have it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Gemex statement of claim in the consolidated action alleges that the defendants, in various ways, acted without authority and improperly. With respect to the Coquitlam defendants, the statement of claim contains the following allegations, among others:</w:t>
      </w:r>
      <w:r>
        <w:rPr>
          <w:rFonts w:ascii="arial" w:eastAsia="arial" w:hAnsi="arial" w:cs="arial"/>
          <w:sz w:val="20"/>
          <w:lang w:val="en-US" w:eastAsia="en-US" w:bidi="ar-SA"/>
        </w:rPr>
        <w:cr/>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of Coquitlam, as represented by its employees, Don Buchanan and Robert Lee and Jason Cardoni, had communication with employees of the Ministry of Environment, Lands and Parks of the Province of British Columbia and, in particular, Colin Stewart, Robert Edwards, Neil Peters, and with employees with the federal Department of Fisheries and Oceans and, in particular, C.D. Patterson, Scott Coultish, Markus Feldoff, Kon Johannson and Bruce Reid to, firstly, utilize a collective authority between all of them to officially stop the construction of the plaintiff's concrete replacement fence and, secondly, to remove the concrete replacement fence from within approximately fifty (50) feet of the river bank.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Deborah Brown, co-ordinated activities through and between the various defendants in endeavouring to stop the construction of the plaintiff's concrete replacement fence, as well as to having the fence removed, when she knew or should have known that the activities of the defendants and the activities of herself were improper, illegal, negligent and without a basis in law, and were aiding and abetting others in activities that were an abuse of process in attempting to remove, acquire or destroy the fence and property of the plaintiff.</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DON BUCHANAN, acted as a senior co-ordinator on behalf of the defendant, the CITY OF COQUITLAM, in respect to trying to stop the construction of the plaintiff's concrete replacement fence, as well as trying to have a portion or all of the fence removed.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DON BUCHANAN, actively co-ordinated activities with the employees of the defendants, the MINISTRY OF ENVIRONMENT. LANDS AND PARKS and the DEPARTMENT OF FISHERIES AND OCEANS, with a view to seeing that the construction of the plaintiff's concrete replacement fence would be stopped and removed, as well as attempting to acquire for the defendant, the CITY OF COQUITLAM, land belonging to the plaintiff without compensation.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NORM COOK, is the Manager for the defendant the CITY OF COQUITLAM, and as such was aware of the activities of the defendant, the CITY OF COQUITLAM, employees and directly assisted the defendant, the CITY OF COQUITLAM, employees in conspiring together with the other defendants to stop construction of and remove the plaintiffs concrete replacement fence.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JON KINGSBURY, is an elected official on the defendant. the CITY OF COQUITLAM's, council and in such capacity actively became involved in efforts to stop the construction of and remove a portion of the plaintiff's concrete replacement fence when he knew or should have known that such activities were improper, illegal, negligent and without a basis in law, and were aiding and abetting others in activities that were an abuse of process in attempting to remove, acquire or destroy the fence and property of the plaintiff.</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LOUIS SEKORA, is the Mayor of the defendant the CITY OF COQUITLAM, wherein he played an active role in assisting the other defendants to stop construction and to remove a portion of the plaintiff's concrete replacement fence.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LOUIS SEKORA, actively published statements through the media which were derogatory to the plaintiff and the plaintiff's principal shareholder's family with a view to gain public support to assist in the illegal stoppage and removal of the plaintiff's concrete replacement fence, as well as attempting to acquire land belonging to the plaintiff without compensation.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the CITY OF COQUITLAM, through its employees, agents and elected officials did deliberately and without the colour of right and/or through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by conspiring with the defendants and others with a view to seeing that the construction of the plaintiff's concrete replacement fence would be stopped and removed, as well as attempting to acquire for the defendant, the CITY OF COQUITLAM, land belonging to the plaintiff without compensation.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the CITY OF COQUITLAM, has, and continues to, carry out a policy of interference and harassment in respect to the plaintiff; deliberately and without the colour of right and/or through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by conspiring with the defendants and others, and in particular,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and in particular the defendant, LOUIS SEKORA, encouraged people to continue trespass upon the plaintiff's property in public statements wherein he degraded the family, with which the principal shareholder is associated, because the family would not allow continued trespass and misuse of the property;</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tried to have the concrete replacement fence removed by the Department of Fisheries and Oceans, even though they knew or should have known, that the Department of Fisheries and Oceans did not have the authority to issue a Stop Work Order;</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tried to have the concrete fence removed by the Ministry of Environment, Lands and Parks, even though the fence was entirely on dry land, by requesting that they find some way to utilize the rights that they were given under the statute to have the fence removed;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created without public demand, a special by-law for the sole purpose of restricting the plaintiff's ability to maintain and re-create their current fencing requirements, which by-law was advanced by the defendant, LOUIS SEKORA, and voted upon by certain councilors who knew, or should have known, they were in a conflict position because of a law suit against them by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LOUIS SEKORA, Mayor of the City of Coquitlam publicly indicated to the Caliente residents and to those individuals that had previously trespassed on the Gemex property and used a pathway for pedestrians, animals and cyclists that he would do all he could to see that the fence was removed and the Plaintiff's land was acquired to allow road access to the Caliente residents and to the Coquitlam River and pathway access to others on the easterly side of the Coquitlam River.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23rd day of September 1996, in a secret, in-camera, special council meeting, the defendants, BRIAN ROBINSON and LOUELLA HOLLINGTON, moved to acquire, without compensation, various portions of the Gemex property through the legal device of resumption of a portion of the plaintiff's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the CITY OF COQUITLAM, with the support of the defendants, LOUIS SEKORA, BRIAN ROBINSON and LOUELLA HOLLINGTON, devised a plan of resumption that they intended to use to remove the plaintiff's concrete, constructed fence, without payment or compensation.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the CITY OF COQUITLAM, retained the services of the defendants, SOUKUP LAND SURVEYING INC. and DIETER SOUKUP, to enter and trespass upon the plaintiff's property for purposes of surveying out the property that they intended to resume.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the CITY OF COQUITLAM, and the defendants, LOUIS SEKORA, BRIAN ROBINSON and LOUELLA HOLLINGTON, owed a duty to the plaintiff, Gemex Developments Corp., to act in good faith and not to abuse the benefits, privileges and obligations that were given to them under law and by the citizens of the Coquitlam.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the CITY OF COQUITLAM, and the defendants, LOUIS SEKORA, BRIAN ROBINSON and LOUELLA HOLLINGTON, breached their fiduciary duties to the plaintiff and were in abuse of their process in endeavouring to put into operation through the guise of a by-law a plan that was devised to acquire some of the plaintiff's land and assets without compensation.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conspired to enter into a process to acquire, without compensation, some of the plaintiff's land and property under the guise that the land was required for a road when no previous road layouts were in place, no road design had been created and the road patterns had not been created in the normal City bureaucratic process and there would be no consultation in respect to the road location with the Department of Highways, or the defendants, the DEPARTMENT OF FISHERIES and OCEANS and MINISTRY OF ENVIRONMENT, LANDS AND PARKS, and the road layout did not meet currently accepted engineering standards for the creation of the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the CITY OF COQUITLAM, and its employees and elected officials have carried on a continuing program for years directed at the plaintiff to increase their costs and decrease the natural benefits to be received from the plaintiff ownership of their property with a view to obtaining the land (some or all of the property) for their own benefit.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BARRY ELLIOTT, assisted and encouraged the defendants, and in particular the defendant, the CITY OF COQUITLAM, and the public to allow for continued trespass upon the plaintiff's lands and to acquire river frontage illegally from the plaintiff and to remove the plaintiff's concrete fence, which was preventing the public from accessing the Coquitlam River.</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the CITY OF COQUITLAM, through its engineers, the defendants, NEIL NYBERG and FRANK QUINN, enlisted the assistance of the defendant, CH2M GORE &amp; STORRIE LIMITED, and CH2M Gore &amp; Storrie Limited employees or principals, the defendants, TOM FIELD and SHINJI GOTO, to put forward an engineering report that would deem the fence unsafe and, therefore, under the powers granted to the City of Coquitlam under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xml:space="preserve"> and with the assistance of the Mayor, Council and others, would have the fence removed.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TOM FIELD and SHINJI GOTO, were responsible for producing an engineering report bearing date 29 March 1996, which report was done in secret without the knowledge of the plaintiff, with a view to assisting the defendant, the CITY OF COQUITLAM, and the other defendants herein, in stopping and/or removing the plaintiff's concrete fence by putting forward conclusions and recommendations in respect to its safety and the impact upon the Coquitlam River, which were not based upon a proper engineering report or proper engineering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date of the issuance of this Statement of Claim the plaintiff continues to suffer the effects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conspired together to attempt to cause greater losses to the plaintiff than actually the plaintiff actually suffered [sic].</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destruction or removal of the plaintiff's concrete fence and the taking of some of the plaintiff's land without compensation was prevented solely by the efforts of the plaintiff, whose efforts were resisted fully by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knowing their obligations and responsibilities to the plaintiff, deliberately conducted themselves in a manner without due care and attention with a view that it would cause damage to the plaintiff's property, as well as, financial loss and, as a result, the plaintiff is entitled to punitive and exemplary damages from the defendants.</w:t>
      </w:r>
    </w:p>
    <w:p>
      <w:pPr>
        <w:numPr>
          <w:numId w:val="2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defendants conspiring together and their negligent actions and breach of duty, and in having acted in bad faith in abusing their process, the plaintiff has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claims in the consolidated action against the MOE, the DFO, various engineers and CH2M Gore &amp; Storey Ltd., have all been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addition to the consolidated action that is the subject of this application, and the first action regarding the engineering report that has been resolved, there is other outstanding litigation involving the parties. In Action No. 126264, New Westminster Registry, filed March 19, 2010, Gemex claims damages from the City on the basis that a bridge built across the Coquitlam River trespasses on remaining Gemex property. As well, a class action, </w:t>
      </w:r>
      <w:r>
        <w:rPr>
          <w:rFonts w:ascii="arial" w:eastAsia="arial" w:hAnsi="arial" w:cs="arial"/>
          <w:i/>
          <w:color w:val="000000"/>
          <w:sz w:val="20"/>
          <w:lang w:val="en-US" w:eastAsia="en-US" w:bidi="ar-SA"/>
        </w:rPr>
        <w:t>Antoniali v. Coquitlam</w:t>
      </w:r>
      <w:r>
        <w:rPr>
          <w:rFonts w:ascii="arial" w:eastAsia="arial" w:hAnsi="arial" w:cs="arial"/>
          <w:color w:val="000000"/>
          <w:sz w:val="20"/>
          <w:lang w:val="en-US" w:eastAsia="en-US" w:bidi="ar-SA"/>
        </w:rPr>
        <w:t>, No. L022644, Vancouver Registry, commenced in 2002, involved Gemex. However, its subject matter seems wholly unrelated to the present litigation. Counsel advised that the plaintiff has since settled with the City separately from the class action proceedings, on a confidential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This Court's discretion to dismiss proceedings for want of prosecution is continued in the new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Rule 22-7(7), and is governed by clearly established principles. The over-riding principle is that the dismissal of an action without permitting it to be heard on its merits is a drastic measure, to be taken only when it is clearly required in the interests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Irving v. Irving</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(1982), 140 D.L.R. (3d) 157</w:t>
        </w:r>
      </w:hyperlink>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38 B.C.L.R. 318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Irving</w:t>
      </w:r>
      <w:r>
        <w:rPr>
          <w:rFonts w:ascii="arial" w:eastAsia="arial" w:hAnsi="arial" w:cs="arial"/>
          <w:color w:val="000000"/>
          <w:sz w:val="20"/>
          <w:lang w:val="en-US" w:eastAsia="en-US" w:bidi="ar-SA"/>
        </w:rPr>
        <w:t xml:space="preserve">], the Court laid out the fundamental principles, approving at para. 8 this statement by Lord Justice Salmon in </w:t>
      </w:r>
      <w:r>
        <w:rPr>
          <w:rFonts w:ascii="arial" w:eastAsia="arial" w:hAnsi="arial" w:cs="arial"/>
          <w:i/>
          <w:color w:val="000000"/>
          <w:sz w:val="20"/>
          <w:lang w:val="en-US" w:eastAsia="en-US" w:bidi="ar-SA"/>
        </w:rPr>
        <w:t>Allen v. Sir Alfred McAlpine &amp; Sons Ltd.,</w:t>
      </w:r>
      <w:r>
        <w:rPr>
          <w:rFonts w:ascii="arial" w:eastAsia="arial" w:hAnsi="arial" w:cs="arial"/>
          <w:color w:val="000000"/>
          <w:sz w:val="20"/>
          <w:lang w:val="en-US" w:eastAsia="en-US" w:bidi="ar-SA"/>
        </w:rPr>
        <w:t xml:space="preserve"> [1968] 2 Q.B. 229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defendant may apply to have an action dismissed for want of prosecution either (a) because of the plaintiff's failure to comply with the Rules of the Supreme Court or (b) under the court's inherent jurisdiction. In my view it matters not whether the application comes under limb (a) or (b), the same principles apply. They are as follows: - In order for such an application to succeed, the defendant must show:</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has been inordinate delay. It would be highly undesirable and indeed impossible to attempt to lay down a tariff - so many years or more on one side of the line and a lesser period on the other. What is or is not inordinate delay must depend upon the facts of each particular case. These vary infinitely from case to case, but inordinate delay should not be too difficult to recognize when it occurs.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this inordinate delay is inexcusable. As a rule, until a credible excuse is made out, the natural inference would be that it is inexcusable.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are likely to be seriously prejudiced by the delay. This may be prejudice at the trial of the issue between themselves and the plaintiff, or between each other, or between themselves and the third parties. In addition to any inference that may properly be drawn from the delay itself, prejudice can sometimes be directly proved. As a rule, the longer the delay, the greater the likelihood of serious prejudice at the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defendant establishes the three factors to which I have referred, the court, in exercising its discretion, must take into consideration the position of the plaintiff himself and strike a balance. If he is personally to blame for the delay, no difficulty arises. There can be no injustice in his bearing the consequences of his own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These principles have been affirmed many times, for example in </w:t>
      </w:r>
      <w:r>
        <w:rPr>
          <w:rFonts w:ascii="arial" w:eastAsia="arial" w:hAnsi="arial" w:cs="arial"/>
          <w:i/>
          <w:color w:val="000000"/>
          <w:sz w:val="20"/>
          <w:lang w:val="en-US" w:eastAsia="en-US" w:bidi="ar-SA"/>
        </w:rPr>
        <w:t>Tundra Helicopters et al. v. Allison Gas Turbine et al.</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2002 BCCA 145</w:t>
        </w:r>
      </w:hyperlink>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98 B.C.L.R. (3d) 238</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Tundra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rationale for the existence of the Court's jurisdiction to put an end to litigation that has not been prosecuted is embodied in these passages from Lord Diplock's speech in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at 255-259: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where the case is one in which at the trial disputed facts will have to be ascertained from oral testimony of witnesses recounting what they then recall of events which happened in the past, memories grow dim, witnesses may die or disappear. The chances of the court's being able to find out what really happened are progressively reduced as time goes on. This puts justice to the hazard. If the trial is allowed to proceed, this is more likely to operate to the prejudice of the plaintiff on whom the onus of satisfying the court as to what happened generally lies. But there may come a time when the interval between the events alleged to constitute the cause of action and the trial of the action is so prolonged that there is a substantial risk that a fair trial of the issues will be no longer possible. When this stage has been reached, the public interest in the administration of justice demands that the action should not be allowed to proceed.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thus inherent in an adversary system which relies exclusively upon the parties to an action to take whatever procedural steps appear to them to be expedient to advance their own case, that the defendant, instead of spurring the plaintiff to proceed to trial, can with propriety wait until he can successfully apply to the court to dismiss the plaintiff's action for want of prosecution on the ground that so long a time has elapsed since the events alleged to constitute the cause of action that there is a substantial risk that a fair trial of the issues will not be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then a Draconian order and will not be lightly made. It should not in any event be exercised without giving the plaintiff an opportunity to remedy his default, unless the court is satisfied either that the default has been intentional and contumelious, or that the inexcusable delay for which the plaintiff or his lawyers have been responsible has been such as to give rise to a substantial risk that a fair trial of the issues in the litigation will not be possible at the earliest date at which, as a result of the delay, the action would come to trial if it were allowed to continue. It is for the defendant to satisfy the court that one or other of these two conditions is fulfilled. Disobedience to a peremptory order of the court would be sufficient to satisfy the first condition. Whether the second alternative condition is satisfied will depend upon the circumstances of the particular case; but the length of the delay may of itself suffice to satisfy this condition if the relevant issues would depend upon the recollection of witnesses of events which happened long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an application to dismiss for want of prosecution, there are four questions to be addressed:</w:t>
      </w:r>
      <w:r>
        <w:rPr>
          <w:rFonts w:ascii="arial" w:eastAsia="arial" w:hAnsi="arial" w:cs="arial"/>
          <w:sz w:val="20"/>
          <w:lang w:val="en-US" w:eastAsia="en-US" w:bidi="ar-SA"/>
        </w:rPr>
        <w:cr/>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there been inordinate delay on the part of the plaintiff in pursuing its claim?</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delay been inexcusable?</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delay caused serious prejudice, or is it likely to cause serious prejudice to the defendants?</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balance of justice require an order dismissing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Where allegations go to the defendant's character and credit, there is a particular onus on the plaintiff to proceed with appropriate expedition and diligence: </w:t>
      </w:r>
      <w:r>
        <w:rPr>
          <w:rFonts w:ascii="arial" w:eastAsia="arial" w:hAnsi="arial" w:cs="arial"/>
          <w:i/>
          <w:color w:val="000000"/>
          <w:sz w:val="20"/>
          <w:lang w:val="en-US" w:eastAsia="en-US" w:bidi="ar-SA"/>
        </w:rPr>
        <w:t>Vic Van Isle Construction Ltd. v. Lomenda</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[1999] B.C.J. No. 3032</w:t>
        </w:r>
      </w:hyperlink>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93 A.C.W.S. (3d) 988</w:t>
        </w:r>
      </w:hyperlink>
      <w:r>
        <w:rPr>
          <w:rFonts w:ascii="arial" w:eastAsia="arial" w:hAnsi="arial" w:cs="arial"/>
          <w:color w:val="000000"/>
          <w:sz w:val="20"/>
          <w:lang w:val="en-US" w:eastAsia="en-US" w:bidi="ar-SA"/>
        </w:rPr>
        <w:t xml:space="preserve"> (S.C.) at para. 19 [</w:t>
      </w:r>
      <w:r>
        <w:rPr>
          <w:rFonts w:ascii="arial" w:eastAsia="arial" w:hAnsi="arial" w:cs="arial"/>
          <w:i/>
          <w:color w:val="000000"/>
          <w:sz w:val="20"/>
          <w:lang w:val="en-US" w:eastAsia="en-US" w:bidi="ar-SA"/>
        </w:rPr>
        <w:t>Vic Van Isle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Cal Coast Spas Inc. v. Coast Spas Inc.</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2008 BCSC 846</w:t>
        </w:r>
      </w:hyperlink>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62 C.P.C. (6th) 57</w:t>
        </w:r>
      </w:hyperlink>
      <w:r>
        <w:rPr>
          <w:rFonts w:ascii="arial" w:eastAsia="arial" w:hAnsi="arial" w:cs="arial"/>
          <w:color w:val="000000"/>
          <w:sz w:val="20"/>
          <w:lang w:val="en-US" w:eastAsia="en-US" w:bidi="ar-SA"/>
        </w:rPr>
        <w:t xml:space="preserve"> at paras. 74-75 [</w:t>
      </w:r>
      <w:r>
        <w:rPr>
          <w:rFonts w:ascii="arial" w:eastAsia="arial" w:hAnsi="arial" w:cs="arial"/>
          <w:i/>
          <w:color w:val="000000"/>
          <w:sz w:val="20"/>
          <w:lang w:val="en-US" w:eastAsia="en-US" w:bidi="ar-SA"/>
        </w:rPr>
        <w:t>Cal Coast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delay is to be measured from the date of the commencement of the action, rather than from the date at which the cause of action arose: </w:t>
      </w:r>
      <w:r>
        <w:rPr>
          <w:rFonts w:ascii="arial" w:eastAsia="arial" w:hAnsi="arial" w:cs="arial"/>
          <w:i/>
          <w:color w:val="000000"/>
          <w:sz w:val="20"/>
          <w:lang w:val="en-US" w:eastAsia="en-US" w:bidi="ar-SA"/>
        </w:rPr>
        <w:t>Pacific Hunter Resources Inc. et al. v. Moss Management Inc.</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2004 BCCA 40</w:t>
        </w:r>
      </w:hyperlink>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23 B.C.L.R. (4th) 154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Pacific Hunter</w:t>
      </w:r>
      <w:r>
        <w:rPr>
          <w:rFonts w:ascii="arial" w:eastAsia="arial" w:hAnsi="arial" w:cs="arial"/>
          <w:color w:val="000000"/>
          <w:sz w:val="20"/>
          <w:lang w:val="en-US" w:eastAsia="en-US" w:bidi="ar-SA"/>
        </w:rPr>
        <w:t xml:space="preserve">] at para. 36. In </w:t>
      </w:r>
      <w:r>
        <w:rPr>
          <w:rFonts w:ascii="arial" w:eastAsia="arial" w:hAnsi="arial" w:cs="arial"/>
          <w:i/>
          <w:color w:val="000000"/>
          <w:sz w:val="20"/>
          <w:lang w:val="en-US" w:eastAsia="en-US" w:bidi="ar-SA"/>
        </w:rPr>
        <w:t>Cal Coast</w:t>
      </w:r>
      <w:r>
        <w:rPr>
          <w:rFonts w:ascii="arial" w:eastAsia="arial" w:hAnsi="arial" w:cs="arial"/>
          <w:color w:val="000000"/>
          <w:sz w:val="20"/>
          <w:lang w:val="en-US" w:eastAsia="en-US" w:bidi="ar-SA"/>
        </w:rPr>
        <w:t>, after a careful review of the authorities on this point, Madam Justice Ballance stated at para. 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authorities establish the proposition that in determining whether delay is inordinate, the court ought to look at the period of time after the commencement of the action rather than when the cause of action arose. The inquiry is to focus on the delay in prosecuting the action once a plaintiff has enlisted the judicial process as a forum for adjudication.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describing what will constitute inordinate delay, words such as "uncontrolled, immoderate or excessive" have been used: </w:t>
      </w:r>
      <w:r>
        <w:rPr>
          <w:rFonts w:ascii="arial" w:eastAsia="arial" w:hAnsi="arial" w:cs="arial"/>
          <w:i/>
          <w:color w:val="000000"/>
          <w:sz w:val="20"/>
          <w:lang w:val="en-US" w:eastAsia="en-US" w:bidi="ar-SA"/>
        </w:rPr>
        <w:t>Azeri v. Esmati-Seifabad</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2009 BCCA 133</w:t>
        </w:r>
      </w:hyperlink>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91 B.C.L.R. (4th) 236</w:t>
        </w:r>
      </w:hyperlink>
      <w:r>
        <w:rPr>
          <w:rFonts w:ascii="arial" w:eastAsia="arial" w:hAnsi="arial" w:cs="arial"/>
          <w:color w:val="000000"/>
          <w:sz w:val="20"/>
          <w:lang w:val="en-US" w:eastAsia="en-US" w:bidi="ar-SA"/>
        </w:rPr>
        <w:t xml:space="preserve">, at para. 9. In </w:t>
      </w:r>
      <w:r>
        <w:rPr>
          <w:rFonts w:ascii="arial" w:eastAsia="arial" w:hAnsi="arial" w:cs="arial"/>
          <w:i/>
          <w:color w:val="000000"/>
          <w:sz w:val="20"/>
          <w:lang w:val="en-US" w:eastAsia="en-US" w:bidi="ar-SA"/>
        </w:rPr>
        <w:t>Osolin v. Aquila Holdings Ltd.</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[1982] B.C.J. No. 1225</w:t>
        </w:r>
      </w:hyperlink>
      <w:r>
        <w:rPr>
          <w:rFonts w:ascii="arial" w:eastAsia="arial" w:hAnsi="arial" w:cs="arial"/>
          <w:color w:val="000000"/>
          <w:sz w:val="20"/>
          <w:lang w:val="en-US" w:eastAsia="en-US" w:bidi="ar-SA"/>
        </w:rPr>
        <w:t xml:space="preserve"> (S.C.), at para. 4, Mr. Justice Tyrwhitt-Drake put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Inordinate delay must mean more than simple delay. "Inordinate" is a strong adjective, importing a quality to the delay which goes beyond the normal or even, in some circumstances, the abnormal: an inordinate delay must be one which strikes at the root of justice, and makes a fair trial a virtual impossibility.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assessing whether or not the delay is excusable, one must look at the reasons for it in all of the circumstances. If there is no credible excuse for the delay, then it is inexcusable: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cited at para. 8 in </w:t>
      </w:r>
      <w:r>
        <w:rPr>
          <w:rFonts w:ascii="arial" w:eastAsia="arial" w:hAnsi="arial" w:cs="arial"/>
          <w:i/>
          <w:color w:val="000000"/>
          <w:sz w:val="20"/>
          <w:lang w:val="en-US" w:eastAsia="en-US" w:bidi="ar-SA"/>
        </w:rPr>
        <w:t>Irving</w:t>
      </w:r>
      <w:r>
        <w:rPr>
          <w:rFonts w:ascii="arial" w:eastAsia="arial" w:hAnsi="arial" w:cs="arial"/>
          <w:color w:val="000000"/>
          <w:sz w:val="20"/>
          <w:lang w:val="en-US" w:eastAsia="en-US" w:bidi="ar-SA"/>
        </w:rPr>
        <w:t xml:space="preserve">. In assessing whether the delay is excusable, the Court should take into account the complexity of the case: </w:t>
      </w:r>
      <w:r>
        <w:rPr>
          <w:rFonts w:ascii="arial" w:eastAsia="arial" w:hAnsi="arial" w:cs="arial"/>
          <w:i/>
          <w:color w:val="000000"/>
          <w:sz w:val="20"/>
          <w:lang w:val="en-US" w:eastAsia="en-US" w:bidi="ar-SA"/>
        </w:rPr>
        <w:t>Rhyolite Resources Inc. v. CanQuest Resource Corp.</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1999 BCCA 36</w:t>
        </w:r>
      </w:hyperlink>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64 B.C.L.R. (3d) 80</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Rhyolite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Tundra</w:t>
      </w:r>
      <w:r>
        <w:rPr>
          <w:rFonts w:ascii="arial" w:eastAsia="arial" w:hAnsi="arial" w:cs="arial"/>
          <w:color w:val="000000"/>
          <w:sz w:val="20"/>
          <w:lang w:val="en-US" w:eastAsia="en-US" w:bidi="ar-SA"/>
        </w:rPr>
        <w:t>, the Court of Appeal clarified some earlier discussion in the authorities to the effect that a presumption of prejudice arises once inordinate inexcusable delay has been established. Mr. Justice Hall stated at para. 35-36: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regard it as error in principle to dispose of the issue of prejudice by asking whether the plaintiffs had rebutted 'the presumption of prejudice that arises in the circumstances' and by going on to answer that question in the negative. The "presumption of prejudice" is not a presumption of law. It can be termed a presumption of fact but only in the sense, as it is put in Sopinka and Lederman "</w:t>
      </w:r>
      <w:r>
        <w:rPr>
          <w:rFonts w:ascii="arial" w:eastAsia="arial" w:hAnsi="arial" w:cs="arial"/>
          <w:i/>
          <w:color w:val="000000"/>
          <w:sz w:val="20"/>
          <w:lang w:val="en-US" w:eastAsia="en-US" w:bidi="ar-SA"/>
        </w:rPr>
        <w:t>The Law of Evidence in Civil Cases</w:t>
      </w:r>
      <w:r>
        <w:rPr>
          <w:rFonts w:ascii="arial" w:eastAsia="arial" w:hAnsi="arial" w:cs="arial"/>
          <w:color w:val="000000"/>
          <w:sz w:val="20"/>
          <w:lang w:val="en-US" w:eastAsia="en-US" w:bidi="ar-SA"/>
        </w:rPr>
        <w:t>", 1974 at p. 378: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term "presumption of fact" is used in many instances in which it is desired merely to shift the secondary burden to a particular party. When used in this sense, it means that the facts are such that a certain inference should, but need not, be logically drawn.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in that sense that the word "presumption" is employed in </w:t>
      </w:r>
      <w:r>
        <w:rPr>
          <w:rFonts w:ascii="arial" w:eastAsia="arial" w:hAnsi="arial" w:cs="arial"/>
          <w:i/>
          <w:color w:val="000000"/>
          <w:sz w:val="20"/>
          <w:lang w:val="en-US" w:eastAsia="en-US" w:bidi="ar-SA"/>
        </w:rPr>
        <w:t>Busse v. Robinson Morelli Chertkow</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[1999] B.C.J. No. 1101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In considering whether the presumption of prejudice has any application in a particular case, the question properly to be asked, as stated by Goldie J.A. in para. 27 of </w:t>
      </w:r>
      <w:r>
        <w:rPr>
          <w:rFonts w:ascii="arial" w:eastAsia="arial" w:hAnsi="arial" w:cs="arial"/>
          <w:i/>
          <w:color w:val="000000"/>
          <w:sz w:val="20"/>
          <w:lang w:val="en-US" w:eastAsia="en-US" w:bidi="ar-SA"/>
        </w:rPr>
        <w:t>Busse</w:t>
      </w:r>
      <w:r>
        <w:rPr>
          <w:rFonts w:ascii="arial" w:eastAsia="arial" w:hAnsi="arial" w:cs="arial"/>
          <w:color w:val="000000"/>
          <w:sz w:val="20"/>
          <w:lang w:val="en-US" w:eastAsia="en-US" w:bidi="ar-SA"/>
        </w:rPr>
        <w:t>, 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has the plaintiff established on a balance of probabilities that the defendant has not suffered prejudice or that other circumstances would make it unjust to terminate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considering that question it may be misleading to approach it by asking whether the plaintiff offered evidence on the point. In most cases, it will only be the defendant who is in a position to offer evidence as to the existence of specific prejudice - as two of the defendants attempted to do in this case. The plaintiff often will be able only to point to the overall circumstances, including the absence of any evidence from the defendant of specific prejudice, as establishing on the balance of probabilities that serious prejudice has not been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defendants must establish that they are likely to be seriously prejudiced: </w:t>
      </w:r>
      <w:r>
        <w:rPr>
          <w:rFonts w:ascii="arial" w:eastAsia="arial" w:hAnsi="arial" w:cs="arial"/>
          <w:i/>
          <w:color w:val="000000"/>
          <w:sz w:val="20"/>
          <w:lang w:val="en-US" w:eastAsia="en-US" w:bidi="ar-SA"/>
        </w:rPr>
        <w:t>Fraser Cedar Products Ltd. v. Oceanic Underwriters Ltd.</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[1997] B.C.J. No. 837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Fraser Cedar</w:t>
      </w:r>
      <w:r>
        <w:rPr>
          <w:rFonts w:ascii="arial" w:eastAsia="arial" w:hAnsi="arial" w:cs="arial"/>
          <w:color w:val="000000"/>
          <w:sz w:val="20"/>
          <w:lang w:val="en-US" w:eastAsia="en-US" w:bidi="ar-SA"/>
        </w:rPr>
        <w:t>], Vancouver Registry No. C901408 at paras. 21-22. The prejudice must be such that the defendants' ability to have a fair trial is imperilled.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assessing whether there has been inexcusable delay and whether there has been prejudice to the defendants, as well as in looking at the balance of justice, the extent to which the defendants themselves have contributed to the delay is relevant. (See, for example, </w:t>
      </w:r>
      <w:r>
        <w:rPr>
          <w:rFonts w:ascii="arial" w:eastAsia="arial" w:hAnsi="arial" w:cs="arial"/>
          <w:i/>
          <w:color w:val="000000"/>
          <w:sz w:val="20"/>
          <w:lang w:val="en-US" w:eastAsia="en-US" w:bidi="ar-SA"/>
        </w:rPr>
        <w:t>De Cotiis v. Viam Holdings Ltd.</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2004 BCSC 1301</w:t>
        </w:r>
      </w:hyperlink>
      <w:r>
        <w:rPr>
          <w:rFonts w:ascii="arial" w:eastAsia="arial" w:hAnsi="arial" w:cs="arial"/>
          <w:color w:val="000000"/>
          <w:sz w:val="20"/>
          <w:lang w:val="en-US" w:eastAsia="en-US" w:bidi="ar-SA"/>
        </w:rPr>
        <w:t>, 3 C.P.C. (6th) 349 [</w:t>
      </w:r>
      <w:r>
        <w:rPr>
          <w:rFonts w:ascii="arial" w:eastAsia="arial" w:hAnsi="arial" w:cs="arial"/>
          <w:i/>
          <w:color w:val="000000"/>
          <w:sz w:val="20"/>
          <w:lang w:val="en-US" w:eastAsia="en-US" w:bidi="ar-SA"/>
        </w:rPr>
        <w:t>De Cotiis</w:t>
      </w:r>
      <w:r>
        <w:rPr>
          <w:rFonts w:ascii="arial" w:eastAsia="arial" w:hAnsi="arial" w:cs="arial"/>
          <w:color w:val="000000"/>
          <w:sz w:val="20"/>
          <w:lang w:val="en-US" w:eastAsia="en-US" w:bidi="ar-SA"/>
        </w:rPr>
        <w:t>], where the defendants had not filed a statement of defence despite having been contacted by the plaintiffs with a request that they do so. The application, after five years' delay, to dismiss for want of prosecution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role of the defendants' conduct was a subject of comment in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at 260: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the power to dismiss an action for want of prosecution is only exercisable upon the application of the defendant, his previous conduct in the action is always relevant. So far as he himself has been responsible for any unnecessary delay, he obviously cannot rely upon it. But also, if after the plaintiff has been guilty of unreasonable delay the defendant so conducts himself as to induce the plaintiff to incur further costs in the reasonable belief that the defendant intends to exercise his right to proceed to trial notwithstanding the plaintiff's delay, he cannot obtain dismissal of the action unless the plaintiff has thereafter been guilty of further unreasonable delay. For the reasons already mentioned, however, mere non-activity on the part of the defendant where no procedural step on his part is called for by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is not to be regarded as conduct capable of inducing the plaintiff reasonably to believe that the defendant intends to exercise his right to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Thus,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suggests that mere non-activity by the defendants where no procedural step on their part is called for by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is irrelevant. However, the delay for which the plaintiff is responsible must be identified, and that requires consideration of which parts of the delay were caused or contributed to by the defendants themselves. Even after the plaintiff has been responsible for inordinate delay, the defendants' conduct is relevant if it has been such as would induce the plaintiff to incur further costs in the reasonable belief that the defendants intended to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1. Has there been inordinate delay on the part of the plaintiff in pursuing its claim against the Coquitlam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Attached as Appendix "A" is a chronology of the steps involving the Coquitlam defendants in the two actions (the "second action" and the "third action") that now have been consolidated as Action S045308. Appendix "A" also includes reference to litigation steps involving other defendants in those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second action, No. S035251, against the City and three of the individual applicants (Mr. Sekora, Ms. Hollington and Mr. Robinson) was commenced October 30, 1996. The third action, No. S045308, involving all of the applicants, was commenced February 24, 1998. Because the actions have been consolidated, it is most convenient, and fairest to the plaintiff, to take as the starting point of the alleged delay the later date, February 24, 1998, when the third action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notice of motion for an order dismissing the actions for want of prosecution was filed on January 28, 2010, and set for hearing on May 4, 2010. No judge was available to hear the application that day, but Madam Justice Gerow granted a temporary stay in both actions pending a hearing of the stay application. Mr. Justice Leask on June 7, 2010 ordered the actions stayed pending this hearing. He also ordered that the parties were at liberty to set a trial date and a mediation or a judicial settlement conference, and that the plaintiff was at liberty to consolidate the two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will take May 4, 2010, the date of the court order granting an interim stay of proceedings, to be the end point of the alleged delay. After that date, the plaintiff was precluded from taking further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Therefore, the central question is whether there has been inordinate delay by the plaintiff in prosecuting its claim against the Coquitlam defendants in the period of just over twelve years between February 24, 1998 and May 4,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Although the overall context must be considered (including the fact that there was related litigation in which the plaintiff was engaged, and that there were formerly other defendants in the consolidated action), the essential focus must be on the delay experienced by the applicants, the Coquitlam defendants.</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second action (S035251)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Coquitlam defendants say that there have been no meaningful steps by the plaintiff in the second action for 12 years, since 1998. The plaintiff delivered a demand for particulars to Mr. Sekora on June 2, 1998, and filed a notice of motion to compel answers to interrogatories by Mr. Robinson and Ms. Hollington on September 30, 1998 (it appears to have been a motion that was never heard). The defendants point to long pauses in this litigation during which there were no steps at all, in particular to total inactivity in these periods:</w:t>
      </w:r>
      <w:r>
        <w:rPr>
          <w:rFonts w:ascii="arial" w:eastAsia="arial" w:hAnsi="arial" w:cs="arial"/>
          <w:sz w:val="20"/>
          <w:lang w:val="en-US" w:eastAsia="en-US" w:bidi="ar-SA"/>
        </w:rPr>
        <w:cr/>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10 months between June 13, 1997 and April 30, 1998;</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four years between September 30, 1998 and October 3, 2002 (the defendants Robinson, Hollington, Sekora and Coquitlam filed amended defences on October 3, 2002);</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eight years between October 3, 2002 and the present (with the exception of the November 15, 2010 order by consent consolidating the two actions pursuant to the June 7, 2010 order of Mr. Justice Leask).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One reflection of the length of time that has passed is that Michelle Taylor, an associate with Singleton Urquhart LLP, solicitors for the Coquitlam defendants, deposes that she learned, when she requested copies of appearances filed in the second action, that the court file was unavailable because the Registry had destroyed all civil files up to and including those filed in 1997.</w:t>
      </w:r>
      <w:r>
        <w:rPr>
          <w:rFonts w:ascii="arial" w:eastAsia="arial" w:hAnsi="arial" w:cs="arial"/>
          <w:sz w:val="20"/>
          <w:lang w:val="en-US" w:eastAsia="en-US" w:bidi="ar-SA"/>
        </w:rPr>
        <w:cr/>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third action (S045308)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January 31, 2001, the plaintiff filed a notice of trial setting the trial in the third action for nine days, starting August 12, 2002. That trial date was adjourned generally on May 31, 2002, by consent, at the instigation of the defendants. Ms. Taylor deposes that solicitors for the Coquitlam defendants made numerous attempts to elicit the plaintiff's position on moving forward with the two actions following the adjournment in 2002 and that the solicitors indicated that there would be a want of prosecution application if the actions did not proceed "substantively". Brian Robinson, Louella Hollington, Louis Sekora and the City of Coquitlam filed an amended statement of defence on October 3, 2002 and the Coquitlam defendants' solicitor wrote on October 7 and 28, 2002, to solicitors for the plaintiff, asking about re-scheduling the trial and referring to a suggested trial date of February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After October 2002, the action remained almost wholly dormant for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On December 20, 2007, a different group of defendants, the engineering defendants (CH2M Gore &amp; Storrie Limited and two named defendants), filed their statement of defence and shortly thereafter brought a motion to have the action against them dismissed as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That application was heard on February 14, 2008 and allowed on January 26, 2009. The plaintiff's claim against those defendants was dismissed, as having already been determined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For 6.5 years, between mid-2002 and early 2009, the plaintiff took no steps with respect to the Coquitlam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first written reference to an application for dismissal for want of prosecution is found in a February 12, 2009 letter, from Mr. Singleton to Mr. Thomas L. Spraggs, stating (with reference to both of the two now-consolidated actions):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Gemex has not taken any steps to advance either of the above noted actions for at least a decade.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client would likely agree to a dismissal of these actions on a without costs basis. I would appreciate receiving your client's agreement to resolve these actions on this basis. Alternatively, we are left to seek a dismissal of both actions for want of prosecution and further orders of costs against Gemex.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I please hear from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plaintiff's solicitors filed a notice to mediate on March 3, 2009. The Coquitlam defendants' solicitor replied on March 4, 2009, taking the position that the notice to mediate was issued pursuant to </w:t>
      </w:r>
      <w:hyperlink r:id="rId682" w:history="1">
        <w:r>
          <w:rPr>
            <w:rFonts w:ascii="arial" w:eastAsia="arial" w:hAnsi="arial" w:cs="arial"/>
            <w:i/>
            <w:color w:val="0077CC"/>
            <w:sz w:val="20"/>
            <w:u w:val="single"/>
            <w:shd w:val="clear" w:color="auto" w:fill="FFFFFF"/>
            <w:lang w:val="en-US" w:eastAsia="en-US" w:bidi="ar-SA"/>
          </w:rPr>
          <w:t>B.C. Reg. 127/98</w:t>
        </w:r>
      </w:hyperlink>
      <w:r>
        <w:rPr>
          <w:rFonts w:ascii="arial" w:eastAsia="arial" w:hAnsi="arial" w:cs="arial"/>
          <w:color w:val="000000"/>
          <w:sz w:val="20"/>
          <w:lang w:val="en-US" w:eastAsia="en-US" w:bidi="ar-SA"/>
        </w:rPr>
        <w:t>, respecting motor vehicle accidents, and would therefore be inapplicable. The solicitor's letter then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importantly, no steps have been taken to advance either of the above-noted actions for more than a decade. Pursuant to Rule 3(4), before Gemex takes any further step, it must serve and file a Notice of Intention to Proceed. That will be met by our application for dismissal for want of prosecution.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previously outlined, my client would likely agree to a dismissal of both actions on a without costs basis. Gemex will not achieve any greater result at mediation, if it was able to proceed. If these actions do not resolve on a without costs basis, we will seek costs on our application for dismissal for want of prosecution.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respectfully suggest that you reconsider pursuing mediation and seek instructions to resolve these actions in the manner I have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 reply dated March 9, 2009, Thomas L. Spraggs wrote on behalf of the plaintiff, stating that it had mistakenly invoked the incorrect Regulation, and sent a notice to mediate under another Regulation. He then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 indicate in your letter that no steps have been taken in either of these actions for over a decade however, these actions are inextricably intertwined with the </w:t>
      </w:r>
      <w:r>
        <w:rPr>
          <w:rFonts w:ascii="arial" w:eastAsia="arial" w:hAnsi="arial" w:cs="arial"/>
          <w:i/>
          <w:color w:val="000000"/>
          <w:sz w:val="20"/>
          <w:lang w:val="en-US" w:eastAsia="en-US" w:bidi="ar-SA"/>
        </w:rPr>
        <w:t>Gemex Developments Corp. and CH2M &amp; Gore et al.</w:t>
      </w:r>
      <w:r>
        <w:rPr>
          <w:rFonts w:ascii="arial" w:eastAsia="arial" w:hAnsi="arial" w:cs="arial"/>
          <w:color w:val="000000"/>
          <w:sz w:val="20"/>
          <w:lang w:val="en-US" w:eastAsia="en-US" w:bidi="ar-SA"/>
        </w:rPr>
        <w:t xml:space="preserve"> action which has been ongoing. As such, it is our position that steps have been ongoing in these proceedings. We note that you have recently brought in an Application to Dismiss in the </w:t>
      </w:r>
      <w:r>
        <w:rPr>
          <w:rFonts w:ascii="arial" w:eastAsia="arial" w:hAnsi="arial" w:cs="arial"/>
          <w:i/>
          <w:color w:val="000000"/>
          <w:sz w:val="20"/>
          <w:lang w:val="en-US" w:eastAsia="en-US" w:bidi="ar-SA"/>
        </w:rPr>
        <w:t>Gemex Developments Corp. and CH2M &amp; Gore et al.</w:t>
      </w:r>
      <w:r>
        <w:rPr>
          <w:rFonts w:ascii="arial" w:eastAsia="arial" w:hAnsi="arial" w:cs="arial"/>
          <w:color w:val="000000"/>
          <w:sz w:val="20"/>
          <w:lang w:val="en-US" w:eastAsia="en-US" w:bidi="ar-SA"/>
        </w:rPr>
        <w:t xml:space="preserve"> action and thus you cannot now take the position that no steps have been taken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 judicial settlement conference was scheduled for February 24, 2009, which was adjourned by consent. The parties attended an unsuccessful, voluntary mediation on June 24,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Coquitlam defendants assert that nothing of consequence was done by the plaintiff thereafter by way of steps that would move the litigation to trial. No examinations for discovery were scheduled and no trial date was set. The plaintiff did file a notice of motion with respect to the defendants' list of documents, and sent notices to admit to the City and the individual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January 27, 2010, Mr. Spraggs for the plaintiff wrote to counsel for the Coquitlam defendants requesting their updated list of documents, and further information regarding their reply to notice to admit, and forwarding interrogatories for the City and for Mr. Sekora. Replies to the interrogatories were provided on April 19,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Coquitlam defendants' notice of motion in this application for dismissal for want of prosecution was filed on January 28,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Following that date, the plaintiff sent a second supplemental list of documents, filed a notice of motion with respect to the defendants' list of documents, sent notices to admit to the City and the individual defendants, filed a notice of motion to seek to examine Maxine Wilson, a former Mayor of Coquitlam, as a witness under Rule 28, and filed a notice of motion requesting that the Coquitlam defendants' defence be struck because of destruction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Coquitlam defendants point to long pauses in the third action during which nothing was done by the plaintiff or by any of the defendants: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almost 14 months between September 9, 1998, when the surveying firm and surveyors (the "Soukup defendants") filed their appearance and November 3, 1999, when the plaintiff delivered appointments to examine for discovery various MOE defendants;</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10 months between February 22, 2001, when the Soukup defendants entered a consent dismissal order, and December 31, 2001, when the MOE defendants moved for dismissal of the action against them;</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 five years between October 3, 2002, when the Coquitlam defendants filed an amended statement of defence, and December 20, 2007, when the CH2M engineering defendants filed a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addition to those periods of total inaction with respect to all parties, as I have noted, there was a 6.5-year period of inaction with respect to the Coquitlam defendants. Between May 31, 2002 (when the plaintiff adjourned the trial by consent), and March 3, 2009 (when the plaintiff served a notice to mediate, after it had received Mr. Singleton's February 12, 2009 letter advising of the Coquitlam defendants' position regarding dismissal for want of prosecution), the plaintiff took no steps in the litigation as against the Coquitlam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Overall progress of the consolidated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appears that no examinations for discovery have been conducted as between the plaintiff and the Coquitlam defendants in either action, and that no examinations for discovery have yet been scheduled.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Although apparently counsel have agreed that 20 days will be needed for trial, no trial date has been set. The plaintiff's intention is to set a trial date for 20 days in 2012, either commencing September 3 or October 1, 2012; however, counsel advised, the Registry cannot confirm these dates until 18 months prior to the proposed first day of trial. Pam Carriere, legal assistant to Thomas L. Spraggs, deposed that Mr. Spraggs advises her that he intends to proceed immediately with the plaintiff's applications regarding the Coquitlam defendants' document disclosure obligations, and with setting down examinations for discovery for all of the remaining defendants at the rate of about one per month beginning in October 2010 and extending to the summer of 2011. She deposed that Mr. Spraggs advises that he will be prepared to proceed to trial in the fall of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 The Coquitlam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position of the Coquitlam defendants is that there has been inordinate delay on the part of the plaintiff in proceeding with the consolidated action against them.</w:t>
      </w:r>
      <w:r>
        <w:rPr>
          <w:rFonts w:ascii="arial" w:eastAsia="arial" w:hAnsi="arial" w:cs="arial"/>
          <w:sz w:val="20"/>
          <w:lang w:val="en-US" w:eastAsia="en-US" w:bidi="ar-SA"/>
        </w:rPr>
        <w:cr/>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Counsel for the plaintiff says that the delay is not inordinate in all of the circumstances. Mr. Tobin submits that the pertinent circumstances are the complexity of the litigation, taken as a whole, between the plaintiff and the City, and the applicants' failure to respond to steps in the litigation in a reasonable and timely way. He says that the Coquitlam defendants have induced the plaintiff to believe that delay was acceptable, and that the Coquitlam defendants did not give notice to the plaintiff of any concerns regarding any alleged delay.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Standstill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plaintiff's position is that there was a "standstill agreement" whereby the defendants consented to delays. The plaintiff relies in this respect on the evidence of Derek Ashford.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Derek Ashford is a professional engineer who worked for the City of Coquitlam between 1970 and 1974. He also did a report for a real estate development company in 1974 regarding development in the Burke Mountain area. The report included consideration of the Gemex property. Mr. Ashford deposes that in 2001, Gemex commissioned him to prepare a report on proposed locations for a road crossing of the Coquitlam River, and that he did further work for Gemex in 2003. He deposes that in September 2006, in a discussion with then Mayor of Coquitlam Maxine Wilson, he "identified the special knowledge I had with respect to the Gemex Property and the associated contentious issues". He deposes that Ms. Wilson indicated she would support an attempt to bring the parties together to try to resolve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Gemex retained Mr. Ashford to attend various negotiation meetings with the City. Mr. Ashford says that Trevor Wingrove, Manager of Corporate Services for the City, agreed that Gemex and its counsel, Mr. Spraggs, could communicate directly with the City, without the presence of outside counsel, in order to facilitate the negotiation process. He sent a letter to Mr. Wingrove on October 30, 2006, setting out three items to be addressed prior to full negotiations between the City and Gemex. The third item was "a discontinuance of further legal actions being undertaken by either party in the Gemex v. CH2M Gore &amp; Storrie et al. matter (B.C. Court of Appeal Registry No. CA032975)" (the first action). He sent a further letter on November 17, 2006, to Mr. Wingrove, again referring to Gemex's preconditions and to the CH2M litigation (and, apparently, to Gemex's application for leave to appeal to the Supreme Court of Canada in that litigation, which was eventually unsuccessful). The letter then states, "Gemex have agreed that other ongoing court matters can be set aside for a period of 30 to 60 days with further extensions agreed as necessary and expeditious to assist a resolution of all matters", and expresses hope that the City Council can accept Gemex's preconditions.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Ashford deposes that sometime between November 2006 and March 2007 he attended a further meeting with representatives of Gemex and the City, including Mr. Spraggs, Ms. Spraggs, Mr. Wingrove and Lisa Parkes, solicitor for the City. He calls this the "Standstill Meeting" and says that he recalls that Mayor Maxine Wilson was present at the meeting for a few minutes. He deposes that at that meeting, the City agreed with Gemex to "enter a standstill" on all outstanding issues between them while they attempted settlement in order to save costs, time and energy. He says that the City agreed to so advise their lawyers. He says that he understood the standstill agreement was to continue at least as long as the negotiations were ongoing, and that it included the two actions that are the subject of the current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Ashford's affidavit states that the City informed Gemex that the City's outside counsel objected to the standstill agreement, but that the City agreed to it nevertheless. He specifies that in or about March 2007, he was informed by Mr. Wingrove that Mr. Singleton took issue with the meetings, as Mr. Singleton did not wish the City to communicate directly with Mr. Spraggs.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Ashford wrote a memorandum to Mr. Wingrove on March 30, 2007, summarizing his understanding of the state of the negotiations, and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and I also understood that a standstill agreement on all legal matters and associated costs, including the Supreme Court of Canada case, was in place (except for the Supreme Court of Canada process which was date led). The Supreme Court of Canada Appeal is now concluded and therefore the issue of costs should be covered by the standstill agreement we have in place. Would you please so advise Mr. Singleton. Mr. Singleton has also taken issue with Mr. Spraggs talking directly with the City, although we have discussed this as being part of our negotiation process. I would ask that you instruct Mr. Singleton that there are no restrictions with whom Mr. Spraggs may speak.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now appears that in order for Gemex to negotiate all outstanding matters, it is necessary for the City to:</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 to honour the standstill agreement.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Eliminate the problem of the illegality emanating from the trespass. Gemex has advised me that Deborah Brown has stated that the rate the City would charge for any work stoppage during bridge construction would be $10,000.00 per day. Gemex are suggesting that this should be the rate per day for the current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Wingrove on behalf of the City of Coquitlam replied on May 15, 2007,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in receipt of your Memo dated March 30. 2007. While I intend to respond more fully to that memo in the coming weeks, I did want to clarify, in the shorter term, one issue raised in that memo. You indicate at paragraph four of the memo that you and I had understood and agreed that a standstill agreement was in place regarding all legal matters between Gemex and the City, including the costs associated with the dismissal of Gemex's action against the City and others by the Supreme Court of British Columbia ("BCSC"). which dismissal was subsequently upheld by the British Columbia Court of Appeal ("BCCA"), and the appeal of which was declined to be heard by the Supreme Court of Canada ("SCC"). You also suggest in that paragraph that the issue of costs "should be covered by the standstill agreement we have in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As you are aware, and have confirmed to me verbally since sending the March 30th memo, there was in fact no standstill agreement in place between the parties respecting this litigation or the costs. Gemex broached the subject of such an agreement with the City, and in response, John Singleton, counsel for both the City and the other defendants in the dismissed action, advised Gemex that in return for Gemex's agreement not to pursue an appeal against the individually-named defendants to that action in the event that the SCC agreed to hear such appeal, the defendants would agree not to take action respecting the costs of the BCSC and BCCA matters pending the SCC's decision on whether to grant leave to appeal. Gemex declined to make such agreement, and as a result, there was never a standstill agreement entered into by the parties with respect to this litigation. For clarity's sake, I confirm that even had such an agreement been reached, it would only have postponed the defendants' pursuing costs against Gemex until the SCC issue was determined, and was never to be an agreement that the defendants would waive their right to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discussed previously, the City does not have the authority to instruct its counsel not to pursue the costs of the dismissed action, and Gemex should expect that these will be pursued.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response, on June 10, 2007, Mr. Ashford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May 15, 2007 letter which was not received until June 08,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understood that you would be instructing your lawyer, Mr. John Singleton, that as far as the City was concerned, there would be a standstill agreement on all the legal matters and associated costs (that he was involved with) whilst our discussions were ongoing. However you did advise that there were more than the City of Coquitlam named as defendants and those defendants, or their insurers, may not agree to the standstill. The one exclusion was the appeal to the SCC which was time led and certain procedures were needed to be in place by certain dates. This exception was discussed and understood, and I had no indication from you that the SCC appeal would affect the City's instructions to Mr. Singleton with respect to the underlying standstill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recall no agreement that Gemex would not pursue an appeal against the individually named defendants. In fact the appeal that involved individual defendants was filed and served long before the standstill agreement was agreed upon by ourselves.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 may take this opportunity to recap Gemex's position. Gemex feel that the current trespass by the City has to be legalised before any further discussions can proceed. It is their continued wish that those discussions do proceed. The matter of the trespass is not before the Courts at this time, and therefore, as no external counsel is in place for the City, there is an opportunity for a meeting between Gemex and their lawyer and the City and their lawyer once our negotiations bear fruit, as I am hopeful, they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is no evidence of any exchange between counsel regarding a standstill agreement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 review of Mr. Ashford's evidence and the absence of any other evidence leads to the conclusion that, whether or not there was a limited standstill agreement with respect to other litigation (the "first action"), there was no standstill agreement or other agreement to delay proceeding with respect to the two actions (the consolidated action) that are the subject of this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Document disclosure and response to interrogatories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says that the Coquitlam defendants caused, acquiesced in or consented to delays in other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says that, despite receiving a demand for the production of documents in the third action in 1998, the Coquitlam defendants failed to deliver an adequate list of documents until 2010, and that they did so only after receiving a notice of motion to strike the defence. I note that although it appears that the Coquitlam defendants did not produce a list of documents following the 1998 demand, neither did the plaintiff take steps to follow up on its demand or to bring an application to compel production of documents, until February 24, 2010. Gemex says that the failure to provide the updated list of documents led to the adjournment of the judicial settlement conference in 2010. I am not satisfied that the evidence supports that proposition, but in any event, the Coquitlam defendants' failure to provide a list of documents following the 1998 demand does not appear to have played any significant role in prolonging the delay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Gemex says that the Coquitlam defendants have failed to disclose all relevant documents. It refers to an admission by the City that it recently discovered four boxes of documents and one folder, not previously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an affidavit sworn on December 22, 2009, Lauren Hewson, who is the Legislative and Administrative Services Manager in the City Clerk's Office at the City of Coquitlam, deposes that there was no City-wide filing system in place before January 1, 2000. She says that the majority of the old documents were not scanned into the current document management system. When Ms. Hewson was asked to search the paper archives for old documents pertaining to the plaintiff, she deposes, she located two boxes that had been slated to be destroyed six years ago pursuant to the City's document retention policy but that, for unknown reasons, had escaped destruction.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Michelle Taylor deposes that she has reviewed those boxes of documents and that although they relate primarily to other matters, there are a few potentially relevant documents regarding the Gemex fence. Ms. Taylor also deposes that two other boxes and a folder of documents relating to Gemex in general were located that had not been archived. She deposes that they relate primarily to other matters, including Gemex issues arising in the 1990s, and include a few potentially relevant documents regarding the Gemex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 is no doubt that these documents have come to light late in the day, but there is nothing to indicate that that fact has played any role in causing the delay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says that the Coquitlam defendants have failed to provide supplemental lists of documents when new documents were created in relation to an expropriation and the construction of a bridge, which it says are relevant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Coquitlam defendants' position is that the expropriation and bridge construction matters are not relevant to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Even if the expropriation and bridge construction matters are relevant to this litigation, and I am not convinced that they are, the Coquitlam defendants' failure to provide supplemental lists of documents does not appear to have caused any specific delay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Tobin for the plaintiff also submits that another example of the Coquitlam defendants' delay is with respect to Mr. Sekora's response to the interrogatories delivered to him on January 27, 2010 - after further demands, he responded on April 19,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Taking all of the above into account, it does not appear that the Coquitlam defendants' responses to their document disclosure obligations or to the delivery of interrogatories have caused any material part of the delay, or would have led the plaintiff reasonably to believe that the Coquitlam defendants were acquiescing in the delay in these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Complexity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submits that the complexity of this litigation must be taken into account in deciding whether the delay has been inordinate.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is correct that complexity is a relevant factor; it will usually take longer to move a complex matter to trial than a straightforward one, and I note that the plaintiff's pleadings make allegations involving a large number of parties and raising potentially complex legal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says that it has been attempting to settle this matter through mediation or a judicial settlement conference. It points to the fact that it has resolved its claims against four groups of defendants: against the Soukup defendants on January 23, 2002; the MOE defendants by 2003 in court, and as a result of the administrative hearing in May 2004; the engineering (CH2M) defendants on January 26, 2009; and by settlement with the DFO defendants in May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points to the steps it has taken since 2009, including issuing a notice to mediate, attending a mediation, delivering a supplementary list of documents, delivering notices to admit, setting a judicial settlement conference that was later adjourned, delivering interrogatories, requesting documents about the bridge, beginning to schedule examinations for discovery, filing notices of motion to compel the production of documents about the expropriation and the bridge, challenging claims of privilege, and applying to examine as a witness a former mayor of Coquitlam, Maxine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says that delay must be considered in the context of the overall situation, including the plaintiff's other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Mr. Tobin for the plaintiff refers to </w:t>
      </w:r>
      <w:r>
        <w:rPr>
          <w:rFonts w:ascii="arial" w:eastAsia="arial" w:hAnsi="arial" w:cs="arial"/>
          <w:i/>
          <w:color w:val="000000"/>
          <w:sz w:val="20"/>
          <w:lang w:val="en-US" w:eastAsia="en-US" w:bidi="ar-SA"/>
        </w:rPr>
        <w:t>Wallersteiner (Trustee of) v. Wallersteiner</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22 B.C.L.R. (2d) 34</w:t>
        </w:r>
      </w:hyperlink>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8 A.C.W.S. (3d) 196</w:t>
        </w:r>
      </w:hyperlink>
      <w:r>
        <w:rPr>
          <w:rFonts w:ascii="arial" w:eastAsia="arial" w:hAnsi="arial" w:cs="arial"/>
          <w:color w:val="000000"/>
          <w:sz w:val="20"/>
          <w:lang w:val="en-US" w:eastAsia="en-US" w:bidi="ar-SA"/>
        </w:rPr>
        <w:t xml:space="preserve"> (S.C.), in which, despite a 6.5 year delay, the application to dismiss the proceedings failed, due to the complexity of the matter. I note that in </w:t>
      </w:r>
      <w:r>
        <w:rPr>
          <w:rFonts w:ascii="arial" w:eastAsia="arial" w:hAnsi="arial" w:cs="arial"/>
          <w:i/>
          <w:color w:val="000000"/>
          <w:sz w:val="20"/>
          <w:lang w:val="en-US" w:eastAsia="en-US" w:bidi="ar-SA"/>
        </w:rPr>
        <w:t>Wallersteiner</w:t>
      </w:r>
      <w:r>
        <w:rPr>
          <w:rFonts w:ascii="arial" w:eastAsia="arial" w:hAnsi="arial" w:cs="arial"/>
          <w:color w:val="000000"/>
          <w:sz w:val="20"/>
          <w:lang w:val="en-US" w:eastAsia="en-US" w:bidi="ar-SA"/>
        </w:rPr>
        <w:t xml:space="preserve">, unlike in these proceedings, the defendant had world-wide business dealings, requiring the plaintiff to undertake extensive investigations in order to locate the defendant's assets. The court in </w:t>
      </w:r>
      <w:r>
        <w:rPr>
          <w:rFonts w:ascii="arial" w:eastAsia="arial" w:hAnsi="arial" w:cs="arial"/>
          <w:i/>
          <w:color w:val="000000"/>
          <w:sz w:val="20"/>
          <w:lang w:val="en-US" w:eastAsia="en-US" w:bidi="ar-SA"/>
        </w:rPr>
        <w:t>Wallersteiner</w:t>
      </w:r>
      <w:r>
        <w:rPr>
          <w:rFonts w:ascii="arial" w:eastAsia="arial" w:hAnsi="arial" w:cs="arial"/>
          <w:color w:val="000000"/>
          <w:sz w:val="20"/>
          <w:lang w:val="en-US" w:eastAsia="en-US" w:bidi="ar-SA"/>
        </w:rPr>
        <w:t xml:space="preserve"> also noted that the defendant's business and commercial affairs were complex, and that the defendant had moved from various jurisdictions. In contrast, the Coquitlam defendants have not been difficult to locate or to keep track of, nor is there a basis for concluding that it has been unusually difficult for the plaintiff to secure evidence due to the complexity of the defendants' affairs or for other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will return to the question of complexity in discussing whether the delay has been inexcusable, but at this juncture I simply observe that, in considering whether the delay has been inordinate, I take into account the degree of complexity of the litigation.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Acquiescence Through Inactivity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plaintiff submits that the Coquitlam defendants did not express any concern regarding delays, and that this is evidence of their acquiescence in the length of the proceedings. Mr. Tobin notes that the Coquitlam defendants shared counsel (Mr. Singleton) with the engineering (CH2M) defendants and that in the course of the proceedings with the engineering defendants (which led to the engineering defendants' successful application for a ruling that the claims against them in these proceedings were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no concerns were expressed about delay with respect to these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plaintiff seeks to rely upon the decision in </w:t>
      </w:r>
      <w:r>
        <w:rPr>
          <w:rFonts w:ascii="arial" w:eastAsia="arial" w:hAnsi="arial" w:cs="arial"/>
          <w:i/>
          <w:color w:val="000000"/>
          <w:sz w:val="20"/>
          <w:lang w:val="en-US" w:eastAsia="en-US" w:bidi="ar-SA"/>
        </w:rPr>
        <w:t>Tundra</w:t>
      </w:r>
      <w:r>
        <w:rPr>
          <w:rFonts w:ascii="arial" w:eastAsia="arial" w:hAnsi="arial" w:cs="arial"/>
          <w:color w:val="000000"/>
          <w:sz w:val="20"/>
          <w:lang w:val="en-US" w:eastAsia="en-US" w:bidi="ar-SA"/>
        </w:rPr>
        <w:t>, which stated at para. 20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other defendants during that period gave no indication that they were not content to await the resolution of the other litigation . . . the question was not whether the remaining defendants were "committed to" the arrangement. It was enough that, by their inactivity, they appeared to acquiesce.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It is the plaintiff's position that the Coquitlam defendants have similarly given no indication that they were not content to await the resolution of other litigation, and that by their inactivity they appeared to acquiesce in the delay. However, in </w:t>
      </w:r>
      <w:r>
        <w:rPr>
          <w:rFonts w:ascii="arial" w:eastAsia="arial" w:hAnsi="arial" w:cs="arial"/>
          <w:i/>
          <w:color w:val="000000"/>
          <w:sz w:val="20"/>
          <w:lang w:val="en-US" w:eastAsia="en-US" w:bidi="ar-SA"/>
        </w:rPr>
        <w:t>Tundra</w:t>
      </w:r>
      <w:r>
        <w:rPr>
          <w:rFonts w:ascii="arial" w:eastAsia="arial" w:hAnsi="arial" w:cs="arial"/>
          <w:color w:val="000000"/>
          <w:sz w:val="20"/>
          <w:lang w:val="en-US" w:eastAsia="en-US" w:bidi="ar-SA"/>
        </w:rPr>
        <w:t xml:space="preserve"> the evidence showed that there had been some communication between the parties regarding whether they would be "content" to await the outcome of the other litigation (at para. 10). This and other evidence suggested that the defendants were, if not committed to the arrangement, content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my view, the facts in </w:t>
      </w:r>
      <w:r>
        <w:rPr>
          <w:rFonts w:ascii="arial" w:eastAsia="arial" w:hAnsi="arial" w:cs="arial"/>
          <w:i/>
          <w:color w:val="000000"/>
          <w:sz w:val="20"/>
          <w:lang w:val="en-US" w:eastAsia="en-US" w:bidi="ar-SA"/>
        </w:rPr>
        <w:t>Tundra</w:t>
      </w:r>
      <w:r>
        <w:rPr>
          <w:rFonts w:ascii="arial" w:eastAsia="arial" w:hAnsi="arial" w:cs="arial"/>
          <w:color w:val="000000"/>
          <w:sz w:val="20"/>
          <w:lang w:val="en-US" w:eastAsia="en-US" w:bidi="ar-SA"/>
        </w:rPr>
        <w:t xml:space="preserve"> were quite different from the facts in the present case. The fact that the Coquitlam defendants shared counsel with the engineering defendants and that the Coquitlam defendants did not themselves take steps to move this litigation to trial is not sufficient to lead me to infer that the Coquitlam defendants were content to await the outcome of other litigation. The City of Coquitlam's unwillingness to enter a "standstill agreement" confirms that it did not acquiesce in a delay while other litigation was settled.</w:t>
      </w:r>
      <w:r>
        <w:rPr>
          <w:rFonts w:ascii="arial" w:eastAsia="arial" w:hAnsi="arial" w:cs="arial"/>
          <w:sz w:val="20"/>
          <w:lang w:val="en-US" w:eastAsia="en-US" w:bidi="ar-SA"/>
        </w:rPr>
        <w:cr/>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Although the plaintiff submits that the Coquitlam defendants induced the plaintiff to believe that the lengthy delay would be acceptable, relying in part on the existence of a standstill agreement, I have found that the evidence does not establish the existence of a standstill agreement with respect to the second and third actions. Further, the plaintiff has not pointed to any particular conduct by the Coquitlam defendants that would reasonably lead the plaintiff to think that it was unnecessary to continue to take steps to move the matter to trial against those defendants. Nor is there evidence that the Coquitlam defendants have themselves caused any significant part of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Thirteen years have passed since the third action was launched and it has been over fourteen years since the second action was filed. In both actions there have been very prolonged periods of time during which no steps whatsoever were taken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After 6.5 years of no steps taken by the plaintiff in pursuit of its claim against the Coquitlam defendants, came Mr. Singleton's February 12, 2009 letter, in which he indicated that the Coquitlam defendants intended to bring this application to dismiss for want of prosecution. The plaintiff then bestirred itself in a relatively minimal way, sending notices to mediate, delivering a supplemental list of documents, proposing a settlement conference, and delivering a notice to admit and some interrogatories. It took a few further steps after this notice of motion was filed and before the interim stay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It was not specifically argued that the Coquitlam defendants' participation in a mediation in June 2009 was an indication of their acquiescence in the delay, but I have considered whether that was the case. I find that voluntary participation in mediation following Mr. Singleton's February 12, 2009 letter did not constitute acquiescence in the delay. The Coquitlam defendants had stated their position that the delay was inordinate but that they would consider consent dismissal without costs. To view their participation in mediation thereafter as acquiescence in delay would be inconsistent with the policy goal of encouraging parties to attempt to resolve their disputes through mediation, and would be to ignore the course of the litigation and the context in which that mediation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Despite the complexity of the litigation and the steps the plaintiff has taken in the past two years, the delay has been inordinate both in terms of the total time that has passed and the length of the different periods of inactivity.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find that the plaintiff has been responsible for almost all of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conclude that the Coquitlam defendants have established inordinate delay, and will proceed to address the next question.</w:t>
      </w:r>
      <w:r>
        <w:rPr>
          <w:rFonts w:ascii="arial" w:eastAsia="arial" w:hAnsi="arial" w:cs="arial"/>
          <w:sz w:val="20"/>
          <w:lang w:val="en-US" w:eastAsia="en-US" w:bidi="ar-SA"/>
        </w:rPr>
        <w:cr/>
      </w:r>
    </w:p>
    <w:p>
      <w:pPr>
        <w:numPr>
          <w:numId w:val="4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Has the delay been inexcusable?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considering whether the delay has been inexcusable, the complexity of the matter and the number of litigants involved again are relevant. Part of the complexity, the plaintiff says, arises from the nature of the allegations - that the City, in particular former Mayor Sekora - acted in bad faith in pursuing its intention to build a bridge on Gemex lands. The plaintiff suggests that the location of that bridge was chosen because it favours a real estate development known as River Walk. It says that Mr. Sekora, as Mayor, was the beneficiary of an unsecured $150,000 loan from the developer of River Walk (Landview Construction Company Ltd.). The plaintiff says that claims of abuse of power, such as the claim it makes, are complex and difficult to prove, particularly when so many sophisticated parties are involved, and that the plaintiff has had to untangle an intricate factual web. It says that some evidence has come to light late in the day, when the bridge and expropriation issues came to the 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It is the plaintiff's position that the expropriation and bridge issues are relevant to this litigation, and that for this reason steps taken with regard to the expropriation and the bridge should be considered steps in furtherance of these proceedings. The plaintiff argues that its prospect for success in this litigation is strengthened by evidence regarding the City's plan to construct the bridge. It points to ongoing interaction from 2004 to the present between Gemex and the City with regard to the bridge and the expropriation as steps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am not persuaded that such interaction is sufficiently related to this litigation, and particularly to the prosecution of the plaintiff's case, to be considered steps in these proceedings, or to provide an excuse for the delay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says that it has been continually engaged in this litigation, whether with the Coquitlam defendants or with other defendants to these actions. The plaintiff submits that the delay has not been a matter of tactics but rather the result of the plaintiff needing to divide its efforts amongst numerous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says that the Coquitlam defendants - the City, its Councillors and officials - were the primary tortfeasors, and that it is only appropriate that claims against other, lesser tortfeasors were addressed and resolved first. Further, the plaintiff says, other related matters gained prominence for a time: the expropriation of a portion of the land, the engineering litigation, the City of Coquitlam's applications to Land and Water B.C., events involving the Surveyor General of B.C. and certain accreted lands, and negotiations about the expropriated wall and the level of compensation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also refers to the alleged "standstill agreement" (which I have found did not exist), and to the instances in which the Coquitlam defendants did not respond promptly, for example, to interrogatories.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Coquitlam defendants say that the central question is the overall pace of the litigation, bearing in mind that it is the plaintiff's responsibility to move to trial. Mr. Singleton submits that although there may have been some interrogatories not responded to promptly and some documents produced late in the day, those are not matters that excuse the plaintiff's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find that, in general, the Coquitlam defendants took few positive steps to move the action forward. However, it is not their responsibility to do so; it is the plaintiff's. In my view the Coquitlam defendants' delayed production of some documents and somewhat slow responses to notices to admit or to interrogatories do not provide an excuse for the plaintiff's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have carefully considered whether the unusual circumstances of this case and the matters to which the plaintiff has referred, including the Coquitlam defendants' conduct, the complexity of the litigation, and the fact that it has been necessary for the plaintiff to focus on other defendants or other matters, provide a credible excuse for the plaintiff's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have concluded that they do not. The plaintiff chose to launch an action against some 29 defendants, making very serious allegations against individuals and asserting multiple claims against them. The plaintiff, having chosen to invoke the court's process, is required to proceed in a reasonably expeditious way to bring the matter to trial with respect to all of the defendants that it has named. Particularly given the plaintiff's allegations of bad faith, abuse of power and misconduct against the Coquitlam defendants, leaving certain defendants to be dealt with at the end means that those defendants may be seriously prejudiced as a result of the lengthy passage of time. As well, the fact that the plaintiff has become involved in other litigation, only some of which is related to this litigation, has been the plaintiff's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should have dealt with a surfeit of litigation, largely of its own creation, by devoting adequate resources to proceeding against all of the defendants it sued with reasonable expedition.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find that the delay has been not only inordinate, but also that there is no reasonable excuse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(3) Has the delay caused serious prejudice, or is it likely to cause serious prejudice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turn to the third question, which is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begin with the fact that two of the defendants have now passed away. Mr. Buchanan died in 2000 and Ms. Brown passed away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Coquitlam defendants say that Ms. Brown, as a City solicitor during many of the relevant events and as instructing counsel in this litigation, would have been a key witness regarding the plaintiff's allegations that the City and its officials acted pursuant to a conspiracy and with improper motives, in abuse of power. Mr. Singleton argues that the City would have waived privilege in order to have the benefit of Ms. Brown's evidence in defence against these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is notable that Ms. Brown was in frequent communication with Gemex regarding the fence and the issues surrounding the City's dealings with the Gemex property. A review of the Coquitlam defendants' list of documents shows some 107 documents regarding the Gemex property either authored by or addressed to Ms. Brown in 1996 alone. As recently as June 23, 2004, Ms. Brown, in her capacity as City solicitor, was in communication with one of the principals of the plaintiff, Ms. Diane Spraggs, regarding the Gemex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If the litigation had been pursued with anything like reasonable expedition, Ms. Brown would have been available to give evidence at trial or would have been examined for discovery before she passed away. The nature of Ms. Brown's involvement in the interaction between Gemex and the City indicates that her evidence would likely have been highly relevant. The prejudice to the Coquitlam defendants is serious, and was caused by the plaintiff's delay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Even though Mr. Buchanan passed away in 2000, it is also possible that his evidence could have been preserved if discoveries had been conducted at a reasonable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Further, a number of the surviving individual Coquitlam defendants (Dorothy Hollington, Jon Kingsbury, Brian Robinson, Norm Cook, Jason Cardoni, and Barry Elliott) have sworn affidavits in which they describe specific prejudice flowing from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Cook, who was the City Manager from October 15, 1990 until he retired in 2003, deposes that he is 64 years old and has been retired for about six years.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have not had occasion to turn my mind to the issues before Council in the 1990s for quite some time, particularly in light of my retirement 6 years ago. Consequently, my memory of specific issues before Council in the 1990s is weak and getting worse as time passes.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recall the Mayor making various statements regarding the Fence and know the Fence would have come before Council, I no longer recall any specific details about the issues put before Council, discussions had, the content of the Mayor's statements or what Council decided to do, if anything, about the 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virtue of my position with the City and, as the issue must have been discussed by Council, I would likely have had discussions with my staff, including some of the other Defendants in this Action, regarding the Fence. However, I do not recall which individuals or what was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Robinson, who was a Councillor from November 1976 until he retired in 1996, deposes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73 years of age. While, I am familiar with the Plaintiff as they were before Council on various occasions with concerns and complaints, I have no specific memory of meeting with or discussing the Fence, Gemex Property and/or expropriation of Gemex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City Councillor, I would have discussed issues before Council with other City Councillors; therefore, I believe that I did have some conversations with other City Councillors about Gemex. However, I do not recall the substance of those conversations or meetings or which specific Councillors I spoke 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vaguely recall a complaint about a surveying company trespassing on Gemex Property; however, I do not recall which company, when the alleged trespass occurred or what Council did with the complaint.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Additionally, I recall Mrs. Spraggs calling me at home sometime in the mid-1990s, as I was asleep when she called. I do not recall the specifics of her complaints or what was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Councillor, I kept notes of the various Council meetings I attended; however, it was not my practice to keep them for extended periods of time. Presently, I do not have any of my Council notes. I do not recall when I disposed of these notes; however, I have been retired for 13 years, so I believe I would have disposed of them a number of years ago.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Additionally, I received numerous documents prior to each Council meeting along with the agenda. I do not recall what I did with these documents or how long I kept them. I did take some documents with me when I left Council; however, throughout the years, I disposed of most of them. The remaining documents in my possession were destroyed in a flood in my basement in 2008. Consequently, I no longer have any documents relating to my years as a City Councillor. I seldom, if ever, reviewed the documents during the past 13 years that I've been retired; therefore, I did not have occasion to refresh my memory on the topic prior to the documents being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Kingsbury, who was a City Councillor from November 1988 until he was elected Mayor of the City in 1998 and served as Mayor until December 1, 2005, is 63 years of age and is employed as a part-time consultant. He deposes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have some documents from my tenure with the City, I no longer have any of the documents relating to the Fence or Gemex. I do not recall exactly when I disposed of these documents; however, it was my practice to purge my copies of Council documents relating to resolved Council issues every couple of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recall taking a trip to see the Fence; however, it was not an official City visit and I do not recall any other City employees or Council members attending with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recall having a few interactions with Gemex's representatives, in particular Mrs. Spraggs. Due to the length of time that has passed and the varied interactions involving Gemex and the City, I do not recall the specifics of any conversations I had with Gemex representatives in the 1990s. In particular, I do not recall how many times the Fence was discussed as opposed to other Gemex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relied on various City employees, including Norm Cook and Neil Nyberg, for briefings about City activities and issues; however, I do not have any specific recollection of any conversations I may have had with those individuals regarding the Fence. It is also possible that I discussed the Fence with other City employees; however, due to the amount of time since these issues arose I do not recall the names of any of the individuals or what discussions may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Hollington is 66 and has been retired for three years. She deposes that her memory of events in the 1990s is poor and getting worse as each day passes, and that she has not had occasion to turn her mind to the events involved in this litigation in a number of years. She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elected as a Councillor of the City in 1993 and served as such until 2006, when I retired. During that time, I was Acting Mayor for a couple months in 1997.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Councillor, I attended all City Council meetings and I recall the Fence issue being discussed; however, I do not recall what was discussed or who else may have been present at these meetings.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Councillor, I received an agenda and attached relevant documentation before every Council meeting. It was my practice to review the agenda and documents prior to each meeting. I do not recall how many documents relating to the Gemex Fence would have been made available to the Councillors; however, I expect that there would have been one or more engineering reports provided to the Council members addressing the safety of the Gemex 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recall receiving a copy of an engineering report at some time relating to the Fence; however, I do not recall when the report was submitted or by whom. I recall that the general theme of the report was that the Gemex Fence was not structurally sound and required some reinforcement to make it safe. I also recall one or more of the City engineers being available to answer any of the Councillors' questions if necessary; however, I do not recall who these individuals were.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my practice to maintain files regarding ongoing matters before Council at my home, as when I was first elected to City Council, Councillors were not provided with office space at City Hall. Eventually, a new City Hall was constructed with offices and some filing space for Councillors.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Originally, the files I kept at home contained all the documents I received on current issues before Council. When the new City Hall was finished, I continued to maintain files at home consisting of smaller reports and documents I received from City staff and I used my City Hall filing space for large reports received from agencies such as Translink.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 not have a specific policy for how long I kept documents in my files at home; however, as new issues took precedence at the City, I usually removed the files relating to past issues. It was my practice to bring irrelevant files back to City Hall and either recycle them or have them shredded, depending on the sensitivity of the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recall having a file or files relating to the Fence as well as other Gemex issues that were before Council; however, I do not recall what documents I had in those files. I do not recall when I originally got the documents or who gave them to me. Additionally, I do not recall when I disposed of the documents.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that there was ongoing litigation involving Gemex, I believe that I would have kept the documents longer than usual even though the issue wasn't always at the forefront of Council affairs.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retired, I brought all my City documents from home to City Hall and recycled or shredded them accordingly. Therefore, I no longer have any documents relating to Gemex and have not looked at any of the relevant documents for at least 3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some point I was quoted in a local newspaper regarding my views on the Fence. I recall that Mrs. Spraggs was unhappy with my comments and my view of the Fence; however I do not recall when I made these comments which reporter I spoke with or which paper the quote was published 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recall being present when the then-current Mayor, Louis Sekora, was served with some documents by Mrs. Spraggs. I was in attendance at a ceremony marking the completion of the Como Lake Road bypass to Gaglardi Way. I do not recall the date of this ceremony or who else related to this Action was present. Moreover, I no longer recall what if any words were exchanged between the Mayor and Mrs. Spraggs.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recall going to the Gemex Property to see the Fence a number of times; however, I do not recall making an official City visit.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recall seeing the Mayor at the Gemex Property on a couple of my visits; however, I do not recall the dates of these visits or who else was with the Mayor. On one occasion, the Mayor was addressing a group of residents who had gathered at the Fence and I stood among them and listed [sic]. I do not recall when this was or what exactly was said by the Mayor I do not recall if any other City related people were present.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recall that the Department of Fisheries and Oceans was involved in the Gemex Fence issue at some point, and I recall that the Councillors sought status reports regarding their investigations into the construction of the Fence. However, I do not recall whether or not they made any final determinations regarding the Fence or if they provided Council with any reports regarding their position on the Fence and what they planned to do or not do about the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take the point made by Mr. Tobin for the plaintiff, that as soon as the litigation began, the individual defendants should have been advised to secure documents that might assist them in their defence and to produce those documents. If they failed to do so, responsibility for the consequences cannot be laid at the door of the plaintiff. Accordingly, I do not take the destruction or loss of documents by the individual defendants into account as a factor in assessing prejudice to the Coquitlam defendants (except for those documents accidentally destroyed in a flood in Mr. Robinson's basement in 2008). I further take into account that retention of their documents may have assisted these defendants to some extent in giving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However, I accept the evidence of the deponents that their memories of events in the 1990s are poor and growing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Given the nature of the plaintiff's allegations of conspiracy and abuse of power, it is most probable that the trial of this action will turn on the assessment of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The Coquitlam defendants are called upon to explain actions, or motives for actions, that occurred many years ago and that would not necessarily have been documented.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It is relevant, when considering prejudice, to note the length of time that will have passed between the date of the events that are the subject of the litigation and the proposed trial date, because it is the total passage of time that affects the memory of witnesses. If the case proceeds to trial in 2012 (which is what the plaintiff proposes), 16 years will have passed since 1996, when Gemex built the concrete fence and the City, its officers and elected officials responded, allegedly conspiring against the plaintiff, breaching their fiduciary duties and harming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find that the Coquitlam defendants will be seriously prejudiced at trial due to the passage of time. Without the evidence of Ms. Brown, and with other defendants understandably unable to recall events from the mid-1990s, they will be greatly disadvantaged in putting forward their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(4) Does the balance of justice require an order dismissing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final question is whether the balance of justice warrants the exercise of discretion to dismiss this case for want of prosecution. Dismissal is a draconian remedy. It should be granted only in very clear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 has not pursued its litigation against the Coquitlam defendants with reasonable diligence. Over twelve years passed between the commencement of the second action on February 24, 1998 and the interim stay of proceedings on May 4, 2010. For 6.5 years of that time, nothing whatsoever was done to move the matter ahead as against the Coquitlam defendants, and there were other lengthy periods of total inactivity. Very little of the delay can be laid at any door except the plaintiff's. Even taking into account the complexity of the litigation, there is no good reason for the extent of the delay, which has been extreme.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have concluded that it will be virtually impossible for the Coquitlam defendants to have a fair trial. The fact that no discoveries have been held means that the testimony of two deceased persons who were allegedly part of these events, one of them in a key role, has not been preserved. The remaining defendants will be very seriously hampered in their ability to defend against allegations of very serious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have concluded that the balance of justice favours the Coquitlam defendants and that their application to dismiss for want of prosecution should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application to dismiss the consolidated action for want of prosecution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applicants may have their costs at Scale B, unless counsel wish to make submissions as to costs. If so, they may do so by setting the matter down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LYNN SMITH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"A": Chronology of Steps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 the purposes of this chronology, steps relating to the two actions appear in distinct columns. Steps that do not involve the Coquitlam defendants in the consolidated action appear in </w:t>
      </w:r>
      <w:r>
        <w:rPr>
          <w:rFonts w:ascii="arial" w:eastAsia="arial" w:hAnsi="arial" w:cs="arial"/>
          <w:i/>
          <w:color w:val="000000"/>
          <w:sz w:val="20"/>
          <w:lang w:val="en-US" w:eastAsia="en-US" w:bidi="ar-SA"/>
        </w:rPr>
        <w:t>italics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sources for this chronology include exhibits filed and statements made by counsel.</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6" type="#_x0000_t75" style="width:432.06pt;height:324.8pt">
            <v:imagedata r:id="rId698" o:title=""/>
          </v:shape>
        </w:pict>
      </w:r>
      <w:r>
        <w:rPr>
          <w:rFonts w:ascii="arial" w:eastAsia="arial" w:hAnsi="arial" w:cs="arial"/>
          <w:sz w:val="20"/>
          <w:lang w:val="en-US" w:eastAsia="en-US" w:bidi="ar-SA"/>
        </w:rPr>
        <w:t xml:space="preserve">  </w:t>
      </w:r>
      <w:r>
        <w:pict>
          <v:shape id="_x0000_i1207" type="#_x0000_t75" style="width:432.06pt;height:324.8pt">
            <v:imagedata r:id="rId699" o:title=""/>
          </v:shape>
        </w:pict>
      </w:r>
      <w:r>
        <w:pict>
          <v:shape id="_x0000_i1208" type="#_x0000_t75" style="width:432.06pt;height:315.04pt">
            <v:imagedata r:id="rId700" o:title=""/>
          </v:shape>
        </w:pict>
      </w:r>
      <w:r>
        <w:pict>
          <v:shape id="_x0000_i1209" type="#_x0000_t75" style="width:432.06pt;height:324.05pt">
            <v:imagedata r:id="rId701" o:title=""/>
          </v:shape>
        </w:pict>
      </w:r>
      <w:r>
        <w:pict>
          <v:shape id="_x0000_i1210" type="#_x0000_t75" style="width:432.06pt;height:288.04pt">
            <v:imagedata r:id="rId702" o:title=""/>
          </v:shape>
        </w:pict>
      </w:r>
      <w:r>
        <w:pict>
          <v:shape id="_x0000_i1211" type="#_x0000_t75" style="width:432.06pt;height:323.3pt">
            <v:imagedata r:id="rId703" o:title=""/>
          </v:shape>
        </w:pict>
      </w:r>
      <w:r>
        <w:pict>
          <v:shape id="_x0000_i1212" type="#_x0000_t75" style="width:432.06pt;height:315.79pt">
            <v:imagedata r:id="rId704" o:title=""/>
          </v:shape>
        </w:pict>
      </w:r>
      <w:r>
        <w:pict>
          <v:shape id="_x0000_i1213" type="#_x0000_t75" style="width:432.06pt;height:327.8pt">
            <v:imagedata r:id="rId705" o:title=""/>
          </v:shape>
        </w:pict>
      </w:r>
      <w:r>
        <w:pict>
          <v:shape id="_x0000_i1214" type="#_x0000_t75" style="width:432.06pt;height:312.04pt">
            <v:imagedata r:id="rId706" o:title=""/>
          </v:shape>
        </w:pict>
      </w:r>
      <w:r>
        <w:pict>
          <v:shape id="_x0000_i1215" type="#_x0000_t75" style="width:432.06pt;height:324.05pt">
            <v:imagedata r:id="rId707" o:title=""/>
          </v:shape>
        </w:pict>
      </w:r>
      <w:r>
        <w:pict>
          <v:shape id="_x0000_i1216" type="#_x0000_t75" style="width:432.06pt;height:321.04pt">
            <v:imagedata r:id="rId708" o:title=""/>
          </v:shape>
        </w:pict>
      </w:r>
      <w:r>
        <w:pict>
          <v:shape id="_x0000_i1217" type="#_x0000_t75" style="width:432.06pt;height:301.54pt">
            <v:imagedata r:id="rId709" o:title=""/>
          </v:shape>
        </w:pict>
      </w:r>
      <w:r>
        <w:pict>
          <v:shape id="_x0000_i1218" type="#_x0000_t75" style="width:432.06pt;height:313.54pt">
            <v:imagedata r:id="rId710" o:title=""/>
          </v:shape>
        </w:pict>
      </w:r>
      <w:r>
        <w:pict>
          <v:shape id="_x0000_i1219" type="#_x0000_t75" style="width:432.06pt;height:318.04pt">
            <v:imagedata r:id="rId711" o:title=""/>
          </v:shape>
        </w:pict>
      </w:r>
      <w:r>
        <w:pict>
          <v:shape id="_x0000_i1220" type="#_x0000_t75" style="width:432.06pt;height:310.54pt">
            <v:imagedata r:id="rId712" o:title=""/>
          </v:shape>
        </w:pict>
      </w:r>
      <w:r>
        <w:pict>
          <v:shape id="_x0000_i1221" type="#_x0000_t75" style="width:432.06pt;height:321.04pt">
            <v:imagedata r:id="rId713" o:title=""/>
          </v:shape>
        </w:pict>
      </w:r>
      <w:r>
        <w:pict>
          <v:shape id="_x0000_i1222" type="#_x0000_t75" style="width:432.06pt;height:315.04pt">
            <v:imagedata r:id="rId714" o:title=""/>
          </v:shape>
        </w:pict>
      </w:r>
      <w:r>
        <w:pict>
          <v:shape id="_x0000_i1223" type="#_x0000_t75" style="width:432.06pt;height:320.29pt">
            <v:imagedata r:id="rId715" o:title=""/>
          </v:shape>
        </w:pict>
      </w:r>
      <w:r>
        <w:pict>
          <v:shape id="_x0000_i1224" type="#_x0000_t75" style="width:432.06pt;height:309.04pt">
            <v:imagedata r:id="rId716" o:title=""/>
          </v:shape>
        </w:pict>
      </w:r>
      <w:r>
        <w:pict>
          <v:shape id="_x0000_i1225" type="#_x0000_t75" style="width:432.06pt;height:319.54pt">
            <v:imagedata r:id="rId717" o:title=""/>
          </v:shape>
        </w:pict>
      </w:r>
      <w:r>
        <w:pict>
          <v:shape id="_x0000_i1226" type="#_x0000_t75" style="width:432.06pt;height:305.29pt">
            <v:imagedata r:id="rId718" o:title=""/>
          </v:shape>
        </w:pict>
      </w:r>
      <w:r>
        <w:pict>
          <v:shape id="_x0000_i1227" type="#_x0000_t75" style="width:432.06pt;height:320.29pt">
            <v:imagedata r:id="rId719" o:title=""/>
          </v:shape>
        </w:pict>
      </w:r>
      <w:r>
        <w:pict>
          <v:shape id="_x0000_i1228" type="#_x0000_t75" style="width:432.06pt;height:304.54pt">
            <v:imagedata r:id="rId720" o:title=""/>
          </v:shape>
        </w:pict>
      </w:r>
      <w:r>
        <w:pict>
          <v:shape id="_x0000_i1229" type="#_x0000_t75" style="width:432.06pt;height:123.02pt">
            <v:imagedata r:id="rId721" o:title=""/>
          </v:shape>
        </w:pic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0"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Grant v. Warman, [2008] B.C.J. No. 2360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Courtenay,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19-20,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S7279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Campbell River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2360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1662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52 M.P.L.R. (4th) 127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2610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173 A.C.W.S. (3d) 318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Forrest Grant and Sandra Ann Doran, Plaintiffs, and Marvin Paul Warman, Joyce Vernille Warman, Regional District of Comox Strathcona, Vancouver Island Health Authority, Douglas John Peters dba Doug Peters Excavating and/or Doug Peters Excavating Ltd., Quadrate Ventures Ltd., Ronald McMurtrie, Steven Carballeira, and/or H2O Environmental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1"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2" w:name="Keywords_36"/>
      <w:bookmarkEnd w:id="242"/>
      <w:r>
        <w:rPr>
          <w:rFonts w:ascii="arial" w:eastAsia="arial" w:hAnsi="arial" w:cs="arial"/>
          <w:b/>
          <w:color w:val="000000"/>
          <w:sz w:val="20"/>
          <w:lang w:val="en-US" w:eastAsia="en-US" w:bidi="ar-SA"/>
        </w:rPr>
        <w:t>Civil litigation — Civil procedure — Judgments and orders — Summary judgments — To dismiss action — Motions by the defendants in an action for interference with enjoyment of property for orders that the plaintiffs' claims against them be dismissed allowed in part — Motion by individual defendants dismissed — The existence of a duty of care, whether there had been a breach of that duty, and, if so, what damages arose from that, all remained in issue — Motion by institutional defendant allowed — The claim against it was bound to lose.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3" w:name="Case Summary_30"/>
            <w:bookmarkEnd w:id="2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Motions by the defendants, Marvin Paul Warman and Joyce Vernille Warman, and Vancouver Island Health Authority for orders that the plaintiffs' claims against them be dismissed. The plaintiffs sought damages for reduced enjoyment of their property due to the placement of sewage treatment facilities on the adjacent property and the reduced view due to the placement of a deck. The plaintiff alleged that the Authority was negligent in issuing the permit for the sewage system. The defendants argued that the plaintiffs were bound to lose based on lack of evidence.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4" w:name="Holdings of Court_26"/>
            <w:bookmarkEnd w:id="244"/>
            <w:r>
              <w:rPr>
                <w:rFonts w:ascii="arial" w:eastAsia="arial" w:hAnsi="arial" w:cs="arial"/>
                <w:color w:val="000000"/>
                <w:sz w:val="20"/>
                <w:lang w:val="en-US" w:eastAsia="en-US" w:bidi="ar-SA"/>
              </w:rPr>
              <w:t>HELD: Motion by the defendants Marvin Paul Warman and Joyce Vernille Warman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Motion by the defendant Authority allowed. It could not be said that the plaintiffs were bound to lose with respect to the claims against the Warmans. The existence of a duty of care, whether there had been a breach of that duty, and, if so, what damages arose from that, all remained in issue. There was no evidence that the sewage system was not built according to standards, nor that it was the cause of, or is contributing to, a health hazard. The claim against the Authority was bound to lose.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5" w:name="Legislation Cited_29"/>
      <w:bookmarkEnd w:id="2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2"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Supreme Court Rules, B.C. Reg. 221/90, Rule 18A, Rule 18(6), Rule 19(24)(a), Rule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Health Act, </w:t>
      </w:r>
      <w:r>
        <w:rPr>
          <w:rFonts w:ascii="arial" w:eastAsia="arial" w:hAnsi="arial" w:cs="arial"/>
          <w:i/>
          <w:color w:val="000000"/>
          <w:sz w:val="20"/>
          <w:lang w:val="en-US" w:eastAsia="en-US" w:bidi="ar-SA"/>
        </w:rPr>
        <w:t>RSBC 1996, CHAPTER 179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Sewage Disposal Regulations, </w:t>
      </w:r>
      <w:hyperlink r:id="rId729" w:history="1">
        <w:r>
          <w:rPr>
            <w:rFonts w:ascii="arial" w:eastAsia="arial" w:hAnsi="arial" w:cs="arial"/>
            <w:i/>
            <w:color w:val="0077CC"/>
            <w:sz w:val="20"/>
            <w:u w:val="single"/>
            <w:shd w:val="clear" w:color="auto" w:fill="FFFFFF"/>
            <w:lang w:val="en-US" w:eastAsia="en-US" w:bidi="ar-SA"/>
          </w:rPr>
          <w:t>B.C. Reg. 411/85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Sewerage System Regulation, </w:t>
      </w:r>
      <w:hyperlink r:id="rId730" w:history="1">
        <w:r>
          <w:rPr>
            <w:rFonts w:ascii="arial" w:eastAsia="arial" w:hAnsi="arial" w:cs="arial"/>
            <w:i/>
            <w:color w:val="0077CC"/>
            <w:sz w:val="20"/>
            <w:u w:val="single"/>
            <w:shd w:val="clear" w:color="auto" w:fill="FFFFFF"/>
            <w:lang w:val="en-US" w:eastAsia="en-US" w:bidi="ar-SA"/>
          </w:rPr>
          <w:t>B.C. Reg. 326/2004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6" w:name="Counsel_36"/>
      <w:bookmarkEnd w:id="2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3"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John Grant appeared in person and on behalf of Sandra Doran.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Marvin Warman and Joyce Warman: R.G.R. Bush.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Vancouver Island Health Authority: E. Stanger.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7" w:name="Judgment_36"/>
      <w:bookmarkEnd w:id="247"/>
      <w:r>
        <w:pict>
          <v:line id="_x0000_s1234"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8" w:name="A.F. WILSON J."/>
            <w:bookmarkEnd w:id="248"/>
            <w:r>
              <w:rPr>
                <w:rFonts w:ascii="arial" w:eastAsia="arial" w:hAnsi="arial" w:cs="arial"/>
                <w:b/>
                <w:color w:val="000000"/>
                <w:sz w:val="30"/>
                <w:lang w:val="en-US" w:eastAsia="en-US" w:bidi="ar-SA"/>
              </w:rPr>
              <w:t>A.F. WILSON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Each of the defendants, Marvin Paul Warman and Joyce Vernille Warman, and Vancouver Island Health Authority have filed Notices of Motion seeking orders that the plaintiffs' claims against them be dismissed, with costs, pursuant to Rules 18 and 57. Regional District of Comox Strathcona is represented by counsel who did not appear, as it takes no position on the applications. Mr. Grant, who is a lawyer, advises that none of the other named defendants have been served, and that the Writ has 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Preliminary Objections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Grant raised two objections to the defendants' applications for summary dismissal pursuant to Rule 18(6):</w:t>
      </w:r>
      <w:r>
        <w:rPr>
          <w:rFonts w:ascii="arial" w:eastAsia="arial" w:hAnsi="arial" w:cs="arial"/>
          <w:sz w:val="20"/>
          <w:lang w:val="en-US" w:eastAsia="en-US" w:bidi="ar-SA"/>
        </w:rPr>
        <w:cr/>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volume of the materials, the complexity of the issues raised, and the necessary research for, and writing of a decision on, an application such as this places it beyond the scope of the rule, relying on </w:t>
      </w:r>
      <w:r>
        <w:rPr>
          <w:rFonts w:ascii="arial" w:eastAsia="arial" w:hAnsi="arial" w:cs="arial"/>
          <w:b/>
          <w:i/>
          <w:color w:val="000000"/>
          <w:sz w:val="20"/>
          <w:lang w:val="en-US" w:eastAsia="en-US" w:bidi="ar-SA"/>
        </w:rPr>
        <w:t>Chu v. Chun</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22 C.P.C. (5th) 73</w:t>
        </w:r>
      </w:hyperlink>
      <w:r>
        <w:rPr>
          <w:rFonts w:ascii="arial" w:eastAsia="arial" w:hAnsi="arial" w:cs="arial"/>
          <w:color w:val="000000"/>
          <w:sz w:val="20"/>
          <w:lang w:val="en-US" w:eastAsia="en-US" w:bidi="ar-SA"/>
        </w:rPr>
        <w:t xml:space="preserve"> (BCSC);</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each of the defendants have failed, or refused to provide, representatives for the purposes of examination for discovery, relying on the statement in </w:t>
      </w:r>
      <w:r>
        <w:rPr>
          <w:rFonts w:ascii="arial" w:eastAsia="arial" w:hAnsi="arial" w:cs="arial"/>
          <w:b/>
          <w:i/>
          <w:color w:val="000000"/>
          <w:sz w:val="20"/>
          <w:lang w:val="en-US" w:eastAsia="en-US" w:bidi="ar-SA"/>
        </w:rPr>
        <w:t>Anglo-Canadian Shipping Co. v. Pulp, Paper and Woodworkers of Canada</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(1988) 11 A.C.W.S. (3d) 252</w:t>
        </w:r>
      </w:hyperlink>
      <w:r>
        <w:rPr>
          <w:rFonts w:ascii="arial" w:eastAsia="arial" w:hAnsi="arial" w:cs="arial"/>
          <w:color w:val="000000"/>
          <w:sz w:val="20"/>
          <w:lang w:val="en-US" w:eastAsia="en-US" w:bidi="ar-SA"/>
        </w:rPr>
        <w:t xml:space="preserve"> (BCCA) that on an application under Rule 18A the applicant party should complete as many of the pre-trial procedures as are necessary to put him in the best mastery of the facts as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oral reasons I dismissed those applications, on the basis that the cases relied on related to applications under Rule 18A, and were not applicable to an application under Rule 18(6). I also determined that the bulk of the material on this application is not unusual, and not inappropriate to be dealt with on summary application. I also determine that, unlike an application under Rule 18A, an application for summary dismissal should be brought as soon as possible, to minimize the costs involved. I thus dismissed the preliminary objections.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Background Facts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Grant and Ms. Doran purchased waterfront property at 815 Noble Road, on Quadra Island, with legal description Lot 21, District Lot 134, Plan 24902, Sayward District, ("Lot 21") in 1996. At that time, the lot, Lot 22, to the north of them was in a naturally treed state. Lot 22 was owned at that time by John Romer.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2004, Mr. Romer applied to the Vancouver Island Health Authority (V.I.H.A.) Environmental Health office for a permit to construct a domestic sewage system. At that time, construction of a sewage disposal system was governed under the Sewage Disposal Regulations, </w:t>
      </w:r>
      <w:hyperlink r:id="rId729" w:history="1">
        <w:r>
          <w:rPr>
            <w:rFonts w:ascii="arial" w:eastAsia="arial" w:hAnsi="arial" w:cs="arial"/>
            <w:i/>
            <w:color w:val="0077CC"/>
            <w:sz w:val="20"/>
            <w:u w:val="single"/>
            <w:shd w:val="clear" w:color="auto" w:fill="FFFFFF"/>
            <w:lang w:val="en-US" w:eastAsia="en-US" w:bidi="ar-SA"/>
          </w:rPr>
          <w:t>B.C.Reg. 411/85</w:t>
        </w:r>
      </w:hyperlink>
      <w:r>
        <w:rPr>
          <w:rFonts w:ascii="arial" w:eastAsia="arial" w:hAnsi="arial" w:cs="arial"/>
          <w:color w:val="000000"/>
          <w:sz w:val="20"/>
          <w:lang w:val="en-US" w:eastAsia="en-US" w:bidi="ar-SA"/>
        </w:rPr>
        <w:t xml:space="preserve"> pursuant to the </w:t>
      </w:r>
      <w:r>
        <w:rPr>
          <w:rFonts w:ascii="arial" w:eastAsia="arial" w:hAnsi="arial" w:cs="arial"/>
          <w:b/>
          <w:i/>
          <w:color w:val="000000"/>
          <w:sz w:val="20"/>
          <w:lang w:val="en-US" w:eastAsia="en-US" w:bidi="ar-SA"/>
        </w:rPr>
        <w:t>Health Act</w:t>
      </w:r>
      <w:r>
        <w:rPr>
          <w:rFonts w:ascii="arial" w:eastAsia="arial" w:hAnsi="arial" w:cs="arial"/>
          <w:color w:val="000000"/>
          <w:sz w:val="20"/>
          <w:lang w:val="en-US" w:eastAsia="en-US" w:bidi="ar-SA"/>
        </w:rPr>
        <w:t>. Under those regulations, it was the responsibility of the local board, in this case V.I.H.A., to ensure that the sewage disposal system was built in accordance with the requirement of the Regulations. On August 11, 2004, V.I.H.A. received an application from Doug Peters Excavating Ltd., on behalf of Mr. Romer, for the installation of a type 2 sewage system. Ms. MacKinnon, the environmental health officer employed by V.I.H.A. attended at the site and conducted an inspection. As a result, the permit for the sewage system was not issued. However, after further inspections of the site a number of conditions were placed on the proposed sewage system including that there be a survey and drawing of the proposed system. That was done, and on April 29, 2005, the permit was issued to Mr. Romer for the construction of the sewage system. However, because V.I.H.A. was aware that a new regulation regarding sewage systems was going to come into effect on May 31, 2005, the permit expired on May 30, 2005. No construction of the sewage disposal system on Lot 22 had been done by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Under the new Sewerage System Regulation, </w:t>
      </w:r>
      <w:hyperlink r:id="rId730" w:history="1">
        <w:r>
          <w:rPr>
            <w:rFonts w:ascii="arial" w:eastAsia="arial" w:hAnsi="arial" w:cs="arial"/>
            <w:i/>
            <w:color w:val="0077CC"/>
            <w:sz w:val="20"/>
            <w:u w:val="single"/>
            <w:shd w:val="clear" w:color="auto" w:fill="FFFFFF"/>
            <w:lang w:val="en-US" w:eastAsia="en-US" w:bidi="ar-SA"/>
          </w:rPr>
          <w:t>B.C.Reg. 326/2004</w:t>
        </w:r>
      </w:hyperlink>
      <w:r>
        <w:rPr>
          <w:rFonts w:ascii="arial" w:eastAsia="arial" w:hAnsi="arial" w:cs="arial"/>
          <w:color w:val="000000"/>
          <w:sz w:val="20"/>
          <w:lang w:val="en-US" w:eastAsia="en-US" w:bidi="ar-SA"/>
        </w:rPr>
        <w:t>, the responsibility of the local health authority was changed. Rather than the health authority being responsible to ensure compliance with the requirements for a sewage system, a system was adopted such that before construction of a sewage system, an authorized person, such as a professional engineer, was required to file information with the health authority regarding the proposed sewage system, including the plans and specifications of it, and written assurance that the plans and specifications were consistent with standard practice: Sewerage System Regulation,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August, 1995, Mr. and Mrs. Warman purchased Lot 22 from Mr. Romer. Ms. Warman says in paragraph 2 of her affidavit sworn October 10, 2008, that it was their plan when they purchased the property to construct a seasonal dwelling. Subsequently, Mr. Warman has indicated to Mr. Grant the intention of Warmans to retire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Warmans did retain Ronald McMurtrie, a professional engineer who is an "authorized person under the Sewerage System Regulations", to design a sewage system. He retained a hydrogeologist, Steven Carballeira, to investigate the hydrogeologic flow on Lot 22. Mr. Carballeira noted that there was little soil within the shallow bedrock basin to treat effluent, and that the lot was sloped to the west and south, where there is a cliff face. He concluded that the water would flow predominantly downwards through the bedrock formation and associated soils, but did not determine the ultimate destination of the flow, considering that outside the scope of his investigation. He thus recommended a type 3 treatment plant, a superior system in terms of the level of the treatment to the type 2 system proposed by Mr. Peters. On November 3, 2005, Mr. McMurtrie filed the necessary application for the new sewage system, indicating that he had designed it and would oversee its construction. The sewage systems specifications and the report of Mr. Carballeira were part of that application. However, because of the change in the regulations, V.I.H.A. did nothing to determine the suitability or siting of that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spring of 2006, Mr. Grant and Ms. Doran were away on holidays. They arrived home to find a new house substantially constructed on Lot 22, sited considerably further forward on the property than their house or the house of the neighbour on the other house of the Warmans, Mr. Buchannan. The house substantially obstructed their view of Discovery Passage. Further, the septic tank was in the side yard between the Warman's house and the Grant/Doran house. Apart from their view being partially blocked, reducing the enjoyment of their deck, Mr. Grant and Ms. Doran have had a number of other complaints. They relate to smells and noises emanating from the sewage system, pipes protruding from the ground (which have since been cut off); noise and dust from a children's play area; and noise from a heating pump. Although some of those complaints have been mitigated by cutting off the protruding pipes and Mr. Grant and Ms. Doran putting up lattice work and planting cypress, a number of the complaints are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Grant did write to V.I.H.A. setting out a number of these complaints by letter received by V.I.H.A. on April 26, 2006. The representative of V.I.H.A. responded by letter dated April 27, 2006, taking the position that that office is now "a filing repository and not an approval agency", that if there were any concerns with the design of the sewage system, they should be taken up with Mr. McMurtrie. That is the basis of the position of V.I.H.A.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allegations in the Statement of Claim against the Warmans, apart from paragraph 2 identifying them as residents of Burbank California, but also resident from time to time in their dwelling on Lot 22 are as follows: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the 29th day of August, 2005 (hereinafter "the Acquisition Date"), the defendant's lands were acquired by the defendants Warman, with full knowledge of the unsuitability of those lands for any active or residential usage producing septic wastes, by reason of inadequate undisturbed native soil for septic effluent disposal on and within the boundaries of the lands as required by the Former Regulation.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knowledge was held by the defendants Warman prior to the acquisition date, as early as August, 2004, when, with permission of the prior owner of the defendant's lands, the defendants Warman engaged the defendants Doug Peters Excavating Ltd., and/or Douglas John Peters (collectively hereinafter called "Peters") to make a further attempt to locate an area of adequate undisturbed native soil to permit the placement of a conventional septic sewage tank and dispersal field under the Former Regulation, on the defendant's lands.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Peters performed perfunctory tests, by digging holes in the defendant's lands, which proved, as a number of such efforts in the past, that the defendant's lands contained insufficient native soil to permit the installation of a conventional septic effluent processing field, under the then regulation of the province of British Columbia pursuant to the </w:t>
      </w:r>
      <w:r>
        <w:rPr>
          <w:rFonts w:ascii="arial" w:eastAsia="arial" w:hAnsi="arial" w:cs="arial"/>
          <w:b/>
          <w:i/>
          <w:color w:val="000000"/>
          <w:sz w:val="20"/>
          <w:lang w:val="en-US" w:eastAsia="en-US" w:bidi="ar-SA"/>
        </w:rPr>
        <w:t>Health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Ch. 179</w:t>
      </w:r>
      <w:r>
        <w:rPr>
          <w:rFonts w:ascii="arial" w:eastAsia="arial" w:hAnsi="arial" w:cs="arial"/>
          <w:color w:val="000000"/>
          <w:sz w:val="20"/>
          <w:lang w:val="en-US" w:eastAsia="en-US" w:bidi="ar-SA"/>
        </w:rPr>
        <w:t>, as amended (herein called the "Former Regulation"), of which result he advised the defendants Warman.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request of the defendants Warman, but in the name of a former owner, John Romer, Peters applied to the defendant Vancouver Island Health Authority (hereinafter "the Authority"), for a permit to construct an alternate septic effluent disposal tank and field on the defendant's lands under the Former Regulation (hereinafter called "the First Permit").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Peters accordingly made application to the defendant Authority on or about the 11th August, 2004 for the First Permit (hereinafter "the First Application"), in the name of the former owner of the defendant's lands, described as John Romer, indicating in such application that the approval sought, under the Former Regulation, was for an alternative system of septic effluent disposal, including use of raised mounds, a Whitewater tank, and 220 feet of PVC field dispersal pipes. The application delineated a three-bedroom house of unstated total living area, and 300 gallons per day maximum septic sewage outflow.</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did the defendant Peters post notice of the First Application on the defendant's lands, as he then well knew was required by the Former Regulation in such applications, which failure was either negligent, or intended by the defendant Peters to suppress knowledge by neighbours of the defendant's lands, including the plaintiffs, of the defendant Warman's intentions as to the development of their lands, and in either event, his failure had that effect. The plaintiffs took issue with the defendant Authority over the failure of the defendant Peters to post the defendant's lands, which failure, and the delay or prevarication of the defendant Authority in replying put the plaintiffs beyond the time limit contained in the Former Regulation for appeal from any grant of permit there under. The defendant Authority ignored the plaintiff's complaint in that regard, as virtually all other attempts by the plaintiffs to obtain information, or input in the matter of the grant of the First Permit, until the Warman's new house, and the system were virtually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alleging in paragraph 17 and 18 that V.I.H.A. knew of the condition of the lands: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Warman then instructed the defendant Peters to proceed with such investigations. The defendant Peters performed more surficial investigations in an attempt to meet the defendant Authority's requirements - digging two further holes in the defendant's lands, and reported to the defendant Authority that the holes demonstrated soil and percolation to meet the defendant Authority's requirements, which were negligently or carelessly accepted by the defendant Authority as complying the with the Authority's requirements, which they did not.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Warman, in pursuing and completing (or in authorizing those actions by or through the defendant Quadrate on their behalves) the construction of the Warman's new house on their lands, pursuant to the Siting Permit created a nuisance or nuisances affecting the plaintiff's and their lands, and in particular:</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Constructed their house in such a way as to obstruct and interfere unreasonably with the right of the plaintiffs and their home to light;</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Installed or constructed the system in such a way as to create a positive nuisance including noises, smell, malfunction alarms and other effects yet to be experienced by the plaintiffs, in the plaintiffs' use and enjoyment of their home and lands.</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Constructed a dwelling containing four bedrooms, three bathrooms, and otherwise both larger and more intrusive than indicated within the siting application and approval.</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Placed a children's play area immediately adjacent to the common boundary, and the plaintiff's living quarters and sundeck, which contains swings, a slide and other apparata for children's use, which use creates excessive noise and dust.</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Placed a large electro-mechanical heat pump, with fan and compressor which operate intermittently, immediately at or in close proximity to the plaintiff's sundeck without sound shielding of any kind.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of which results were, or should have been known to the defendants Warman and/or Quadrate, and intended to be likely results of the placement and construction of the defendant Warman's new house and the system on the defendant's lands.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jointly and severally liable to the plaintiffs for any and all damages, losses, costs, expenses and otherwise suffered or incurred by the plaintiffs as the result of the actions of them, and each of their respective contributions to, in or about the system and the Warmans' new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relief claimed against the Warmans is as follows: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Warmans' new house is a nuisance to the plaintiffs and their use and enjoyment of their home and their lands;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both general and special against the defendants Warman for nuisance, both positive and negative, and for remediative costs incurred or to be incurred by the plaintiffs to reduce the impacts of the defendant's nuisances such as are proved at trial of the action herein;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Interim and permanent injunctive relief against the defendants on their lands that may enhance, augment, expand or continue the nuisances created by their system and their new house;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Certificate of Pending Litigation against the Warman's land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on a scale as to the court shall seem appropriate against all of the defendants, in accordance with the court's view of their respective contributions and liabilities;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to the court shall seem appropriate in all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Paragraph 4 of the Statement of Claim refers to V.I.H.A. as the health authority created by the government of British Columbia with jurisdiction in the area of the lands as to the approval of the location and placement of the sewage treatment facilities. The Statement of Claim further alleges: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authority delayed the grant the first permit following an onsite assessment of the defendant's lands, for reasons or concerns expressed as:</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Possibility of underlying bedrock causing ponding during wet season; and</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History of surrounding properties having a high water table.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Which concerns were realistic and reasonable (hereinafter called "the concerns"). The defendant authority further instructed the defendant Peters, in response to the first application, as to what specific requirements would have to be met by the defendants Warman in order to obtain a permit construct a complying sewerage system on their lands, including 18 inches of demonstrable undisturbed native soil above the highest reasonable water table, as well as certain expert investigations that would be required to meet those concerns (hereinafter the authority's requirements").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authority, at the time of such decision, well knew of the condition of the defendant's lands, having had prior applications from former owners of the defendant's lands for such permission over the years since it approved the subdivision in which the plaintiffs' and defendant's are located, as well as other lands above that subdivision, which were declined or conditioned for the same or similar concerns.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their prior experience with the defendant's lands, and the surrounding neighbourhood, the defendant authority, in the grant of the first permit negligently authorized the construction of a sewage treatment facility on the defendant's lands, over the plaintiffs' objections, authorizing the use of fill from other sources to a depth of 30 inches (hereinafter called "the fill"), contrary to the former regulation, additional to the 12 inches of undisturbed native soil reported to them by the defendant Peters, to augment what they knew or ought to have known from their site inspection(s) was still likely to be insufficient undisturbed native soil on the defendants lands, which is a small lot, bordered by the tidal waters of Discovery Passage, and composed largely of friable and/or porous rock.</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authority issued the first permit to the defendant Peters on or about the 29th April, 2005. The first permit was subject to the conditions of the defendant authority's initial requirements stated within its preliminary instructions, intended to address the concerns. The first permit was negligently inconsistent with those instructions in that it (a) permitted the defendants Warman to construct a sewerage system with only 12 inches of undisturbed native soil, contrary to the former regulation, (b) failed to account for both the topography of the defendant's lands, which slope in downward, or southerly direction toward and onto the plaintiffs' lands, and (c) failed to be concerned about, or to restrict the amount of fill that the said defendants could place on the defendant's lands to complete the effluent dispersal field within their sewerage system, also contrary to the former regulation.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area of the defendant's lands authorized for use in the construction or placement of the sewerage system by the first permit was confined to a space not less than ten feet from the common boundary of the defendant's lands and the plaintiffs' lands (hereinafter "the authorized area"), and with all associated apparata within an envelope between the proposed dwelling and Noble Road. Notwithstanding the downward slope on the defendant's lands toward the plaintiffs' lands, the defendant authority required the defendants Warman to construct a "retaining wall" at the highest point of the authorized area toward the opposite, or northerly boundary of the defendant's lands.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authority negligently approved the second application, ignoring both the different data, and the placement of the system components in the area formerly not approved in the first permit by them, the terrain or topography of the defendant's lands and the plaintiffs' lands, the proximity to the system of the plaintiffs' dwelling on their lands, knowing from their earlier inspection of the defendant's lands that those would be and become increasingly a nuisance to the plaintiffs in their use and enjoyment of their lands.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authority has not provided to the plaintiff, notwithstanding a request to them for full details of the applications for the first and second permits, pursuant to the </w:t>
      </w:r>
      <w:r>
        <w:rPr>
          <w:rFonts w:ascii="arial" w:eastAsia="arial" w:hAnsi="arial" w:cs="arial"/>
          <w:b/>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Ch. 165</w:t>
      </w:r>
      <w:r>
        <w:rPr>
          <w:rFonts w:ascii="arial" w:eastAsia="arial" w:hAnsi="arial" w:cs="arial"/>
          <w:color w:val="000000"/>
          <w:sz w:val="20"/>
          <w:lang w:val="en-US" w:eastAsia="en-US" w:bidi="ar-SA"/>
        </w:rPr>
        <w:t xml:space="preserve"> as amended, with all documents in their possession concerning all applications to that defendant in relation to proposed sewerage systems on the defendant's lands and the plaintiffs do not therefore know when the second permit was granted. The defendants Warman, with the assistance of the defendant Peters, and Quadrate Ventures Ltd. had, however, before the 3rd November, 2005, when the second application was formally received by the defendant authority, commenced to clear all vegetation save two immature Douglas Fir trees, and all other flora from the defendant's lot, and place substantial quantities of fill, rock retaining walls of 2 metres in height, and foundations for the dwelling thereon, in preparation for construction of both the system, and the new dwelling for the defendants Warman (herein called "Warmans' new 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jointly and severally liable to the plaintiffs for any and all damages, losses, costs, expenses and otherwise suffered or incurred by the plaintiffs as the result of the actions of them, and each of their respective contributions to, in or about the system and the Warmans' new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relief claimed against V.I.H.A. is as follows:</w:t>
      </w:r>
      <w:r>
        <w:rPr>
          <w:rFonts w:ascii="arial" w:eastAsia="arial" w:hAnsi="arial" w:cs="arial"/>
          <w:sz w:val="20"/>
          <w:lang w:val="en-US" w:eastAsia="en-US" w:bidi="ar-SA"/>
        </w:rPr>
        <w:cr/>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against the defendant Authority ... for breach of their duty to be careful for the interests of the neighbourhood in which the defendant Warmans' lands are situate, and particularly the plaintiffs as abutting neighbours, in and about the second approval, and the sited permit, respectively.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on a scale as to the court shall seem appropriate against all of the defendants, in accordance with the court's view of their respective contributions and liabilities;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to the court shall seem appropriate in all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applications to dismiss the claims against the Warmans and V.I.H.A. are pursuant to Rule 18(6), which provides as follows:</w:t>
      </w:r>
      <w:r>
        <w:rPr>
          <w:rFonts w:ascii="arial" w:eastAsia="arial" w:hAnsi="arial" w:cs="arial"/>
          <w:sz w:val="20"/>
          <w:lang w:val="en-US" w:eastAsia="en-US" w:bidi="ar-SA"/>
        </w:rPr>
        <w:cr/>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in which an appearance has been entered, the defendant may, on the ground there is no merit in the whole or part of the claim, apply to the court for judgment on an affidavit setting out the facts verifying the defendant's contention that there is no merit in the whole or part of the claim and stating that the deponent knows of no facts which would substantiate the whole or part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There is no issue as between the parties as to the test to be applied in such an application. In </w:t>
      </w:r>
      <w:r>
        <w:rPr>
          <w:rFonts w:ascii="arial" w:eastAsia="arial" w:hAnsi="arial" w:cs="arial"/>
          <w:b/>
          <w:i/>
          <w:color w:val="000000"/>
          <w:sz w:val="20"/>
          <w:lang w:val="en-US" w:eastAsia="en-US" w:bidi="ar-SA"/>
        </w:rPr>
        <w:t>Pitt v. Holt</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2007 BCSC 1555</w:t>
        </w:r>
      </w:hyperlink>
      <w:r>
        <w:rPr>
          <w:rFonts w:ascii="arial" w:eastAsia="arial" w:hAnsi="arial" w:cs="arial"/>
          <w:color w:val="000000"/>
          <w:sz w:val="20"/>
          <w:lang w:val="en-US" w:eastAsia="en-US" w:bidi="ar-SA"/>
        </w:rPr>
        <w:t xml:space="preserve"> Cohen J. set out the test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On an application under Rule 18(6), the court may make an order for summary judgment in favour of a defendant dismissing an action only where a plaintiff is "bound to lose". Another way of stating the test is whether there is a bona fide triable issue to be determined: </w:t>
      </w:r>
      <w:r>
        <w:rPr>
          <w:rFonts w:ascii="arial" w:eastAsia="arial" w:hAnsi="arial" w:cs="arial"/>
          <w:b/>
          <w:i/>
          <w:color w:val="000000"/>
          <w:sz w:val="20"/>
          <w:lang w:val="en-US" w:eastAsia="en-US" w:bidi="ar-SA"/>
        </w:rPr>
        <w:t>Serup v. British Columbia School District No. 57</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(1989), 57 D.L.R. (4th) 261</w:t>
        </w:r>
      </w:hyperlink>
      <w:r>
        <w:rPr>
          <w:rFonts w:ascii="arial" w:eastAsia="arial" w:hAnsi="arial" w:cs="arial"/>
          <w:color w:val="000000"/>
          <w:sz w:val="20"/>
          <w:lang w:val="en-US" w:eastAsia="en-US" w:bidi="ar-SA"/>
        </w:rPr>
        <w:t xml:space="preserve"> (BCCA) at 264 </w:t>
      </w:r>
      <w:hyperlink r:id="rId734" w:history="1">
        <w:r>
          <w:rPr>
            <w:rFonts w:ascii="arial" w:eastAsia="arial" w:hAnsi="arial" w:cs="arial"/>
            <w:i/>
            <w:color w:val="0077CC"/>
            <w:sz w:val="20"/>
            <w:u w:val="single"/>
            <w:shd w:val="clear" w:color="auto" w:fill="FFFFFF"/>
            <w:lang w:val="en-US" w:eastAsia="en-US" w:bidi="ar-SA"/>
          </w:rPr>
          <w:t>(1989), 54 B.C.L.R. (2d) 258</w:t>
        </w:r>
      </w:hyperlink>
      <w:r>
        <w:rPr>
          <w:rFonts w:ascii="arial" w:eastAsia="arial" w:hAnsi="arial" w:cs="arial"/>
          <w:color w:val="000000"/>
          <w:sz w:val="20"/>
          <w:lang w:val="en-US" w:eastAsia="en-US" w:bidi="ar-SA"/>
        </w:rPr>
        <w:t xml:space="preserve"> (BCCA). In </w:t>
      </w:r>
      <w:r>
        <w:rPr>
          <w:rFonts w:ascii="arial" w:eastAsia="arial" w:hAnsi="arial" w:cs="arial"/>
          <w:b/>
          <w:i/>
          <w:color w:val="000000"/>
          <w:sz w:val="20"/>
          <w:lang w:val="en-US" w:eastAsia="en-US" w:bidi="ar-SA"/>
        </w:rPr>
        <w:t>Skybridge Investments Ltd. v. Metro Motors Ltd.</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61 B.C.L.R. (4th) 241</w:t>
        </w:r>
      </w:hyperlink>
      <w:r>
        <w:rPr>
          <w:rFonts w:ascii="arial" w:eastAsia="arial" w:hAnsi="arial" w:cs="arial"/>
          <w:color w:val="000000"/>
          <w:sz w:val="20"/>
          <w:lang w:val="en-US" w:eastAsia="en-US" w:bidi="ar-SA"/>
        </w:rPr>
        <w:t xml:space="preserve"> (BCCA), Thackray J.A. at paras. 10-13 states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judge hearing an application pursuant to Rule 18(6) must: examine the pleaded facts to determine which causes of action they may support; identify the essential elements required to be proved at trial in order to succeed on each cause of action; and determine if sufficient material facts have been pleaded to support each element of a given cause of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i/>
          <w:color w:val="000000"/>
          <w:sz w:val="20"/>
          <w:lang w:val="en-US" w:eastAsia="en-US" w:bidi="ar-SA"/>
        </w:rPr>
        <w:t>insufficient</w:t>
      </w:r>
      <w:r>
        <w:rPr>
          <w:rFonts w:ascii="arial" w:eastAsia="arial" w:hAnsi="arial" w:cs="arial"/>
          <w:color w:val="000000"/>
          <w:sz w:val="20"/>
          <w:lang w:val="en-US" w:eastAsia="en-US" w:bidi="ar-SA"/>
        </w:rPr>
        <w:t xml:space="preserve"> material facts have been pleaded to support every element of a cause of action, then beyond a doubt that cause of action is bound to fail and a defendant bringing an application pursuant to Rule 18(6) will have met the onus to negative the existence of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i/>
          <w:color w:val="000000"/>
          <w:sz w:val="20"/>
          <w:lang w:val="en-US" w:eastAsia="en-US" w:bidi="ar-SA"/>
        </w:rPr>
        <w:t>sufficient</w:t>
      </w:r>
      <w:r>
        <w:rPr>
          <w:rFonts w:ascii="arial" w:eastAsia="arial" w:hAnsi="arial" w:cs="arial"/>
          <w:color w:val="000000"/>
          <w:sz w:val="20"/>
          <w:lang w:val="en-US" w:eastAsia="en-US" w:bidi="ar-SA"/>
        </w:rPr>
        <w:t xml:space="preserve"> material facts have been pleaded to support every element of a cause of action, but one or more of those pleaded material facts are contested, then the judge ruling on a Rule 18(6) application is not to weigh the evidence to determine the issue of fact for the purpose of the application. The judge's function is limited to a determination as to whether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arises on the material before the court in the context of the applicable law. If a judge ruling on a Rule 18(6) application must assess and weight the evidence to arrive at a summary judgment, the "plain and obvious" or "beyond a doubt" test has not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That is consistent with the approach to striking out a claim under Rule 19(24)(a) on the basis that it discloses no reasonable claim, that such a claim will be struck out only if it is "plain and obvious" that the statement of claim discloses no reasonable cause of action: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(2003), 233 D.L.R. (4th) 193</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Claims Against V.I.H.A.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essence of the claims against V.I.H.A. are that, having knowledge of the condition of Lot 22 as the result of the investigation leading up to the issuance of the permit to Mr. Romer in 2004, V.I.H.A. was negligent in issuing the permit for the sewage system to the Warmans in 2005. I find that can be supported neither on the law nor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With respect to the law, I accept the propositions put forward by the counsel for V.I.H.A. They can be summarized as follows:</w:t>
      </w:r>
      <w:r>
        <w:rPr>
          <w:rFonts w:ascii="arial" w:eastAsia="arial" w:hAnsi="arial" w:cs="arial"/>
          <w:sz w:val="20"/>
          <w:lang w:val="en-US" w:eastAsia="en-US" w:bidi="ar-SA"/>
        </w:rPr>
        <w:cr/>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the Sewerage System Regulation, </w:t>
      </w:r>
      <w:hyperlink r:id="rId730" w:history="1">
        <w:r>
          <w:rPr>
            <w:rFonts w:ascii="arial" w:eastAsia="arial" w:hAnsi="arial" w:cs="arial"/>
            <w:i/>
            <w:color w:val="0077CC"/>
            <w:sz w:val="20"/>
            <w:u w:val="single"/>
            <w:shd w:val="clear" w:color="auto" w:fill="FFFFFF"/>
            <w:lang w:val="en-US" w:eastAsia="en-US" w:bidi="ar-SA"/>
          </w:rPr>
          <w:t>B.C. Reg. 326/2004</w:t>
        </w:r>
      </w:hyperlink>
      <w:r>
        <w:rPr>
          <w:rFonts w:ascii="arial" w:eastAsia="arial" w:hAnsi="arial" w:cs="arial"/>
          <w:color w:val="000000"/>
          <w:sz w:val="20"/>
          <w:lang w:val="en-US" w:eastAsia="en-US" w:bidi="ar-SA"/>
        </w:rPr>
        <w:t xml:space="preserve"> came into effect on May 31, 2005, the local authority no longer had a role in approving new sewage systems. Pursuant to s. 8 of that Regulation, its only role was to act as a filing repository for plans and specification of new sewage systems. The responsibility for ensuring that the sewage system is "consistent with standard practice" was shifted from the local health authority to "an authorized person". Only if there is a complaint that a sewage system is the cause of, or may be contributing to, a "health hazard", does the local health authority become involved in the inspection of a sewage system: Sewage System Regulation, s. 11. A "health hazard" is defined to include the discharge of domestic sewage or effluent into a source of drinking water, surface water, tidal waters, or a sewage system not capable of treating domestic sewage, and the discharge of domestic sewage or effluent onto land: Sewage System Regulation, s. 1. There is no evidence of such a health hazard in this case.</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local health authority no longer has responsibility for ensuring that new sewage systems meet the relevant standards, it has no power to restrict, prohibit, or set conditions on the construction of a sewage system.</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absence of any responsibility to ensure that a new sewage system does meet the requisite standards, and with no power to do so, the local health authority no longer has a duty of care to property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On a factual basis, the plaintiffs rely on the fact that V.I.H.A. was involved in the issuance of the permit in 2004 to Mr. Romer, including doing inspections of the property. They submit that gives rise to a duty of care to the neighbours of a property owner who subsequently puts in a different sewage system. However, the evidence is that V.I.H.A. did approve the 2004 system only after setting conditions on its construction, and more importantly, the 2004 permit expired without the construction of any sewage system. A new application was made in November, 2005, under the new Regulation, for an entirely different, and superior, type of system. By that time, under the Sewerage System Regulation, </w:t>
      </w:r>
      <w:hyperlink r:id="rId730" w:history="1">
        <w:r>
          <w:rPr>
            <w:rFonts w:ascii="arial" w:eastAsia="arial" w:hAnsi="arial" w:cs="arial"/>
            <w:i/>
            <w:color w:val="0077CC"/>
            <w:sz w:val="20"/>
            <w:u w:val="single"/>
            <w:shd w:val="clear" w:color="auto" w:fill="FFFFFF"/>
            <w:lang w:val="en-US" w:eastAsia="en-US" w:bidi="ar-SA"/>
          </w:rPr>
          <w:t>B.C.Reg. 326/2004</w:t>
        </w:r>
      </w:hyperlink>
      <w:r>
        <w:rPr>
          <w:rFonts w:ascii="arial" w:eastAsia="arial" w:hAnsi="arial" w:cs="arial"/>
          <w:color w:val="000000"/>
          <w:sz w:val="20"/>
          <w:lang w:val="en-US" w:eastAsia="en-US" w:bidi="ar-SA"/>
        </w:rPr>
        <w:t>, the only function of V.I.H.A. was as a repository for filing of the plans for the construction of the sewage system. There is thus no factual basis for an allegation that, even if V.I.H.A. had a duty of care, it was in breach of that duty. Finally, on a factual basis, there is no evidence of any damage arising to the plaintiffs as a result of any alleged breach of any alleged duty to them by V.I.H.A. Specifically, there is no evidence that the sewage system was not built according to standards, nor that it is the cause of, or is contributing to, a health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also allege liability on the part of V.I.H.A. in permitting a nuisance to be created on the Warman property, immediately adjacent to their home. However, again, there is no basis in either law or fact. V.I.H.A. cannot be held liable for permitting a nuisance to be created on the Warman property when it had no responsibility with respect to the type of sewage system installed, or any power in any way to restrict, or place conditions upon, that installation. It is thus not the responsibility of V.I.H.A., for example, to examine the two applications to see whether there were differences as to the stated condition of the Warman property, or whether effluent would flow onto the plaintiffs' property as the result of the slope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Counsel for the plaintiff relied on </w:t>
      </w:r>
      <w:r>
        <w:rPr>
          <w:rFonts w:ascii="arial" w:eastAsia="arial" w:hAnsi="arial" w:cs="arial"/>
          <w:b/>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and </w:t>
      </w:r>
      <w:r>
        <w:rPr>
          <w:rFonts w:ascii="arial" w:eastAsia="arial" w:hAnsi="arial" w:cs="arial"/>
          <w:b/>
          <w:i/>
          <w:color w:val="000000"/>
          <w:sz w:val="20"/>
          <w:lang w:val="en-US" w:eastAsia="en-US" w:bidi="ar-SA"/>
        </w:rPr>
        <w:t>Kamloops (City) v. Nielsen</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as authority for the proposition that knowledge on the part of V.I.H.A. of the condition of the land, such that it placed conditions on the granting of the 2004 permit, gives rise to a duty of care to ensure that a potentially damaging condition does not occur. Those cases do set out the bases for liability of municipal corporations, which would also be applicable to V.I.H.A. Those cases have been considered in many subsequent cases, including </w:t>
      </w:r>
      <w:r>
        <w:rPr>
          <w:rFonts w:ascii="arial" w:eastAsia="arial" w:hAnsi="arial" w:cs="arial"/>
          <w:b/>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In that case, the court noted that the existence of a duty of care must be determined in accordance with a two-step analysis. The first stage of analysis is an inquiry as to whether there is a sufficiently close relationship between the plaintiff and the defendant such that the defendant owes the plaintiff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The court noted, at paragraphs 50 and 51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essential purpose of the inquiry is to evaluate the nature of that relationship in order to determine whether it is just and fair to impose a duty of care on the defendant. The factors that are relevant to this inquiry depend on the circumstances of the case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second stage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requires the trial judge to consider whether there is any residual policy considerations that ought negative or reduce the scope of the duty or the class of persons to whom it is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Thus, in </w:t>
      </w:r>
      <w:r>
        <w:rPr>
          <w:rFonts w:ascii="arial" w:eastAsia="arial" w:hAnsi="arial" w:cs="arial"/>
          <w:b/>
          <w:i/>
          <w:color w:val="000000"/>
          <w:sz w:val="20"/>
          <w:lang w:val="en-US" w:eastAsia="en-US" w:bidi="ar-SA"/>
        </w:rPr>
        <w:t>Kamloops v. Nielsen</w:t>
      </w:r>
      <w:r>
        <w:rPr>
          <w:rFonts w:ascii="arial" w:eastAsia="arial" w:hAnsi="arial" w:cs="arial"/>
          <w:color w:val="000000"/>
          <w:sz w:val="20"/>
          <w:lang w:val="en-US" w:eastAsia="en-US" w:bidi="ar-SA"/>
        </w:rPr>
        <w:t>, the decision upholding liability on the part of the City was based on the fact that Kamloops made a policy decision to regulate construction by bylaw, and charged its building inspector with the enforcement of the bylaw. The court held that in discharging this operational duty the City owed a duty of care to persons whose relationship was sufficiently close that they ought to have been reasonably within its contemplation as likely to be injured by a breach of its duty. The court drew a distinction between the discharge of an operations duty, for which the City was liable, and purely policy decisions, for which it would not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this case, with enactment of the Sewerage System Regulation in 2005, a policy decision was made by the provincial government that local health authorities were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to regulate construction of sewage systems. There was thus no "operational duty" giving rise to a duty of care to persons such as the plaintiffs. Further, applying the second stage of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the enactment of the Sewerage System Regulation indicates a policy decision to negative or reduce the scope of the duty the local health authority had under the previous regulations. There is thus no basis for liability on either branch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all of the circumstances, I find that if the claim against V.I.H.A. were pursued, it would be "bound to lose" at trial. The claims of the plaintiffs against V.I.H.A. are thus dismissed. As V.I.H.A. has been successful in this application, it will be entitled to costs of the proceeding, including this application,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Claims against the Warmans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claims against the Warmans, for both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are considerably less clear, both on the law and on the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Law</w:t>
      </w:r>
      <w:r>
        <w:rPr>
          <w:rFonts w:ascii="arial" w:eastAsia="arial" w:hAnsi="arial" w:cs="arial"/>
          <w:color w:val="000000"/>
          <w:sz w:val="20"/>
          <w:lang w:val="en-US" w:eastAsia="en-US" w:bidi="ar-SA"/>
        </w:rPr>
        <w:t>.</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Private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color w:val="000000"/>
          <w:sz w:val="20"/>
          <w:u w:val="single"/>
          <w:lang w:val="en-US" w:eastAsia="en-US" w:bidi="ar-SA"/>
        </w:rPr>
        <w:t>Canadian Tort Law</w:t>
      </w:r>
      <w:r>
        <w:rPr>
          <w:rFonts w:ascii="arial" w:eastAsia="arial" w:hAnsi="arial" w:cs="arial"/>
          <w:color w:val="000000"/>
          <w:sz w:val="20"/>
          <w:lang w:val="en-US" w:eastAsia="en-US" w:bidi="ar-SA"/>
        </w:rPr>
        <w:t>, 8th Edition, Butterworths, 2006, at 568, Linden, J., defined private nuisance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 unreasonable interference with the use and enjoyment of land. This may come about by physical damage to the land, interference with the exercise of an easement, or with mineral rights [footnote omitted] </w:t>
      </w:r>
      <w:r>
        <w:rPr>
          <w:rFonts w:ascii="arial" w:eastAsia="arial" w:hAnsi="arial" w:cs="arial"/>
          <w:i/>
          <w:color w:val="000000"/>
          <w:sz w:val="20"/>
          <w:lang w:val="en-US" w:eastAsia="en-US" w:bidi="ar-SA"/>
        </w:rPr>
        <w:t>profit à prendre</w:t>
      </w:r>
      <w:r>
        <w:rPr>
          <w:rFonts w:ascii="arial" w:eastAsia="arial" w:hAnsi="arial" w:cs="arial"/>
          <w:color w:val="000000"/>
          <w:sz w:val="20"/>
          <w:lang w:val="en-US" w:eastAsia="en-US" w:bidi="ar-SA"/>
        </w:rPr>
        <w:t xml:space="preserve"> or other similar right, or injury to the health, comfort or convenience of the occupier [footnote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However, not every interference with the use and enjoyment of land will be a nuisance, and it is often difficult to determine whether an action is a "nuisance". As expressed by Fridman, G.H.L., in </w:t>
      </w:r>
      <w:r>
        <w:rPr>
          <w:rFonts w:ascii="arial" w:eastAsia="arial" w:hAnsi="arial" w:cs="arial"/>
          <w:color w:val="000000"/>
          <w:sz w:val="20"/>
          <w:u w:val="single"/>
          <w:lang w:val="en-US" w:eastAsia="en-US" w:bidi="ar-SA"/>
        </w:rPr>
        <w:t>The Law of Torts in Canada</w:t>
      </w:r>
      <w:r>
        <w:rPr>
          <w:rFonts w:ascii="arial" w:eastAsia="arial" w:hAnsi="arial" w:cs="arial"/>
          <w:color w:val="000000"/>
          <w:sz w:val="20"/>
          <w:lang w:val="en-US" w:eastAsia="en-US" w:bidi="ar-SA"/>
        </w:rPr>
        <w:t>, 2nd Edition, 2000, at page 166: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impossibility of providing a definition of nuisance for legal purposes has frequently been stated. Nuisance is a vague doctrine, very difficult to define accurately [footnote omitted]. An actionable nuisance, it has been said [footnote omitted], cannot be defined with exactitude. Indeed, it is not always clear whether the defendant's behaviour constitutes an actionable nuisance or some other wrong, such as trespass,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the collection, and consequent escape of some dangerous object within the scope of the doctrine of </w:t>
      </w:r>
      <w:r>
        <w:rPr>
          <w:rFonts w:ascii="arial" w:eastAsia="arial" w:hAnsi="arial" w:cs="arial"/>
          <w:b/>
          <w:i/>
          <w:color w:val="000000"/>
          <w:sz w:val="20"/>
          <w:lang w:val="en-US" w:eastAsia="en-US" w:bidi="ar-SA"/>
        </w:rPr>
        <w:t>Rylands v. Fletcher</w:t>
      </w:r>
      <w:r>
        <w:rPr>
          <w:rFonts w:ascii="arial" w:eastAsia="arial" w:hAnsi="arial" w:cs="arial"/>
          <w:color w:val="000000"/>
          <w:sz w:val="20"/>
          <w:lang w:val="en-US" w:eastAsia="en-US" w:bidi="ar-SA"/>
        </w:rPr>
        <w:t xml:space="preserve"> (1866), 19 L.T. 220. Frequently, a plaintiff will claim under several, possibly all of these various heads of liability, because it is not clear which is the most appropriate. Sometimes liability will ensue under more than one (if not, indeed, under them all) [footnote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issue of nuisance or no nuisance is one for the court. Such was the categorical statement of Tysoe J.A. in </w:t>
      </w:r>
      <w:r>
        <w:rPr>
          <w:rFonts w:ascii="arial" w:eastAsia="arial" w:hAnsi="arial" w:cs="arial"/>
          <w:b/>
          <w:i/>
          <w:color w:val="000000"/>
          <w:sz w:val="20"/>
          <w:lang w:val="en-US" w:eastAsia="en-US" w:bidi="ar-SA"/>
        </w:rPr>
        <w:t>Re New Westminster "Nuisance Prohibitation Bylaw 1962"</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(1963), 39 D.L.R. (2d) 676</w:t>
        </w:r>
      </w:hyperlink>
      <w:r>
        <w:rPr>
          <w:rFonts w:ascii="arial" w:eastAsia="arial" w:hAnsi="arial" w:cs="arial"/>
          <w:color w:val="000000"/>
          <w:sz w:val="20"/>
          <w:lang w:val="en-US" w:eastAsia="en-US" w:bidi="ar-SA"/>
        </w:rPr>
        <w:t xml:space="preserve"> (BCCA) at 681.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Tock v. St. John's Metropolitan Area Board</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[1989] 2 S.C.R. 1181</w:t>
        </w:r>
      </w:hyperlink>
      <w:r>
        <w:rPr>
          <w:rFonts w:ascii="arial" w:eastAsia="arial" w:hAnsi="arial" w:cs="arial"/>
          <w:color w:val="000000"/>
          <w:sz w:val="20"/>
          <w:lang w:val="en-US" w:eastAsia="en-US" w:bidi="ar-SA"/>
        </w:rPr>
        <w:t xml:space="preserve"> (a case involving blockage of a municipal storm sewer, causing water to flow into the plaintiff's basement), at pages 190 to 192, La Forest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Generically, as Salmond on the Law of Torts, 17th ed. by R. F. V. Heuston, at p. 50, notes, "nuisances are caused by an act or omission, whereby a person is unlawfully annoyed, prejudiced or disturbed in the enjoyment of land". The same passage makes it clear that a nuisance may take a variety of forms, ranging from actual physical damage to land to interference with the health, comfort or convenience of the owner or occupier of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whether a given interference should be characterized as a nuisance turns on the question, simple to state but difficult to resolve, whether in the circumstances it is reasonable to deny compensation to the aggrieved party. The courts have traditionally approached this problem of reconciling conflicting uses of land with an eye to a standard based, in large part, on the formulations of Knight Bruce V.-C. in </w:t>
      </w:r>
      <w:r>
        <w:rPr>
          <w:rFonts w:ascii="arial" w:eastAsia="arial" w:hAnsi="arial" w:cs="arial"/>
          <w:b/>
          <w:i/>
          <w:color w:val="000000"/>
          <w:sz w:val="20"/>
          <w:lang w:val="en-US" w:eastAsia="en-US" w:bidi="ar-SA"/>
        </w:rPr>
        <w:t>Walter v. Selfe</w:t>
      </w:r>
      <w:r>
        <w:rPr>
          <w:rFonts w:ascii="arial" w:eastAsia="arial" w:hAnsi="arial" w:cs="arial"/>
          <w:color w:val="000000"/>
          <w:sz w:val="20"/>
          <w:lang w:val="en-US" w:eastAsia="en-US" w:bidi="ar-SA"/>
        </w:rPr>
        <w:t xml:space="preserve"> (1851), 4 De G. and Sm. 315, 64 E.R. 849, and Bramwell B. in </w:t>
      </w:r>
      <w:r>
        <w:rPr>
          <w:rFonts w:ascii="arial" w:eastAsia="arial" w:hAnsi="arial" w:cs="arial"/>
          <w:b/>
          <w:i/>
          <w:color w:val="000000"/>
          <w:sz w:val="20"/>
          <w:lang w:val="en-US" w:eastAsia="en-US" w:bidi="ar-SA"/>
        </w:rPr>
        <w:t>Bamford v. Turnley</w:t>
      </w:r>
      <w:r>
        <w:rPr>
          <w:rFonts w:ascii="arial" w:eastAsia="arial" w:hAnsi="arial" w:cs="arial"/>
          <w:color w:val="000000"/>
          <w:sz w:val="20"/>
          <w:lang w:val="en-US" w:eastAsia="en-US" w:bidi="ar-SA"/>
        </w:rPr>
        <w:t xml:space="preserve"> (1862), 3 B. and S. 66, 122 E.R. 27, at pp. 83-84 and at pp. 32-33 respectively. There it was observed that the very existence of organised society depended on a generous application of the principle of "give and take, live and let live". It was therefore appropriate to interpret as actionable nuisances only those inconveniences that materially interfere with ordinary comfort as defined according to the standards held by those of plain and sober tastes. In effect, the law would only intervene to shield persons from interferences to their enjoyment of property that were unreasonable in the light of all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courts are thus called upon to select among the claims for interference with property and exclude those based on the prompting of excessive "delicacy and fastidiousness", to employ the terms of Knight Bruce V.-C. The courts attempt to circumscribe the ambit of nuisance by looking to the nature of the locality in question and asking whether the ordinary and reasonable resident of that locality would view the disturbance as a substantial interference with the enjoyment of land. Among the criteria employed by the courts in delimiting the ambit of the tort of nuisance are considerations based on the severity of the harm, the character of the neighbourhood, the utility of the defendant's conduct, and the question whether the plaintiff displayed abnormal sensitivity.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As noted in the definition set out by Linden, </w:t>
      </w:r>
      <w:r>
        <w:rPr>
          <w:rFonts w:ascii="arial" w:eastAsia="arial" w:hAnsi="arial" w:cs="arial"/>
          <w:b/>
          <w:i/>
          <w:color w:val="000000"/>
          <w:sz w:val="20"/>
          <w:lang w:val="en-US" w:eastAsia="en-US" w:bidi="ar-SA"/>
        </w:rPr>
        <w:t>supra</w:t>
      </w:r>
      <w:r>
        <w:rPr>
          <w:rFonts w:ascii="arial" w:eastAsia="arial" w:hAnsi="arial" w:cs="arial"/>
          <w:color w:val="000000"/>
          <w:sz w:val="20"/>
          <w:lang w:val="en-US" w:eastAsia="en-US" w:bidi="ar-SA"/>
        </w:rPr>
        <w:t xml:space="preserve"> the interference with the use and enjoyment of the land must be "unreasonable". In commenting on that, Linden stated, at page 569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court balances the gravity of the harm caused against the utility of the defendant's conduct in all the circumstances. As for the harm element, the court examines the type and severity of the interference, its duration, the character of the neighbourhood and the sensitivity of the plaintiff's use. As for the conduct of the defendant, the court looks at the object of the activity undertaken and the attitude of the actor towards the neighbours [footnote omitted].</w:t>
      </w:r>
    </w:p>
    <w:p>
      <w:pPr>
        <w:numPr>
          <w:numId w:val="2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Type and Severity of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interference caused to the plaintiff's use of the land must be substantial. No compensation will be awarded for trivial annoyances.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He noted, on pages 570 that "whether an annoyance is trifling and must be put up with or whether it is serious and actionable it not always easy to determine". Thus he referred to cases in which it was held that to interfere with a person's view or privacy by building a highway next to their land is no nuisance: </w:t>
      </w:r>
      <w:r>
        <w:rPr>
          <w:rFonts w:ascii="arial" w:eastAsia="arial" w:hAnsi="arial" w:cs="arial"/>
          <w:b/>
          <w:i/>
          <w:color w:val="000000"/>
          <w:sz w:val="20"/>
          <w:lang w:val="en-US" w:eastAsia="en-US" w:bidi="ar-SA"/>
        </w:rPr>
        <w:t>St. Pierre v. Ontario (Minister of Transportation and Communications)</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[1987] 1 S.C.R. 906</w:t>
        </w:r>
      </w:hyperlink>
      <w:r>
        <w:rPr>
          <w:rFonts w:ascii="arial" w:eastAsia="arial" w:hAnsi="arial" w:cs="arial"/>
          <w:color w:val="000000"/>
          <w:sz w:val="20"/>
          <w:lang w:val="en-US" w:eastAsia="en-US" w:bidi="ar-SA"/>
        </w:rPr>
        <w:t xml:space="preserve">; that the ordinary use of poorly constructed residential property, even if it is noisy, is not a nuisance: </w:t>
      </w:r>
      <w:r>
        <w:rPr>
          <w:rFonts w:ascii="arial" w:eastAsia="arial" w:hAnsi="arial" w:cs="arial"/>
          <w:b/>
          <w:i/>
          <w:color w:val="000000"/>
          <w:sz w:val="20"/>
          <w:lang w:val="en-US" w:eastAsia="en-US" w:bidi="ar-SA"/>
        </w:rPr>
        <w:t>Southwark London Bough Council v. Mills</w:t>
      </w:r>
      <w:r>
        <w:rPr>
          <w:rFonts w:ascii="arial" w:eastAsia="arial" w:hAnsi="arial" w:cs="arial"/>
          <w:color w:val="000000"/>
          <w:sz w:val="20"/>
          <w:lang w:val="en-US" w:eastAsia="en-US" w:bidi="ar-SA"/>
        </w:rPr>
        <w:t xml:space="preserve">, [1999] 4 All E.R. 449 (H.L.). On the other hand, the court found there were nuisances involving: offensive odour from a piggery: </w:t>
      </w:r>
      <w:r>
        <w:rPr>
          <w:rFonts w:ascii="arial" w:eastAsia="arial" w:hAnsi="arial" w:cs="arial"/>
          <w:b/>
          <w:i/>
          <w:color w:val="000000"/>
          <w:sz w:val="20"/>
          <w:lang w:val="en-US" w:eastAsia="en-US" w:bidi="ar-SA"/>
        </w:rPr>
        <w:t>Sullivan v. Desrosiers</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(1986), 40 C.C.L.T. 66</w:t>
        </w:r>
      </w:hyperlink>
      <w:r>
        <w:rPr>
          <w:rFonts w:ascii="arial" w:eastAsia="arial" w:hAnsi="arial" w:cs="arial"/>
          <w:color w:val="000000"/>
          <w:sz w:val="20"/>
          <w:lang w:val="en-US" w:eastAsia="en-US" w:bidi="ar-SA"/>
        </w:rPr>
        <w:t xml:space="preserve"> (NBCA); dust from a saw mill: </w:t>
      </w:r>
      <w:r>
        <w:rPr>
          <w:rFonts w:ascii="arial" w:eastAsia="arial" w:hAnsi="arial" w:cs="arial"/>
          <w:b/>
          <w:i/>
          <w:color w:val="000000"/>
          <w:sz w:val="20"/>
          <w:lang w:val="en-US" w:eastAsia="en-US" w:bidi="ar-SA"/>
        </w:rPr>
        <w:t>MacNeill v. Devon Lumber Company</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(1987), 42 C.C.L.T. 192</w:t>
        </w:r>
      </w:hyperlink>
      <w:r>
        <w:rPr>
          <w:rFonts w:ascii="arial" w:eastAsia="arial" w:hAnsi="arial" w:cs="arial"/>
          <w:color w:val="000000"/>
          <w:sz w:val="20"/>
          <w:lang w:val="en-US" w:eastAsia="en-US" w:bidi="ar-SA"/>
        </w:rPr>
        <w:t xml:space="preserve"> (NBCA) and noise from a go-cart club: </w:t>
      </w:r>
      <w:r>
        <w:rPr>
          <w:rFonts w:ascii="arial" w:eastAsia="arial" w:hAnsi="arial" w:cs="arial"/>
          <w:b/>
          <w:i/>
          <w:color w:val="000000"/>
          <w:sz w:val="20"/>
          <w:lang w:val="en-US" w:eastAsia="en-US" w:bidi="ar-SA"/>
        </w:rPr>
        <w:t>Tetley v. Chitty</w:t>
      </w:r>
      <w:r>
        <w:rPr>
          <w:rFonts w:ascii="arial" w:eastAsia="arial" w:hAnsi="arial" w:cs="arial"/>
          <w:color w:val="000000"/>
          <w:sz w:val="20"/>
          <w:lang w:val="en-US" w:eastAsia="en-US" w:bidi="ar-SA"/>
        </w:rPr>
        <w:t>, [1986] 1 All E.R. 663. Linden noted, at page 572, that nuisance is usually thought of to be a continuing wrong, such as the maintenance of state of affairs which are continuously or repeatedly causing the escape of noxious material onto the plaintiff's land. Thus the escape of something on a single occasion would not normally be considered a nuisance. At page 573 to 574, he also noted that the court will consider the character of the local, so that the standard to be expected in a predominantly residential area will differ from that in an industrial or commercial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Even if an activity is permitted by bylaw, that, in itself, is not a defence for a claim of damages for nuisance: </w:t>
      </w:r>
      <w:r>
        <w:rPr>
          <w:rFonts w:ascii="arial" w:eastAsia="arial" w:hAnsi="arial" w:cs="arial"/>
          <w:b/>
          <w:i/>
          <w:color w:val="000000"/>
          <w:sz w:val="20"/>
          <w:lang w:val="en-US" w:eastAsia="en-US" w:bidi="ar-SA"/>
        </w:rPr>
        <w:t>Schuster Real Estate Co. v. Kenny</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[1992] B.C.J. No. 220</w:t>
        </w:r>
      </w:hyperlink>
      <w:r>
        <w:rPr>
          <w:rFonts w:ascii="arial" w:eastAsia="arial" w:hAnsi="arial" w:cs="arial"/>
          <w:color w:val="000000"/>
          <w:sz w:val="20"/>
          <w:lang w:val="en-US" w:eastAsia="en-US" w:bidi="ar-SA"/>
        </w:rPr>
        <w:t>, (1992) Can Lii 1941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thus appears that the determination of whether an interference with the use and enjoyment of land is a nuisance is highly fact specific, depending on all of the circumstances of the case.</w:t>
      </w:r>
      <w:r>
        <w:rPr>
          <w:rFonts w:ascii="arial" w:eastAsia="arial" w:hAnsi="arial" w:cs="arial"/>
          <w:sz w:val="20"/>
          <w:lang w:val="en-US" w:eastAsia="en-US" w:bidi="ar-SA"/>
        </w:rPr>
        <w:cr/>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Apart from claims of nuisance, it can also be argued that there is a duty of care not to interfere with the use or enjoyment of one's neighbour's land. Again, the nature of that duty, and whether there is a breach of it, is fact specific. The mere fact that an action is taken in accordance with governing statutes and regulations will not, in itself, be a defence, although it will be a factor to be taken into account by the court. On the other hand, if there is a breach of a statutory requirement, that may be evidence of a breach of the duty of care: </w:t>
      </w:r>
      <w:r>
        <w:rPr>
          <w:rFonts w:ascii="arial" w:eastAsia="arial" w:hAnsi="arial" w:cs="arial"/>
          <w:b/>
          <w:i/>
          <w:color w:val="000000"/>
          <w:sz w:val="20"/>
          <w:lang w:val="en-US" w:eastAsia="en-US" w:bidi="ar-SA"/>
        </w:rPr>
        <w:t>The Queen (Can.) v. Saskatchewan Wheat Pool</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However, it is also necessary to establish damage as a result of the breach of a duty of care. In that regard, in determining if the damage is reasonably foreseeable, the relevant question is what a person with ordinary fortitude would suffer, not what an individual with exceptional frailty would suffer, unless the tortfeasor had actual knowledge of those particular sensibilities: </w:t>
      </w:r>
      <w:r>
        <w:rPr>
          <w:rFonts w:ascii="arial" w:eastAsia="arial" w:hAnsi="arial" w:cs="arial"/>
          <w:b/>
          <w:i/>
          <w:color w:val="000000"/>
          <w:sz w:val="20"/>
          <w:lang w:val="en-US" w:eastAsia="en-US" w:bidi="ar-SA"/>
        </w:rPr>
        <w:t>Mustapha v. Callegan of Canada Ltd.</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[2008] 2 S.C.R. 114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main complaint which Mr. Grant and Ms. Doran have with respect to the Warmans' property seems to be that it blocks their view of Discovery Passage, and thus restricts their enjoyment of their deck, in particular. However, Mr. Grant conceded that there is no cause of action arising from blocking of the view. In comparison to that, the other complaints appear relatively minor. However, it may be that whether those complaints are trifling and non-compensable, or are sufficiently substantial that they are compensable is a matter which should be determined by a court, after hearing evidence and considering all of the circumstances, rather than on a summary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first complaint appears to relate to the siting of home, including the deck and the sewage system. In paragraph 7 and 11 of her affidavit sworn October 29, 2008, Ms. Doran alleges that neither the deck nor the location of the sewage system was authorized on the siting permit issued by the Regional District of Comox-Strathcona. With respect to the sewage system, she alleges that the septic tank falls within the side-yard allowance. In paragraph 13 of her affidavit sworn October 10, 2008, Ms. Warman states that they applied to the Regional District and received siting approval on October 21, 2005, by letter of that date, which is attached. In her further affidavit sworn November 2, 2008, she says that she has read the affidavit of Ms. Doran sworn October 29, and that following her review of it, she knows of no facts which would substantiate the plaintiff's claim. However, the siting plan included within the application, Exhibit "E" to the October 10 affidavit of Ms. Warman, appears to show only the house, not showing either a deck or the sewage system. That raises a question as to whether the deck and sewage system are subject to the siting requirements of the Regional District. Those requirements are set out in the Quadra Island Zoning Bylaw, 1990. The purpose of the bylaw, set out in s. 2.1, is said to be to regulate, within zones, among other things: "(c) the siting, size and dimensions of buildings and structures". "Structure" is defined as any construction fixed to, supported by, or sunk into land: Bylaw, s. 4.1. That is a very broad definition, which, on the face of it, would appear to include such things as a deck and a septic tank which is partially within the ground, and partially above the ground. There is thus an issue, which is not resolved on the material before me, as to whether the siting of the deck and sewage system are in contravention of Quadra Island Zoning Bylaw,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Other complaints, alleged in paragraph 41 of the Statement of Claim, include noises, smell, and dust emanating from the Warmans' property. Counsel for the Warmans submits that those complaints are trifling, not sufficient to give rise to a cause of action of either nuisance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notes the evidence of Ms. Warman that their occupation of the property is seasonal, for at most approximately 10 weeks a year: affidavit of October 10, 2008, paragraphs 1, 2, and 10. For the rest of the time the property is not occupied. He also submitted that the Warmans constructed the building and the sewage system in accordance with all of the statutory requirements of the Regional District and V.I.H.A. He submitted that the evidence with respect to the 2004 permit for the sewage system is irrelevant, as the Warmans were required only to comply with the regulations which came into effect in 2005. He also noted that the slope of the land is irrelevant unless there is sewage seeping out onto the surface, of which there is no evidence. He submitted that the use of the property when the Warmans are in occupation is normal use of residential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 for the Warmans quoted at length from the examinations for discovery of Mr. Grant and Ms. Doran to illustrate that their complaints were trifling. For example, Mr. Grant did not allege that the sewage system has caused any public health concerns, only that it would do so sooner or later as the result of the slope of the land: examinations for discovery dated June 26, 2008, questions 137 to 140. Mr. Grant agreed that Mr. Peters had capped the P.V.C. pipe that had projected out of the land-fill into the swale, and had no evidence that there was effluent flowing into the swale: questions 258 to 262. The complaints of noise from the sewage system related to a hum from the pump several times an hour when the house is full of people, and very rarely otherwise (questions 291 to 296), which can be heard from 45 or 50 feet away from it: question 303. He said that hum, click or whine lasts anywhere from a few seconds to a minute and a half or two minutes: questions 309 and 310. With respect to the complaint of the alarm from the sewer system, he could recall it going off twice in the fall of 2006, and not since: questions 319 to 334. He agreed that the P.V.C. pipes which were sticking out of the ground were cut off and capped in the summer of 2006, that no water has come out of them since that time. He said that there was an odour of sewage until they were capped; however, there have been no further odours since that time: questions 344 to 356 and 359 to 360 and 387 to 390. He considered the tanks for the sewage system to be unsightly, but agreed that the view of them had been blocked by lattice work, creeping vines, and drapes he and Ms. Doran put up: questions 395 to 397. He also felt that the cypress hedge will block noise and dust: question 398 to 400. In her examination for discovery of June 26, 2008, Ms. Doran said that she could still smell sewage, but only occasionally, for 10 or 15 seconds when she is in the garden and the Warmans are in the residence: questions 7 and 8. She agreed that the sewage system, which she considered unsightly, has a clicking or hum sound, which is irritating, for example, if they are listening to whales going by: questions 14 to 19. She said that hum, whine or click happens probably a few times a week: questions 24 to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Counsel for the Warmans submitted that that evidence was not sufficient to establish activities excessive for that neighbourhood, and that those activities were authorized by statute. For example, he noted that Mr. McMurtrie stated on the form relating to the sewage system that the plans and specifications were consistent with standard practice and the sewage system would not contribute to a health hazard: exhibit "F" to affidavit of Charlene McKinnon, sworn August 7, 2008. After construction, Mr. McMurtrie filed a letter with V.I.H.A. certifying that the sewage system had been constructed in accordance with standard practice, substantially in accordance with the plans and specifications filed with the Health Authority, met the daily flow requirements for such a system, and would not cause or contribute to a health hazard if operated and maintained as set out in the maintenance plan which was also filed: exhibit "I". Counsel for the Warmans thus noted that there is no evidence of any breach of s. 8 of the Sewage System Regulation, </w:t>
      </w:r>
      <w:hyperlink r:id="rId730" w:history="1">
        <w:r>
          <w:rPr>
            <w:rFonts w:ascii="arial" w:eastAsia="arial" w:hAnsi="arial" w:cs="arial"/>
            <w:i/>
            <w:color w:val="0077CC"/>
            <w:sz w:val="20"/>
            <w:u w:val="single"/>
            <w:shd w:val="clear" w:color="auto" w:fill="FFFFFF"/>
            <w:lang w:val="en-US" w:eastAsia="en-US" w:bidi="ar-SA"/>
          </w:rPr>
          <w:t>B.C.Reg. 326/2004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Whether the activities alleged are "excessive" and the consequences of them "unreasonable" are difficult matters to assess. Clearly, Mr. Grant and Ms. Doran considered them to be a nuisance, in the vernacular use of that word, if not the legal one, as indicated by the fact that they did take steps to mitigate those annoyances. As to whether those annoyances are trivial, falling within the normal type of activities which can be expected from a neighbouring residential waterfront property, or are sufficiently substantial that they will be compensable will depend on all of the circumstances, including the type and severity of the interference, its duration, the character of the neighbourhood, the sensitivity of the plaintiffs' use, the object of the activity undertaken and the attitude of the Warmans towards their neighbours: Linden, </w:t>
      </w:r>
      <w:r>
        <w:rPr>
          <w:rFonts w:ascii="arial" w:eastAsia="arial" w:hAnsi="arial" w:cs="arial"/>
          <w:b/>
          <w:i/>
          <w:color w:val="000000"/>
          <w:sz w:val="20"/>
          <w:lang w:val="en-US" w:eastAsia="en-US" w:bidi="ar-SA"/>
        </w:rPr>
        <w:t>supra</w:t>
      </w:r>
      <w:r>
        <w:rPr>
          <w:rFonts w:ascii="arial" w:eastAsia="arial" w:hAnsi="arial" w:cs="arial"/>
          <w:color w:val="000000"/>
          <w:sz w:val="20"/>
          <w:lang w:val="en-US" w:eastAsia="en-US" w:bidi="ar-SA"/>
        </w:rPr>
        <w:t>, p. 569. I am thus not able to say that the plaintiffs are "bound to lose" in a claim for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Similarly, I cannot say that the plaintiffs are "bound to lose" with respect to the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Warmans. The existence of a duty of care, whether there has been a breach of that duty, and, if so, what damages arise from that, all remain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those circumstances the application of the Warmans for dismissal of the claims against them pursuant to Rule 18(6) is dismissed. As the plaintiffs have been successful on this application, they will be entitled to their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WILSON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5"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6"/>
          <w:headerReference w:type="default" r:id="rId747"/>
          <w:footerReference w:type="even" r:id="rId748"/>
          <w:footerReference w:type="default" r:id="rId749"/>
          <w:headerReference w:type="first" r:id="rId750"/>
          <w:footerReference w:type="first" r:id="rId7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2" w:history="1">
        <w:r>
          <w:rPr>
            <w:rFonts w:ascii="arial" w:eastAsia="arial" w:hAnsi="arial" w:cs="arial"/>
            <w:b/>
            <w:bCs/>
            <w:i/>
            <w:color w:val="0077CC"/>
            <w:kern w:val="32"/>
            <w:sz w:val="28"/>
            <w:szCs w:val="32"/>
            <w:u w:val="single"/>
            <w:shd w:val="clear" w:color="auto" w:fill="FFFFFF"/>
            <w:lang w:val="en-US" w:eastAsia="en-US" w:bidi="ar-SA"/>
          </w:rPr>
          <w:t>Ilyas v. Luu, [2007] B.C.J. No. 2857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12,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M045101 and M045108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2857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1926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53 C.P.C. (6th) 398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3203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422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Ruwaida Khamo Ilyas, Plaintiff, and Kim Dung Luu, Margaret-Ann Teresa Genesius, Defendants, And between Ruwaida Khamo Ilyas, Plaintiff, and Reno Patrick Natrall, Mukhwinder Kaur Shergill and Arthur James Rathgeber,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6"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9" w:name="Keywords_37"/>
      <w:bookmarkEnd w:id="249"/>
      <w:r>
        <w:rPr>
          <w:rFonts w:ascii="arial" w:eastAsia="arial" w:hAnsi="arial" w:cs="arial"/>
          <w:b/>
          <w:color w:val="000000"/>
          <w:sz w:val="20"/>
          <w:lang w:val="en-US" w:eastAsia="en-US" w:bidi="ar-SA"/>
        </w:rPr>
        <w:t>Civil litigation — Civil procedure — Costs — Assessment or fixing of costs — Offers to settle — Hearing to determine costs where two actions were tried together related to two separate motor vehicle accidents — Both defendants admitted liability, but damages were only awarded against the second defendant — Costs awarded to the plaintiff against the second defendant on Scale B, and costs ordered to the first defendant from the plaintiff on Scale B up to March 19, 2007, the date of his offer to settle which was refused by the plaintiff, and double costs after that date.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0" w:name="Case Summary_31"/>
            <w:bookmarkEnd w:id="2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Hearing to determine costs -- In the spring of 2003, Ilyas was involved in two motor vehicle accidents -- She commenced an action for damages against Luu in relation to the first accident which occurred on February 3, 2003, and an action for damages against Natrall in relation to the second accident which occurred on March 7, 2003 -- Luu admitted liability for the first accident, and Natrall admitted liability for the second accident -- The two actions were tried together -- Both Luu and Natrall were represented by the same counsel -- As liability had been admitted in each action, the questions that the jury was asked to decide were limited to the amount of damages, if any, they would award to Ilyas -- The jury was instructed to assess the damages for the first accident as if that action had been tried on the day before the second accident, then to assess damages for both accidents globally as of today, and then deduct the one amount from the other to arrive at the damages for the second accident -- The total damages awarded by the jury for the first accident was zero dollars -- The total damages awarded by the jury for the second accident was $40,000, which consisted of $17,500 for non-pecuniary loss, and $22,500 for gross past loss of income -- At issue was what costs order should be made in relation to each action in light of the fact that on March 19, 2007, counsel for both Luu and Natrall delivered offers to settle their respective actions for $12,500 each -- Both parties agreed that Ilyas was entitled to her costs against Natrall on Scale B as she recovered at trial an amount that exceeded his offer to settle -- The parties did not agree about what order for costs should be made in relation to Natrall -- Luu submitted that she should have her costs from the plaintiff on Scale B up to March 19, 2007, and should have double costs after that date based on Rule 37(24)(b) -- Ilyas countered that the applicable provision in these circumstances was Rule 37(24) (a), not Rule 37(24)(b) -- She also contended that since both Luu and Natrall were represented by the same law firm, and since much of the trial was focused on events after the second accident, Luu should receive only 10 percent of her costs -- Finally, she submitted that there should be an order pursuant to Rule 57(18) that any costs awarded to Luu be paid by Natrall -- HELD: Costs awarded to Ilyas against Natrall on Scale B, and costs ordered to Luu shall from Ilyas on Scale B up to March 19, 2007, and double costs after that date -- An order under Rule 57(18) should not be made unless the unsuccessful defendant did something to cause the successful defendant to be brought into the litigation, which was not the case here -- There was no basis to limit Luu's costs to 10 percent -- The fact that she and Natrall were represented by the same counsel did not provide a justification for such an order -- Where the jury has found that the plaintiff's total damages are zero dollars, there has not been an award for some amount of money and Rule 37(24)(a) does not apply -- Rather, this was a case in which the effect of the jury's verdict was that Ilyas' claim against Luu was dismissed, and Rule 37(24)(b) therefore applied.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1" w:name="Legislation Cited_30"/>
      <w:bookmarkEnd w:id="2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7"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37(24)(a), Rule 37(24)(b), Rule 57(18)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2" w:name="Counsel_37"/>
      <w:bookmarkEnd w:id="25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8"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Shane.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M.D. Murphy.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3" w:name="Judgment_37"/>
      <w:bookmarkEnd w:id="253"/>
      <w:r>
        <w:pict>
          <v:line id="_x0000_s1239"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4" w:name="W. EHRCKE J. (orally)"/>
            <w:bookmarkEnd w:id="254"/>
            <w:r>
              <w:rPr>
                <w:rFonts w:ascii="arial" w:eastAsia="arial" w:hAnsi="arial" w:cs="arial"/>
                <w:b/>
                <w:color w:val="000000"/>
                <w:sz w:val="30"/>
                <w:lang w:val="en-US" w:eastAsia="en-US" w:bidi="ar-SA"/>
              </w:rPr>
              <w:t>W. EHRCKE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spring of 2003, the plaintiff was involved in two motor vehicle accidents. Under Vancouver Registry number M045101, she commenced an action claiming damages against Kim Dung Luu and Margaret-Ann Teresa Genesius in relation to the first accident which occurred on February 3, 2003. Under Vancouver Registry number M045108, she commenced an action claiming damages against Reno Patrick Natrall, Mukhwinder Kaur Shergill and Arthur James Rathgeber in relation to the second accident which occurred on March 7, 2003. Ms. Luu admitted liability for the first accident, and Mr. Natrall admitted liability for the second accident, and the plaintiff discontinued her claims against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two actions were tried together by a court composed of judge and jury. Both Ms. Luu and Mr. Natrall were represented by the same counsel. As liability had been admitted by the only remaining defendants in each action, the questions that the jury was asked to decide were limited to the amount of damages, if any, they would award to the plaintiff against Ms. Luu in relation to the first accident, and against Mr. Natrall in relation to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jury was instructed in accordance with the decision of our Court of Appeal in </w:t>
      </w:r>
      <w:r>
        <w:rPr>
          <w:rFonts w:ascii="arial" w:eastAsia="arial" w:hAnsi="arial" w:cs="arial"/>
          <w:b/>
          <w:i/>
          <w:color w:val="000000"/>
          <w:sz w:val="20"/>
          <w:lang w:val="en-US" w:eastAsia="en-US" w:bidi="ar-SA"/>
        </w:rPr>
        <w:t>Long v. Thiessen</w:t>
      </w:r>
      <w:r>
        <w:rPr>
          <w:rFonts w:ascii="arial" w:eastAsia="arial" w:hAnsi="arial" w:cs="arial"/>
          <w:color w:val="000000"/>
          <w:sz w:val="20"/>
          <w:lang w:val="en-US" w:eastAsia="en-US" w:bidi="ar-SA"/>
        </w:rPr>
        <w:t xml:space="preserve"> (1968), 65 W.W.R. 577 (B.C.C.A.); that is, they were instructed to assess the damages for the first accident as if that action had been tried on the day before the second accident, then to assess damages for both accidents globally as of today, and then deduct the one amount from the other to arrive at the damages for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total damages awarded by the jury for the first accident was zero dollars. The total damages awarded by the jury for the second accident was $40,000, consisting of $17,500 for non-pecuniary loss, and $22,500 for gross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a motion for judgment, the parties agreed that $3,100 for taxes must be deducted from the jury's verdict on past income loss in accordance with s. 95 of the </w:t>
      </w:r>
      <w:r>
        <w:rPr>
          <w:rFonts w:ascii="arial" w:eastAsia="arial" w:hAnsi="arial" w:cs="arial"/>
          <w:b/>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Accordingly, the judgment against Ms. Luu for the first accident was that no damages were payable, and the judgment against Mr. Natrall for the second accident was that he must pay damages totalling $36,900.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question that now arises is what costs order should be made in relation to each action in light of the fact that on March 19, 2007, counsel for both Ms. Luu and Mr. Natrall delivered offers to settle their respective actions for $12,500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Both parties are agreed that the plaintiff is entitled to her costs of action M045108 against Mr. Natrall on Scale B as she recovered at trial an amount that exceeded his offer to settle. The parties do not agree about what order for costs should be made in relation to action M045101.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Counsel for Ms. Luu submits that she should have her costs from the plaintiff on Scale B up to March 19, 2007, and should have double costs after that date based on Rule 37(24)(b). The plaintiff, however, makes three points. First, the plaintiff submits that the applicable provision in these circumstances is Rule 37(24)(a), not Rule 37(24)(b). Second, the plaintiff submits that since both Ms. Luu and Mr. Natrall were represented by the same law firm, and since the principles in </w:t>
      </w:r>
      <w:r>
        <w:rPr>
          <w:rFonts w:ascii="arial" w:eastAsia="arial" w:hAnsi="arial" w:cs="arial"/>
          <w:b/>
          <w:i/>
          <w:color w:val="000000"/>
          <w:sz w:val="20"/>
          <w:lang w:val="en-US" w:eastAsia="en-US" w:bidi="ar-SA"/>
        </w:rPr>
        <w:t>Long v. Thiessen</w:t>
      </w:r>
      <w:r>
        <w:rPr>
          <w:rFonts w:ascii="arial" w:eastAsia="arial" w:hAnsi="arial" w:cs="arial"/>
          <w:color w:val="000000"/>
          <w:sz w:val="20"/>
          <w:lang w:val="en-US" w:eastAsia="en-US" w:bidi="ar-SA"/>
        </w:rPr>
        <w:t xml:space="preserve"> effectively limited the amount of damages that Ms. Luu would be exposed to, and since much of the trial was focused on events after the second accident, Ms. Luu should receive only 10 percent of her costs. Third, the plaintiff submits that there should be an order pursuant to Rule 57(18) that any costs awarded to Mr. Luu be paid by Mr. Natrall.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will deal with these submissions in reverse order. Should Mr. Natrall be ordered to pay Ms. Luu's costs? Rule 57(18)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57(18) Where the costs of one defendant against a plaintiff ought to be paid by another defendant, the court may order payment to be made by one defendant to the other directly, or may order the plaintiff to pay the costs of the successful defendant and allow the plaintiff to include those costs as a disbursement in the costs payable to the plaintiff by the unsuccessful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submits that since she was successful against Mr. Natrall, and since the circumstances of the two accidents made it necessary from a practical point of view for her to pursue her claim against both Mr. Natrall and Ms. Luu, an order should be made pursuant to Rule 57(18) that any costs awarded to the successful defendant, Ms. Luu, must be paid by the unsuccessful defendant, Mr. Natrall. In effect, the plaintiff seeks a </w:t>
      </w:r>
      <w:r>
        <w:rPr>
          <w:rFonts w:ascii="arial" w:eastAsia="arial" w:hAnsi="arial" w:cs="arial"/>
          <w:b/>
          <w:i/>
          <w:color w:val="000000"/>
          <w:sz w:val="20"/>
          <w:lang w:val="en-US" w:eastAsia="en-US" w:bidi="ar-SA"/>
        </w:rPr>
        <w:t>Bullock</w:t>
      </w:r>
      <w:r>
        <w:rPr>
          <w:rFonts w:ascii="arial" w:eastAsia="arial" w:hAnsi="arial" w:cs="arial"/>
          <w:color w:val="000000"/>
          <w:sz w:val="20"/>
          <w:lang w:val="en-US" w:eastAsia="en-US" w:bidi="ar-SA"/>
        </w:rPr>
        <w:t xml:space="preserve"> order. (See </w:t>
      </w:r>
      <w:r>
        <w:rPr>
          <w:rFonts w:ascii="arial" w:eastAsia="arial" w:hAnsi="arial" w:cs="arial"/>
          <w:b/>
          <w:i/>
          <w:color w:val="000000"/>
          <w:sz w:val="20"/>
          <w:lang w:val="en-US" w:eastAsia="en-US" w:bidi="ar-SA"/>
        </w:rPr>
        <w:t>Bullock v. London General Omnibus Co.</w:t>
      </w:r>
      <w:r>
        <w:rPr>
          <w:rFonts w:ascii="arial" w:eastAsia="arial" w:hAnsi="arial" w:cs="arial"/>
          <w:color w:val="000000"/>
          <w:sz w:val="20"/>
          <w:lang w:val="en-US" w:eastAsia="en-US" w:bidi="ar-SA"/>
        </w:rPr>
        <w:t>, [1907] 1 K.B. 264).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Grassi v. WIC Radio Ltd. (c.o.b. CKNW/98)</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(2001), 89 B.C.L.R. (3d) 198</w:t>
        </w:r>
      </w:hyperlink>
      <w:r>
        <w:rPr>
          <w:rFonts w:ascii="arial" w:eastAsia="arial" w:hAnsi="arial" w:cs="arial"/>
          <w:color w:val="000000"/>
          <w:sz w:val="20"/>
          <w:lang w:val="en-US" w:eastAsia="en-US" w:bidi="ar-SA"/>
        </w:rPr>
        <w:t xml:space="preserve"> (C.A.), Southin J.A. held at paragraph 31 that Rule 57(18) is broad enough to encompass </w:t>
      </w:r>
      <w:r>
        <w:rPr>
          <w:rFonts w:ascii="arial" w:eastAsia="arial" w:hAnsi="arial" w:cs="arial"/>
          <w:b/>
          <w:i/>
          <w:color w:val="000000"/>
          <w:sz w:val="20"/>
          <w:lang w:val="en-US" w:eastAsia="en-US" w:bidi="ar-SA"/>
        </w:rPr>
        <w:t>Bullock</w:t>
      </w:r>
      <w:r>
        <w:rPr>
          <w:rFonts w:ascii="arial" w:eastAsia="arial" w:hAnsi="arial" w:cs="arial"/>
          <w:color w:val="000000"/>
          <w:sz w:val="20"/>
          <w:lang w:val="en-US" w:eastAsia="en-US" w:bidi="ar-SA"/>
        </w:rPr>
        <w:t xml:space="preserv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 relies on </w:t>
      </w:r>
      <w:r>
        <w:rPr>
          <w:rFonts w:ascii="arial" w:eastAsia="arial" w:hAnsi="arial" w:cs="arial"/>
          <w:b/>
          <w:i/>
          <w:color w:val="000000"/>
          <w:sz w:val="20"/>
          <w:lang w:val="en-US" w:eastAsia="en-US" w:bidi="ar-SA"/>
        </w:rPr>
        <w:t>Robertson v. North Island College Technical and Vocational Institute</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(1980), 26 B.C.L.R. 225</w:t>
        </w:r>
      </w:hyperlink>
      <w:r>
        <w:rPr>
          <w:rFonts w:ascii="arial" w:eastAsia="arial" w:hAnsi="arial" w:cs="arial"/>
          <w:color w:val="000000"/>
          <w:sz w:val="20"/>
          <w:lang w:val="en-US" w:eastAsia="en-US" w:bidi="ar-SA"/>
        </w:rPr>
        <w:t xml:space="preserve"> (C.A.) for the principles to be applied in making such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Rule 57(18), on its face, appears to contemplate an order made with respect to co-defendants in a single action. The rule was applied in respect of defendants in separate actions that were tried together in the case of </w:t>
      </w:r>
      <w:r>
        <w:rPr>
          <w:rFonts w:ascii="arial" w:eastAsia="arial" w:hAnsi="arial" w:cs="arial"/>
          <w:b/>
          <w:i/>
          <w:color w:val="000000"/>
          <w:sz w:val="20"/>
          <w:lang w:val="en-US" w:eastAsia="en-US" w:bidi="ar-SA"/>
        </w:rPr>
        <w:t>Halbauer v. Morrison</w:t>
      </w:r>
      <w:r>
        <w:rPr>
          <w:rFonts w:ascii="arial" w:eastAsia="arial" w:hAnsi="arial" w:cs="arial"/>
          <w:color w:val="000000"/>
          <w:sz w:val="20"/>
          <w:lang w:val="en-US" w:eastAsia="en-US" w:bidi="ar-SA"/>
        </w:rPr>
        <w:t xml:space="preserve"> (1994), 31 C.P.C. (3d) 110 (B.C.S.C.), but in </w:t>
      </w:r>
      <w:r>
        <w:rPr>
          <w:rFonts w:ascii="arial" w:eastAsia="arial" w:hAnsi="arial" w:cs="arial"/>
          <w:b/>
          <w:i/>
          <w:color w:val="000000"/>
          <w:sz w:val="20"/>
          <w:lang w:val="en-US" w:eastAsia="en-US" w:bidi="ar-SA"/>
        </w:rPr>
        <w:t>Gill v. Lindstrom</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(2004), 33 B.C.L.R. (4th) 325</w:t>
        </w:r>
      </w:hyperlink>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2004 BCCA 632</w:t>
        </w:r>
      </w:hyperlink>
      <w:r>
        <w:rPr>
          <w:rFonts w:ascii="arial" w:eastAsia="arial" w:hAnsi="arial" w:cs="arial"/>
          <w:color w:val="000000"/>
          <w:sz w:val="20"/>
          <w:lang w:val="en-US" w:eastAsia="en-US" w:bidi="ar-SA"/>
        </w:rPr>
        <w:t>, our Court of Appeal treated the applicability of the rule to multiple actions tried together as an open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facts of the present case are similar to the facts in </w:t>
      </w:r>
      <w:r>
        <w:rPr>
          <w:rFonts w:ascii="arial" w:eastAsia="arial" w:hAnsi="arial" w:cs="arial"/>
          <w:b/>
          <w:i/>
          <w:color w:val="000000"/>
          <w:sz w:val="20"/>
          <w:lang w:val="en-US" w:eastAsia="en-US" w:bidi="ar-SA"/>
        </w:rPr>
        <w:t>Gill v. Lindstrom</w:t>
      </w:r>
      <w:r>
        <w:rPr>
          <w:rFonts w:ascii="arial" w:eastAsia="arial" w:hAnsi="arial" w:cs="arial"/>
          <w:color w:val="000000"/>
          <w:sz w:val="20"/>
          <w:lang w:val="en-US" w:eastAsia="en-US" w:bidi="ar-SA"/>
        </w:rPr>
        <w:t>. There, like here, the plaintiff had been involved in two motor vehicle accidents less than a year apart. The plaintiff commenced separate actions against the defendants in each accident, and the two actions were tried together. As in the present case, the defendants in both actions were represented by the same counsel, and both defendants admitted liability for their accidents. In each action the plaintiff claimed that she sustained injury from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jury was not asked to determine what percentage of damages, if any, should be attributed to each defendant, but in answer to specific questions, they determined that the plaintiff was injured in the first accident, but not in the second, and they awarded damages totalling about $12,000.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trial judge ordered that the plaintiff pay the costs of the successful second defendant, but also ordered that the plaintiff could recover those costs from the unsuccessful first defendant. On appeal, the Court of Appeal set aside that order. The court held at paragraph 18 that this was not a proper application of the intended scope of a Bullock order because there was nothing done by the unsuccessful defendant to cause the successful defendant to be brought into the litigation. Giving the judgment of the court, Low J.A. explained at paragraph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the trial judge erred by overlooking the fact that the respondent asserted in her pleadings, and at trial, that she was injured in the second accident. Her pleadings claimed aggravation of injury sustained in the first accident as well as additional injury. She sought judgment against the defendant in the second action because she alleged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injury. It cannot be said that there was anything done by the appellant to bring this about, either by causing the first accident, for which he admitted liability, or in the conduct of the litigation. At trial, it was the position of the appellant that the respondent sustained no injury as a result of the accident he caused, and it was the position of the defendant in the second accident that the respondent was not injured as a result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respondent did not have to pay costs to the defendant in the second accident because of any position taken by the appellant in the first action. She had to pay costs against the defendant because she failed to prove her case against him. In these circumstances, those costs cannot be visited upon the appellant by way of a Bullock order made pursuant to Rule 57(18).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in the present case seeks to distinguish </w:t>
      </w:r>
      <w:r>
        <w:rPr>
          <w:rFonts w:ascii="arial" w:eastAsia="arial" w:hAnsi="arial" w:cs="arial"/>
          <w:b/>
          <w:i/>
          <w:color w:val="000000"/>
          <w:sz w:val="20"/>
          <w:lang w:val="en-US" w:eastAsia="en-US" w:bidi="ar-SA"/>
        </w:rPr>
        <w:t>Gill</w:t>
      </w:r>
      <w:r>
        <w:rPr>
          <w:rFonts w:ascii="arial" w:eastAsia="arial" w:hAnsi="arial" w:cs="arial"/>
          <w:color w:val="000000"/>
          <w:sz w:val="20"/>
          <w:lang w:val="en-US" w:eastAsia="en-US" w:bidi="ar-SA"/>
        </w:rPr>
        <w:t xml:space="preserve"> on the basis that there it was the second defendant who was successful, whereas here the first defendant was successful. In my view, that difference does not detract from the principle in that case, namely, that an order under Rule 57(18) should not be made unless the unsuccessful defendant did something to cause the successful defendant to be brought into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the present case, as in </w:t>
      </w:r>
      <w:r>
        <w:rPr>
          <w:rFonts w:ascii="arial" w:eastAsia="arial" w:hAnsi="arial" w:cs="arial"/>
          <w:b/>
          <w:i/>
          <w:color w:val="000000"/>
          <w:sz w:val="20"/>
          <w:lang w:val="en-US" w:eastAsia="en-US" w:bidi="ar-SA"/>
        </w:rPr>
        <w:t>Gill</w:t>
      </w:r>
      <w:r>
        <w:rPr>
          <w:rFonts w:ascii="arial" w:eastAsia="arial" w:hAnsi="arial" w:cs="arial"/>
          <w:color w:val="000000"/>
          <w:sz w:val="20"/>
          <w:lang w:val="en-US" w:eastAsia="en-US" w:bidi="ar-SA"/>
        </w:rPr>
        <w:t xml:space="preserve">, the plaintiff in her pleadings alleged that the defendants in both accidents caused injury to her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my view, there is no connection between the conduct of Mr. Natrall and the maintaining of a separate action by the plaintiff against Ms. Luu, and for that reason this is not an appropriate case for an order under Rule 57(18).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Should Ms. Luu receive only 10 percent of her costs? I agree with counsel for the defendants that there is no basis for limiting Ms. Luu's costs to 10 percent. The fact that she and Mr. Natrall were represented by the same counsel does not provide a justification for such an order, nor does the fact that this case engaged the principles in </w:t>
      </w:r>
      <w:r>
        <w:rPr>
          <w:rFonts w:ascii="arial" w:eastAsia="arial" w:hAnsi="arial" w:cs="arial"/>
          <w:b/>
          <w:i/>
          <w:color w:val="000000"/>
          <w:sz w:val="20"/>
          <w:lang w:val="en-US" w:eastAsia="en-US" w:bidi="ar-SA"/>
        </w:rPr>
        <w:t>Long v. Thiessen</w:t>
      </w:r>
      <w:r>
        <w:rPr>
          <w:rFonts w:ascii="arial" w:eastAsia="arial" w:hAnsi="arial" w:cs="arial"/>
          <w:color w:val="000000"/>
          <w:sz w:val="20"/>
          <w:lang w:val="en-US" w:eastAsia="en-US" w:bidi="ar-SA"/>
        </w:rPr>
        <w:t xml:space="preserve">. As Low J.A. noted at paragraph 19 of </w:t>
      </w:r>
      <w:r>
        <w:rPr>
          <w:rFonts w:ascii="arial" w:eastAsia="arial" w:hAnsi="arial" w:cs="arial"/>
          <w:b/>
          <w:i/>
          <w:color w:val="000000"/>
          <w:sz w:val="20"/>
          <w:lang w:val="en-US" w:eastAsia="en-US" w:bidi="ar-SA"/>
        </w:rPr>
        <w:t>Gill</w:t>
      </w:r>
      <w:r>
        <w:rPr>
          <w:rFonts w:ascii="arial" w:eastAsia="arial" w:hAnsi="arial" w:cs="arial"/>
          <w:color w:val="000000"/>
          <w:sz w:val="20"/>
          <w:lang w:val="en-US" w:eastAsia="en-US" w:bidi="ar-SA"/>
        </w:rPr>
        <w:t>, the taxing officer will address the issues that arise from the fact that these two actions were tried together and the fact that both defendants were represented by the same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Does Rule 37(24)(a) or Rule 27(24)(b) apply? The effect of the offer to settle the action against Ms. Luu depends on how Rule 37(24) applies to the present case. Rule 37(24)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37(24) If the defendant has made an offer to settle a claim for money and the offer has not expired or been withdrawn or been accepted,</w:t>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obtains judgment for the amount of money specified in the offer or a lesser amount, the plaintiff is entitled to costs assessed to the date the offer was delivered and the defendant is entitled to costs assessed from that date, or</w:t>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plaintiff's claim is dismissed, the defendant is entitled to costs assessed to the date the offer was delivered and to double costs assessed from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submits that she received a judgment for "the amount of money specified in the offer or a lesser amount", and therefore Rule 37(24)(a) applies. Counsel for the defendant submits that the plaintiff's claim against Ms. Luu was dismissed, and therefore Rule 37(24)(b)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view, by the plain wording of Rule 37(24)(a), it applies only where the plaintiff obtains a judgment for some amount of money. Where, as here, the jury finds that the plaintiff's total damages are zero dollars, there has not been an award for some amount of money and Rule 37(24)(a) does not apply. Rather, this is a case in which the effect of the jury's verdict is that the plaintiff's claim against Ms. Luu is dismissed, and Rule 37(24)(b) therefore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circumstances of this case are virtually indistinguishable from those in </w:t>
      </w:r>
      <w:r>
        <w:rPr>
          <w:rFonts w:ascii="arial" w:eastAsia="arial" w:hAnsi="arial" w:cs="arial"/>
          <w:b/>
          <w:i/>
          <w:color w:val="000000"/>
          <w:sz w:val="20"/>
          <w:lang w:val="en-US" w:eastAsia="en-US" w:bidi="ar-SA"/>
        </w:rPr>
        <w:t>Gill</w:t>
      </w:r>
      <w:r>
        <w:rPr>
          <w:rFonts w:ascii="arial" w:eastAsia="arial" w:hAnsi="arial" w:cs="arial"/>
          <w:color w:val="000000"/>
          <w:sz w:val="20"/>
          <w:lang w:val="en-US" w:eastAsia="en-US" w:bidi="ar-SA"/>
        </w:rPr>
        <w:t>, and in that case Low J.A. noted at paragraph 9 that the order should have dismissed the action against the second defendant against whom no damages were awarded, notwithstanding the fact that that defendant had admitted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is entitled to her costs of action M045108 against Mr. Natrall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Luu shall have her costs from the plaintiff on Scale B up to March 19, 2007, and shall have double costs after that date based on Rule 37(24)(b).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0"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Kent v. Oliver, [2000] B.C.J. No. 1558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Vickers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1 - 2 and June 30,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C972460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1558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1154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78 B.C.L.R. (3d) 379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A.C.W.S. (3d) 479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Jeffrey Kent, plaintiff, and H.A.D. Oliver, Adrian Chaster, Ian Donaldson, Oliver Waldock, a firm, and Oliver &amp; Company, a firm,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1"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5" w:name="Keywords_38"/>
      <w:bookmarkEnd w:id="255"/>
      <w:r>
        <w:rPr>
          <w:rFonts w:ascii="arial" w:eastAsia="arial" w:hAnsi="arial" w:cs="arial"/>
          <w:b/>
          <w:color w:val="000000"/>
          <w:sz w:val="20"/>
          <w:lang w:val="en-US" w:eastAsia="en-US" w:bidi="ar-SA"/>
        </w:rPr>
        <w:t>Partnership — Partnership, what constitutes — Tests of existence — Holding out — What constitutes — Torts — Joint and concurrent tortfeasors — Joint tortfeasors — What constitutes.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6" w:name="Case Summary_32"/>
            <w:bookmarkEnd w:id="25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the plaintiff, Kent, for a declaration that each of the defendants was jointly and severally liable to pay special costs ordered to be paid to him by the defendant Waldock in another action between Kent and Waldock. Waldock, a solicitor, had represented Kent in a personal injury action that ended in a mistrial. Kent sued Waldock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obtained an order that no fees were owing to Waldock by Kent. Waldock was ordered to pay Kent special costs. During the time Waldock represented Kent, Waldock had been in an office-sharing arrangement with another law firm, the other defendants in this action. Kent argued that Waldock held himself out as being a partner of that firm because his phone was answered using that firm's name, and letters went out under the firm's letterhead. Kent also made out his disbursement cheques to the firm and bills were rendered to him under its name. The firm had not been added as a party to the original action in which the special costs were awarded to Kent. The firm argued that, at all times, Kent knew that the firm only had an office-sharing arrangement with Waldock.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7" w:name="Holdings of Court_27"/>
            <w:bookmarkEnd w:id="257"/>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 all material times, Kent knew that Waldock was not a partner of the firm, and was aware that the arrangement was only an office-sharing arrangement involving shared costs for some office support and assistance. If Kent had wanted to prove the existence of a partnership, and his reliance upon that partnership, then he should have named the firm as a party to the original action. He elected to sue Waldock alone. Liability could not be imposed on the firm as it was not part of the action and did not have an opportunity to defend itself.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8" w:name="Legislation Cited_31"/>
      <w:bookmarkEnd w:id="2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2"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7(1), 7(2), 7(3), 7(7), 7(8), 7(10),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Partnership Act, ss. 11, 12, 16(1).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9" w:name="Counsel_38"/>
      <w:bookmarkEnd w:id="25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3"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 Shapray, Q.C., for the plaintiff. C.E. Hinkson, Q.C., and B. Von Krosigk, for the defendant, H.A.D. Oliver. E.D. Crossin and S.M. Coristine, for the defendants, Adrian Chaster, Ian Donaldson and Oliver &amp; Company, a firm.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0" w:name="Judgment_38"/>
      <w:bookmarkEnd w:id="260"/>
      <w:r>
        <w:pict>
          <v:line id="_x0000_s1244" style="position:absolute;z-index:2518517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1" w:name="VICKERS J."/>
            <w:bookmarkEnd w:id="261"/>
            <w:r>
              <w:rPr>
                <w:rFonts w:ascii="arial" w:eastAsia="arial" w:hAnsi="arial" w:cs="arial"/>
                <w:b/>
                <w:color w:val="000000"/>
                <w:sz w:val="30"/>
                <w:lang w:val="en-US" w:eastAsia="en-US" w:bidi="ar-SA"/>
              </w:rPr>
              <w:t>VICKERS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pursuant to R. 18A of the Rules of Court for a declaration that each of the defendants are jointly and severally liable to pay to the plaintiff the special costs ordered to be paid by Murphy J. in the action Kent v. Waldock (c.o.b. Oliver, Waldock) (24 February 1995), Vancouver C886158 (B.C.S.C.). Each of the defendants applies for an order dismissing the action, pursuant to R.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Historical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 resident of the United States, was seriously injured in a motor vehicle accident in British Columbia in 1982. Two years after the accident he retained the services of counsel and an action was commenced. In 1986 he changed counsel and Mr. Humphrey Waldock was retained to continue the prosecution of the action on his behalf. He entered into a retainer agreement with Oliver, Waldock, "as solicitors to recover money for personal injury...". At all material times the defendants had no knowledge of the contents of the retainer agreement between the plaintiff and Waldock. The retainer agreement made by the plaintiff was to engage the services of Waldock.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1986 there was a partnership of lawyers called Oliver, Waldock. The partners of that firm were the defendants, H.A.D. Oliver, Adrian Chaster and Ian Donaldson. At all material times Humphrey Waldock, counsel retained by the plaintiff, was not a partner or associate of that firm. Mr. Waldock had a space-sharing arrangement with the defendants, which continued until he moved to different premises sometime in 1989. He ceased practicing law in 1992 and declared bankruptcy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sign on the entrance door to the offices of the parties read "Oliver, Waldock". The defendants and Waldock shared a common reception area and receptionist. The telephone was answered "Oliver, Waldock". The letterhead read "Oliver, Waldock" until late 1987 or early 1988 when it was changed to read "Oliver, Waldock, Associates". Bills for services were rendered in the name "Oliver, Waldock." The plaintiff's cheques for disbursements were made out to "Oliver, Waldock" and endorsed with a stamp reading "Oliver, Waldock". The defendants kept separate general and trust accounts and Waldock was not a signatory to those accounts. Waldock kept separate general and trust accounts and the defendants were not signatories on those accounts. At all material times, Waldock was a sole practitioner; the defendants practiced law as a partnership of lawyers. They were two firms, sharing space and some office support and assistance. Oliver and Company was the name Chaster and Donaldson gave to their partnership sometime after Oliver's appointment to the County Court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trial in the motor vehicle action commenced on September 6, 1988. H.A.D. Oliver was appointed as a Judge of the County Court of Vancouver on September 8, 1988. On September 14, 1988 the trial judge declared a mistrial in the damage action. The plaintiff discharged Waldock. Sometime shortly after September 14, 1988 the plaintiff's claims were settled. At that point in time a dispute arose concerning Waldock's fees and his entitlement to a solicitor's lien over the settlement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On December 18, 1988 the defendant, represented by counsel, commenced an action in this court against "Humphrey Waldock, carrying on business as Oliver, Waldock". The action did not advance any claims or seek any relief against the defendants or their legal partnership. In the action the plaintiff sought a declaration that Waldock was not entitled to a fee or a solicitor's lien against the settlement proceeds. In addition, he claimed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Waldock filed a counterclaim for fees and sought a solicitor's lien over the settlement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Prior to the trial of the action the plaintiff discharged his counsel. The trial took place in October and November 1991 before Murphy J., and the plaintiff represented himself. As the defendants were not parties to that litigation, they did not appear in the action and were not represented at the trial. J. E. Murphy represented Waldock.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February 20, 1992, Murphy J. granted the plaintiff's declaration that Waldock was not entitled to a fee but dismissed the plaintiff's claim for damages. He dismissed Waldock's counterclaim for a solicitor's lien. He awarded costs in that action to the plaintiff on Scale 3 up to the time he discharged his solicitor in that action. There is no doubt that Murphy J. understood the defendant in the action was Waldock and he proceeded on that basis. In his reasons for judgment, Murphy J. found that the plaintiff retained Waldock pursuant to the retainer agreement and in doing so he made no reference to that being a retainer of the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February 24, 1995 Murphy J. revisited the issue of costs. In the intervening years, the Court of Appeal had confirmed the entitlement of lay litigants to recover costs. In his reasons for judgment filed on that day, Murphy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 hesitancy in concluding, as I mentioned, that Mr. Waldock's conduct in the trial before Mr. Justice Lander and in proceedings leading up to the trial, which constitute the circumstances under which this matter has come before the court - that is Mr. Kent's claim for damages against Mr. Waldock for his conduct - was reprehensible.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 circumstances, I order that Mr. Waldock will pay special costs to Mr. Kent for the entire proceedings up to and including today's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special costs awarded have not been assessed but counsel advise they are estimated to be approximately $300,000. Waldock filed in bankruptcy a few days after the award for costs. He is now discharged from bankruptcy and the plaintiff has not recovered on his award for costs. Accordingly, this action was commenced for a declaration that the defendants are jointly and severally liable for the costs awarded by Murphy J. in 1992 and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H.A.D. Oliver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have concluded the plaintiff cannot succeed in his claims against this defendant. It was the reprehensible conduct of Waldock and his breach of the retainer agreement, which gave rise to the awards for costs. This conduct took place after Oliver's appointment to the County Court of Vancouver. Upon his appointment to that court on September 8, 1988 the partnership of the defendants came to an end. Even if I concluded that the plaintiff relied upon the existence of a partnership throughout the course of his relationship with Waldock, the partnership was not in existence when the offending conduct took place. For that reason alone, the action cannot succeed against this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H.A.D. Oliver, Adrian Chaster, Ian Donaldson, Oliver Waldock, and Oliver &amp;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 relies on ss. 11 and 12 of the Partnership Act, </w:t>
      </w:r>
      <w:r>
        <w:rPr>
          <w:rFonts w:ascii="arial" w:eastAsia="arial" w:hAnsi="arial" w:cs="arial"/>
          <w:i/>
          <w:color w:val="000000"/>
          <w:sz w:val="20"/>
          <w:lang w:val="en-US" w:eastAsia="en-US" w:bidi="ar-SA"/>
        </w:rPr>
        <w:t>R.S.B.C. 1996, c. 348</w:t>
      </w:r>
      <w:r>
        <w:rPr>
          <w:rFonts w:ascii="arial" w:eastAsia="arial" w:hAnsi="arial" w:cs="arial"/>
          <w:color w:val="000000"/>
          <w:sz w:val="20"/>
          <w:lang w:val="en-US" w:eastAsia="en-US" w:bidi="ar-SA"/>
        </w:rPr>
        <w:t>, which 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partner in a firm is liable jointly with the other partners for all debts and obligations of the firm incurred while he or she is a partner, and after his or her death his or her estate is also severally liable in a due course of administration for those debts and obligations, so far as they remain unsatisfied, but subject to the prior payment of his or her separate debts.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by any wrongful act or omission of any partner acting in the ordinary course of the business of the firm or with the authority of his or her partners, loss or injury is caused to any person who is not a partner in the firm or any penalty is incurred, the firm is liable for that loss, injury or penalty to the same extent as the partner so acting or omitting to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It is unnecessary for me to interpret the meaning of those sections because at all material times the relationship between the defendants and Waldock was not a partnership. Waldock and the defendants had a space-sharing arrangement. There was no agreement to share in profits, to keep common books of account or to co-mingle income or other funds. There was neither joint ownership of assets nor any agreement to share jointly in any liabilities: Hayes v. British Columbia Television Broadcasting System Ltd. </w:t>
      </w:r>
      <w:hyperlink r:id="rId763" w:history="1">
        <w:r>
          <w:rPr>
            <w:rFonts w:ascii="arial" w:eastAsia="arial" w:hAnsi="arial" w:cs="arial"/>
            <w:i/>
            <w:color w:val="0077CC"/>
            <w:sz w:val="20"/>
            <w:u w:val="single"/>
            <w:shd w:val="clear" w:color="auto" w:fill="FFFFFF"/>
            <w:lang w:val="en-US" w:eastAsia="en-US" w:bidi="ar-SA"/>
          </w:rPr>
          <w:t>(1992), 74 B.C.L.R. (2d) 120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evidence of whether the plaintiff relied upon a holding out of the defendants and Waldock that they were a partnership of lawyers is conflicting. Despite the conflicts in the evidence, I am satisfied, when I consider the whole of the evidence, the matter is capable of disposition under R.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Counsel for the plaintiff argued that the facts not in dispute support a finding that there was a holding out by the defendants that they were Waldock's partners. In particular, he relied heavily on those facts that I have set out in paragraph 4. Despite those uncontradicted facts, I have no difficulty in concluding that at all material times the plaintiff was aware the defendants were not Waldock's partners. He also knew that a lawyer assisting Waldock, Holmes, was an employee of the defendants' partnership. Holmes assisted Waldock from time to time under the terms of a contract between Waldock and the defendants' partnership. The plaintiff was aware that Holmes was assisting Waldock under a contract. He was not aware of the terms of that contract. Chaster's involvement with the plaintiff was extremely limited. He did some work at the request of Waldock when Waldock was away on one occasion. Chaster also listened from time to time to the complaints of the plaintiff and his father relating to Waldock. When he was so engaged it was not because he was obliged to listen. It was as a courtesy to the plaintiff, his father and Waldock and was unrelated to any obligation arising under the plaintiff's retainer agreement with Waldock.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as follows:</w:t>
      </w:r>
      <w:r>
        <w:rPr>
          <w:rFonts w:ascii="arial" w:eastAsia="arial" w:hAnsi="arial" w:cs="arial"/>
          <w:sz w:val="20"/>
          <w:lang w:val="en-US" w:eastAsia="en-US" w:bidi="ar-SA"/>
        </w:rPr>
        <w:cr/>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practised law in partnership, under the firm name of Oliver, Waldock.</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Humphrey Waldock was a sole practitioner and he too used the name Oliver, Waldock.</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Waldock was never a partner of the defendants.</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firms had a space-sharing arrangement, which included sharing the costs for some office support and assistance.</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plaintiff was aware there were two separate firms. While he was not aware of the particulars of their fiscal agreements he was fully aware, in a general way, of the office-sharing arrangements.</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holding out or representation by the defendants to the plaintiff that they were the partners of Waldock. On the contrary, the plaintiff was aware at all material times that the defendants were not partners of Waldock.</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agreement was with Waldock and at all material times he did not rely on the defendants being partners of Waldock. On the contrary he knew they were not his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Section 16(1) of the Partnership Act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person who, by words spoken or written, or by conduct, represents himself or herself, or who knowingly allows himself or herself to be represented, as a partner in a particular firm is liable as a partner to any one who has, on the faith of any such representation, given credit to the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order to succeed the plaintiff must show he relied on the existence of a partnership, to his detriment. The evidence does not warrant such a conclusion: Andrucson v. Oliver, Waldock, </w:t>
      </w:r>
      <w:hyperlink r:id="rId764" w:history="1">
        <w:r>
          <w:rPr>
            <w:rFonts w:ascii="arial" w:eastAsia="arial" w:hAnsi="arial" w:cs="arial"/>
            <w:i/>
            <w:color w:val="0077CC"/>
            <w:sz w:val="20"/>
            <w:u w:val="single"/>
            <w:shd w:val="clear" w:color="auto" w:fill="FFFFFF"/>
            <w:lang w:val="en-US" w:eastAsia="en-US" w:bidi="ar-SA"/>
          </w:rPr>
          <w:t>[1999] B.C.J. No. 862</w:t>
        </w:r>
      </w:hyperlink>
      <w:r>
        <w:rPr>
          <w:rFonts w:ascii="arial" w:eastAsia="arial" w:hAnsi="arial" w:cs="arial"/>
          <w:color w:val="000000"/>
          <w:sz w:val="20"/>
          <w:lang w:val="en-US" w:eastAsia="en-US" w:bidi="ar-SA"/>
        </w:rPr>
        <w:t xml:space="preserve">, (16 April 1999), Vancouver (B.C.S.C.); Westfair Foods Ltd. v. Coopers &amp; Lybrand </w:t>
      </w:r>
      <w:hyperlink r:id="rId765" w:history="1">
        <w:r>
          <w:rPr>
            <w:rFonts w:ascii="arial" w:eastAsia="arial" w:hAnsi="arial" w:cs="arial"/>
            <w:i/>
            <w:color w:val="0077CC"/>
            <w:sz w:val="20"/>
            <w:u w:val="single"/>
            <w:shd w:val="clear" w:color="auto" w:fill="FFFFFF"/>
            <w:lang w:val="en-US" w:eastAsia="en-US" w:bidi="ar-SA"/>
          </w:rPr>
          <w:t>(1997), 45 B.C.L.R. (3d) 186</w:t>
        </w:r>
      </w:hyperlink>
      <w:r>
        <w:rPr>
          <w:rFonts w:ascii="arial" w:eastAsia="arial" w:hAnsi="arial" w:cs="arial"/>
          <w:color w:val="000000"/>
          <w:sz w:val="20"/>
          <w:lang w:val="en-US" w:eastAsia="en-US" w:bidi="ar-SA"/>
        </w:rPr>
        <w:t xml:space="preserve"> (S.C.); Bet-Mur Investments Ltd. v. Spring </w:t>
      </w:r>
      <w:hyperlink r:id="rId766" w:history="1">
        <w:r>
          <w:rPr>
            <w:rFonts w:ascii="arial" w:eastAsia="arial" w:hAnsi="arial" w:cs="arial"/>
            <w:i/>
            <w:color w:val="0077CC"/>
            <w:sz w:val="20"/>
            <w:u w:val="single"/>
            <w:shd w:val="clear" w:color="auto" w:fill="FFFFFF"/>
            <w:lang w:val="en-US" w:eastAsia="en-US" w:bidi="ar-SA"/>
          </w:rPr>
          <w:t>(1994), 20 O.R. (3d) 417</w:t>
        </w:r>
      </w:hyperlink>
      <w:r>
        <w:rPr>
          <w:rFonts w:ascii="arial" w:eastAsia="arial" w:hAnsi="arial" w:cs="arial"/>
          <w:color w:val="000000"/>
          <w:sz w:val="20"/>
          <w:lang w:val="en-US" w:eastAsia="en-US" w:bidi="ar-SA"/>
        </w:rPr>
        <w:t xml:space="preserve">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another reason why the plaintiff's action cannot succeed. This is an action for a declaration that the defendants are jointly and severally liable to pay a judgment rendered against Waldock in an entirely different action. If the plaintiff wished to prove a partnership and his reliance upon that partnership in order to hold the partners liable for Waldock's conduct then he must surely have been required to join those partners in the original action. He elected not to do so. He elected to sue Waldock alone. He chose not to sue the partnership or to allege the existence or reliance on that partnership. None of the partners had the opportunity to deny the plaintiff's assertions and claims. Not only were they deprived of the opportunity to deny the existence of a partnership as part of a defence in that action, they were also denied the opportunity to defend the plaintiff's claims made in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Counsel for the plaintiff says that the defendants were "privies" to the earlier action and accordingly are bound by the judgment. In Spencer Bower, Turner and Handley, The Doctrine of Res Judicata, 3rd ed. (London: Butterworths, 1996) the author describes the doctrine of "privies" at pp. 119-120: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 Judicata estoppels operates for, or against, not only the parties, but those who are privy to them in blood, title or interest. Privies include any person who succeeds to the rights or liabilities of the party upon death or insolvency, or who is otherwise identified in estate or interest. It is essential that the party to be estopped by privity must have some kind of interest, legal or beneficial, in the previous litigation or its subject matter.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Privity is not established by proof of curiosity or concern in the litigation, or 'some interest in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says the defendants were "privies" because they had an interest in enforcing the retainer agreement. I conclude the defendants were not parties to that agreement and had no legal or beneficial interest in its enforcement. Counsel for the plaintiff says the defendants were "privies" because Mr. Murphy, counsel for Waldock, acted in a manner that was consistent with protecting Chaster's interests. The evidence does not support a conclusion that counsel for Waldock was acting for or protecting the interests of the defendants. As well, the evidence does not support a conclusion that the defendants were "privies" because they were parties to Waldock's misconduct. Such a conclusion would be entirely unfair and unwarranted. I find that the defendants were neither parties nor "privies"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Chaster testified at the trial and supported Waldock's defence against the plaintiff's claims. Taking part as a witness and supporting a litigant does not make a person a party or "privy" to the action and subject to any judgment the court might render. I am satisfied the partnership and the individual defendants were not represented in the proceedings before Murphy J. This lack of representation was for a good reason. They had not been sued and they were not aware the plaintiff was seeking judgment against their former partnership and against them as individuals: Huff and Donnelly v. Price et al </w:t>
      </w:r>
      <w:hyperlink r:id="rId767" w:history="1">
        <w:r>
          <w:rPr>
            <w:rFonts w:ascii="arial" w:eastAsia="arial" w:hAnsi="arial" w:cs="arial"/>
            <w:i/>
            <w:color w:val="0077CC"/>
            <w:sz w:val="20"/>
            <w:u w:val="single"/>
            <w:shd w:val="clear" w:color="auto" w:fill="FFFFFF"/>
            <w:lang w:val="en-US" w:eastAsia="en-US" w:bidi="ar-SA"/>
          </w:rPr>
          <w:t>(1992), 13 B.C.A.C. 282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Rules of Court contain specific provisions for bringing actions against partnerships. A partnership can be sued in the firm or partnership name: R. 7(1) and (10). If a member of the partnership is served that suffices as service on all of the partners: R. 7(2). The firm may file an appearance or an individual partner may appear in his own name: R. 7(3). If judgment is granted against a partnership, individual members of the partnership may be required to pay the judgment but only if the preconditions set out in R. 7(7) have been met. Rules 7(7) and 7(8) read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(8), where an order is made against a firm, execution to enforce the order may issue against any person who</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entered an appearance in the person's own name in the proceeding as a partner,</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been served with the originating process as a partner, failed to enter an appearance in the proceeding,</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admitted in a pleading or affidavit that the person is a partner, or</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adjudged to be a partner.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who has obtained an order against a firm claims that a person, who is not a person described in subrule (7), is liable to satisfy the order as being a member of the firm, the party may apply to the court for leave to issue execution against that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this case the plaintiff made a choice and did not name a partnership or claim against any persons other than Waldock. Apart from a failure to comply with R. 7, it would be entirely unfair to now impose a liability against persons who were not named in an action. They had no opportunity to respond to the claims made by the plaintiff. It is not an answer to say they were aware of the action and that one or other of them testified in that action. That is not the point. The point is that they were not being sued and for that reason they did not appear and defend the claims made by the plaintiff. The judgment made by Murphy J. was a judgment against Waldock and not against a partnership which was not named as a party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Gleeson v. J. Wippel &amp; Co., </w:t>
      </w:r>
      <w:hyperlink r:id="rId768" w:history="1">
        <w:r>
          <w:rPr>
            <w:rFonts w:ascii="arial" w:eastAsia="arial" w:hAnsi="arial" w:cs="arial"/>
            <w:i/>
            <w:color w:val="0077CC"/>
            <w:sz w:val="20"/>
            <w:u w:val="single"/>
            <w:shd w:val="clear" w:color="auto" w:fill="FFFFFF"/>
            <w:lang w:val="en-US" w:eastAsia="en-US" w:bidi="ar-SA"/>
          </w:rPr>
          <w:t>[1977] 1 W.L.R. 510</w:t>
        </w:r>
      </w:hyperlink>
      <w:r>
        <w:rPr>
          <w:rFonts w:ascii="arial" w:eastAsia="arial" w:hAnsi="arial" w:cs="arial"/>
          <w:color w:val="000000"/>
          <w:sz w:val="20"/>
          <w:lang w:val="en-US" w:eastAsia="en-US" w:bidi="ar-SA"/>
        </w:rPr>
        <w:t>, Megarry V.-C. said at p. 516: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contention which leads to the conclusion that a person is liable to be condemned unheard is plainly open to the gravest of suspicions. A defendant ought to be able to put his own defence in his own way, and to call his own evidence. He ought not to be concluded by the failure of the defence and evidence adduced by another defendant in other proceedings unless his standing in those other proceedings justifies the conclusion that a decision against the defendant in them ought fairly and truly to be said in substance a decision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 these reasons, it is unnecessary for me to consider the arguments advanced by counsel relating to the proper limitation period and the doctrine of merger.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VICKERS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5"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Krushel (Guardian ad litem of) v. Ward, [2000] B.C.J. No. 1440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Drossos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15 - 19, 22, 23, 30, December 1, 2,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10 and 11,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34362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1440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1039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1127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Lindsay Nicole Krushel, an infant, by her Guardian ad litem, Terry Lee Krushel, and the said Guardian ad litem, Terry Lee Krushel, plaintiffs, and Adrian Dean Ward,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6"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2" w:name="Keywords_39"/>
      <w:bookmarkEnd w:id="262"/>
      <w:r>
        <w:rPr>
          <w:rFonts w:ascii="arial" w:eastAsia="arial" w:hAnsi="arial" w:cs="arial"/>
          <w:b/>
          <w:color w:val="000000"/>
          <w:sz w:val="20"/>
          <w:lang w:val="en-US" w:eastAsia="en-US" w:bidi="ar-SA"/>
        </w:rPr>
        <w:t>Damages — Limits of compensatory damages — Intervening cause — Assessment — Overlapping damages from separate causes — General damages — General damages for personal injury — Pain and suffering, loss of amenities and other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3" w:name="Case Summary_33"/>
            <w:bookmarkEnd w:id="2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Krushel for damages against Ward for injuries which she suffered as the result of a motor vehicle accident. Ward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liability for striking Krushel's vehicle from behind, but disputed the nature and extent of the injuries claimed. The accident occurred in March 1995. Krushel experienced immediate pain to her hip but did not see a doctor immediately. Subsequently, she suffered discomfort in her neck, lower back and hip. She went to work despite the fact that she felt discomfort. Krushel was involved in two other motor vehicle accidents after March 1995, which, she claimed, aggravated her injuries. Medical experts gave evidence as to the nature and extent of Krushel's injuries. At issue was whether the complaints arising from the subsequent accidents contributed to the injuries Krushel had sustained in March 1995, and the requisite measure of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4" w:name="Holdings of Court_28"/>
            <w:bookmarkEnd w:id="26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Based on the expert evidence, the quantum of general damages for pain and suffering and loss of the amenities of life arising from three motor vehicle accidents and pre-existing injuries or conditions was set at $34,000. Of this amount, 75 per cent was attributable to the more severe injuries of the March 1995 accident, 20 per cent to the less severe accident of January 1996 and five per cent to the combined remainder for pre-existing pain and the May 1995 accident. This left a net award for general damages of $25,500. The Court made other monetary dispositions for the remaining claims of past loss of income, loss of future opportunity, cost of future care, special damages and loss of homemaking capacity.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5" w:name="Counsel_39"/>
      <w:bookmarkEnd w:id="2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7"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Wesley C. Shields, for the plaintiffs. Geoffrey Gibb,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6" w:name="Judgment_39"/>
      <w:bookmarkEnd w:id="266"/>
      <w:r>
        <w:pict>
          <v:line id="_x0000_s1248" style="position:absolute;z-index:2518016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7" w:name="DROSSOS J."/>
            <w:bookmarkEnd w:id="267"/>
            <w:r>
              <w:rPr>
                <w:rFonts w:ascii="arial" w:eastAsia="arial" w:hAnsi="arial" w:cs="arial"/>
                <w:b/>
                <w:color w:val="000000"/>
                <w:sz w:val="30"/>
                <w:lang w:val="en-US" w:eastAsia="en-US" w:bidi="ar-SA"/>
              </w:rPr>
              <w:t>DROSSOS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Terry Lee Krushel, claims damages, under a number of headings, against the defendant, Adrian Dean Ward, for injuries which she suffered when on March 24, 1995, her motor vehicle was struck from behind by the defendant's negligent operation of his motor vehicle. The defendant admits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liability therefor, but disputes the nature and extent of the injuries claimed as resulting from or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on March 24, 1995, at about 12:30 p.m. while the plaintiff was driving her motor vehicle, a Dodge van, with her three young children and the child of a friend, easterly on Highway 97 to an afternoon outing at the Pigmy Petting Zoo in Kelowna, B.C. When stopped on the Okanagan Lake Floating Bridge for stopped traffic ahead, her van was struck with force from behind by the defendant's vehicle. As she had observed in her rear view mirror the defendant's vehicle rapidly approaching, she braced herself for the expected collision and applied her brakes fully to avoid being pushed into the vehicle ahead. The plaintiff's vehicle was then struck with considerable force, but did not collide with the vehicle ahead. There was only the one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Although the body frame and driver's seat bracket, which subsequently had to be welded, of the plaintiff's vehicle were significantly damaged with total ultimate repairs of $3,815.72, it was still driveable after the collision. The plaintiff testified that she experienced immediate pain to her hip at impact, but little else until later in the day and that although the children were upset, the children appeared all right at the time. In any event, since the children still wished to go to the petting zoo, the plaintiff decided to so proceed. She thought it would take their minds off the upset of the accident rather than go to the nearby Kelowna General Hospital emergency or to seek any other medical attention for the children and herself. It was subsequently determined that only one of the children, the plaintiff's daughter, suffered injuries. However, the plaintiff saw her family doctor the next day, March 25th, because of pain and discomfort to her neck and lower back and hip area. Dr. Bobyn prescribed treatment of ice packs and medication and on her next visit on April 5, 1995, advised physiotherapy. This was the precursor to medical examinations by a number of medical specialists and to varied and extensive medical treatment in an effort to resolve the plaintiff's ongoing complaints and symptoms of pain and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and all the children had their seatbelts on and the plaintiff her headrest in place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is 39 years of age and is a well educated person. She is a fully qualified lab technician who holds a certified registered technologist's diploma. Previous to moving to Kelowna in 1993 she was employed in this capacity in a hospital in Winnipeg, Manitoba, until she took part-time work in June, 1987, when her first child was born and full time off when her son was born in December, 1990. On moving to Kelowna, she again actively sought work as a lab technician, but because of a tough economy and non-hiring market was not able to obtain employment. It was not until March 22, 1995, two days before the motor vehicle accident, that the Kelowna General Hospital confirmed her employment of three months part-time to commence on Monday, March 27, 1995, and then possible employment on a casual employment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Mrs. Krushel testified that since work was scarce and she did not wish to jeopardize her job opportunity, she went to work even though she was feeling pain and discomfort from her accident injuries. She has since to date continued to work on a casual employee basis and on occasions part-time and full time when needed or other employees are on leave. On one occasion in May, 1998, she was posted into full time work for six months while an employee was on maternity leave. The plaintiff has lost very little employment time because of her accidents and what was lost was for medical appointments or treatments when she was unable to organize such outside her work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May 23, 1995, the plaintiff was involved in another motor vehicle accident. It was a minor type of accident with the damages to the plaintiff's vehicle totalling $724.35.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in her testimony stated that the other vehicle, a Camaro, nicked the front of her car and that she did not sustain any personal injuries. However, by her signed accident benefit application, dated August 17, 1995, in answer to the question, "Injury resulting from the accident", the plaintiff admitted that she set out "Re-aggravation of lower back injury from MVA on March 24, 1995". She missed no work because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also did not consult nor inform her family doctor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January 20, 1996, the plaintiff experienced a further motor vehicle accident when she braked her van to avoid a pick-up truck cutting the corner. She was unable to stop because of icy road conditions and slid into the pick-up truck, damaging the left front of her van for a total repair cost of $2,594.59. The damages were of some significance as compared to the May, 1995,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gave evidence that the right side of her neck was hurt and her right knee was bruised by striking the dashboard. Also, that her previous neck and hip injuries were aggravated by this accident. Again, she missed no work, but on this occasion she attended her family doctor on January 23, 1996, who diagnosed a soft tissue injury to the right side of her neck as well as a contusion to her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testified that at the time of the rear end motor vehicle accident of March 24, 1995, she was free of any pre-existing symptoms or injuries. With respect to her pre-existing medical history and injuries, she had been involved in three earlier rear end type of motor vehicle accidents. Her previous medical history showed that she suffered from periodic neck and lower back pain together with headaches for which she received medical treatment and medication. The latest episode involved physiotherapy treatment on November 2, 1994, about four and a half months before the March 24, 1995 accident, for chronic muscle injury relating to acute strain, apparently to her neck, with some follow up. The plaintiff's employee health history declaration for the Kelowna General Hospital, dated March 27, 1995, also sets out life long anemia, various allergies, migraines since 1979, right now infrequent, fractured pelvis age 6, laparoscopy, November, 1990, paraorbital cellulitis, December 13, 1994 and January 5, 1995, back pain - MVA - March 24/95, several previous MVAs - chronic neck pain, and fibromyalgia, due to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find on the evidence that the plaintiff used the word "fibromyalgia" as she thought it described the type of pain and discomfort that she experienced from her motor vehicle accidents and not because she had in the past been diagnosed with this condition. Nor is there any medical evidence before or after the March 24, 1995 accident date to support a finding of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knew from her medical knowledge and experience in her occupation that it was important to fully and correctly tell the medical professionals assessing and treating her for the March 24, 1995, motor vehicle accident injuries of her previous medical history and of any subsequent accidents or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Her family doctor, Dr. Bobyn, also testified to the effect that if he became aware of a subsequent accident, it would raise a red flag and require further questions and inquiry as to how it may bear on injury and existing injuries and that doctors rely on patients to give their history honestly.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medical examinations and x-rays after the March 24, 1995, motor vehicle accident and the subsequent two accidents showed the plaintiff's cervical spine and temporomandibular joint (TMJ) and lower back and hip area as normal but that there were likely some minor degenerative changes to the left hip and SI joint that pre-dated the accident. There was nothing to suggest that this condition was accelerated by these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Pursuant to the accident of March 24, 1995, the plaintiff has to date undergone extensive treatment and medical examinations and assessments by her family doctor and a number of medical specialists and caregivers. Over this period, she has received a variety of treatments, including medication, physiotherapy, massage, acupuncture, chiropractic, and exercises in an effort to resolve her ongoing complaints and symptoms of pain and discomfort to her lower back and hip and neck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To assess and evaluate with any precision the nature and extent of the plaintiff's injuries and the causation in relation to the accident of March 24, 1995, is complex and difficult in this case because of the two subsequent accidents and the overlay regarding her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further complicated by the plaintiff giving to the doctors a partial history or picture of her pre-existing condition and/or of the subsequent two motor vehicle accidents. It varied in extent and significance from doctor to doctor. When asked why when she knew it was important to give a full and candid account, she retreated to "I thought the doctor already knew or had been advised or that he did not specifically ask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satisfied that the plaintiff was given to focusing on what she thought was most relevant to the March 24, 1995, accident and overlooked or minimized what may be a contrafactor. Also, from my observations of the plaintiff in the giving of her testimony in the context of the whole of the evidence that she was prone at times to overstating and reacting to her situation regarding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is little in the way of objective clinical findings and the medical assessments and evaluations depend predominantly upon the subjective complaints and symptoms as given by the plaintiff. The above failures bear on the weight and dependability to attribute to the medical reports and opinions and further complicates and creates difficulties on the ultimate determination of the nature and extent of the injuries suffered and of the causation and apportionment, if any. However, on looking to the whole of the evidence and weighing and balancing the various factors, including the medical documents, reports, and opinions, the court finds that the plaintiff suffered from the motor vehicle accident of March 24, 1995, a mild to moderate soft tissue injury to her neck and lower back and hip and SI joint. It was difficult of resolution with a consequent protracted period of recovery ultimately to where her injuries are now largely resolved and the residuals are minor and manageable with some expectation of occasional flare-ups. Further, her pre-existing condition was quiescent at the time, but likely aggravated by the accident to a very small degree and that the second motor vehicle accident in May, 1995, likely resulted in a very minor aggravation to her neck and lower back and hip area injuries from the first accident. As regards to the third accident of January, 1996, I am satisfied that it was more significant and caused some fresh injury to the right side of her neck as well as some aggravation to the overall neck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court rejects that the accident of March 24, 1995, caused the plaintiff's subsequent problems with her left wrist and TMJ.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following factors, inter alia, are germane. Dr. Allan Richardson, an orthopaedic surgeon, pursuant to his examination of the plaintiff on December 4, 1997, in his medical-legal report of December 15, 1997 stated at pages 5 and 6, reading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at the time of examination I found that she had minimal clinical impairment, having a very small loss of range of motion in the left hip compared to the right, and still having good functional range. She did have a mild functional disability based on the pain. It is my opinion that she has suffered some musculotendinous injury to the left hip which has persisted. In addition, having strained the left hip including the external rotators and piriformis, she may have also have (sic) an irritation to the sciatic nerve at that level in the left buttock as most of her pain in the buttock seems to be musculotendinous origin locally as opposed to referred pain from the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this patient has also had an MRI of her hip which is basically negative.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it is my opinion that Terry Krushel is a 37 year old female who presents with complaints subsequent to a motor vehicle accident dated March 24, 1995. At that time she sustained a flexion/extension type injury of the cervical spine resulting in a soft tissue injury to the neck. This has resulted in continued musculotendinous symptoms in her cervical spine that can be aggravated by her activities of daily living. It is noted on xray that she may have early degenerative changes and these would be pre-existent to her motor vehicle accident in 1995, however most of her symptoms are related to the musculotendinous injury and not the degenerative changes in her cervical spine. In addition, it was noted that she had some mild cervical spine symptoms previous to the motor vehicle accident, and this would be an acute exacerbation of her pre-existent but quiescent problem.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her thoracolumbar spine, I found that she had minimal to mild clinical impairment and minimal to mild functional disability, having symptomatology that was activity related as well. On xray she is noted to have some pre-existent changes I believe in the lumbar facets, and some pre-existent asymmetry in the lumbar facets. This injury would be mainly a soft tissue injury, musculotendinous, acute, on top of an underlying but quiescent very mild degenerative condition that was asymptomatic prior to 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her knee and ankle, at the time of examination on December 4, 1997 I found that Terry Krushel had no clinical impairment and no functional disability with regard to both her left knee and left ankle.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with regard to her left hip, it is noted that Mr. (sic) Krushel did not have any hip (as in groin or buttock) pain prior to the motor vehicle accident. It is my opinion that as a result of the motor vehicle accident she suffered a musculotendinous strain in the left hip and buttock, including the external rotators of the hip and the hip flexors, and has gone on to have chronic problems with these muscles resulting in some neurological symptoms in the lower extremity, and continued tightness and spasm in these muscles. It is my opinion that this injury is an acute musculotendinous strain to the left hip and buttock leaving her with minimal clinical impairment and minimal to mild functional disability. Currently her activity level is limited but she has been participating in some recreational activities including volleyball and golf, and she has been continuing to work. It is my opinion that she should carry on her current course, continue stretching her cervical spine, exercises for her low back, and stretching the muscles in her left hip and buttock. In addition she could have a course of anti-inflammatory and/or physiotherapy as necessary for symptomatic relief. It is also my opinion that at this point in time, two and a half years from the date of her accident, that she is plateaued. Other than minor changes in discomfort in her left hip she most probably will continue on at her current level of function. It should be noted that in spite of her original injuries Mrs. Krushel did continue to work and maintain her activity level as well as she could tolerate within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Coghlan in his medical-legal report of December 1, 1998 pursuant to his medical examination of the plaintiff on November 30, 1998, on behalf of the defendant stated at pages 7 and 8 under "Final Diagnosis and Prognosis", reading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Page 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regards to this lady's symptoms and clinical findings from the first motor vehicle accident I think she did in fact have an acute whiplash injury of a mild to moderate degree. The second accident produced very little change in her symptoms. The last accident in January 1996 did aggravate her neck further at the time but since then her symptoms in her neck have eased off although it has never completely resolved.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Page 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Similarly I think that therapy has also a very limited role at this time and I would not recommend any active therapy apart from the use of the pelvic tilt to unload her lower facets.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point of view of her ability to work I do feel she is capable of working although with some aggravation.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feel she can participate actively in sports within a reasonable limit but she does have to learn to protect her back when loading or straining in sports as well as normal activities, both at home and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regards to the plaintiff's complaints of experiencing several months after the March 24, 1995, accident pain and discomfort to her TMJ and left wrist, the plaintiff has failed to meet the civil onus of proof that such were caused by the accident. In this respect, x-rays of November 24, 1995, showed normal axialtome study of the temporomandibular joints. The plaintiff had TMJ problems before the accident of occasional flare-ups and had spoken to her dentist in Winnipeg about it before moving to Kelowna in 1993. Further, in November, 1994 through to January, 1995, several months before the accident, she experienced a very severe and painful infection of this area which was treated by her doctor. Her dentist's medical-legal report of October 7, 1999, mentions when she attended on November 6, 1995, for routine exam and cleaning that she had pain in the area of her left temporomandibular joint (TMJ) which had not been present previously. He suggested she try massage therapy and an occusal night guard appliance. The report also stated she never had complained of pain in this area previous to the MVA of March 24, 1995. However, the evidence shows that she had been having TMJ problems for some time before the accident. As for the left wrist, the plaintiff noticed when carrying heavy objects or gripping a sharp pain. The ergonomics expert called by the plaintiff testified such complaints were fairly common by those doing lab work such as the plaintiff. The plaintiff never received any treatment for her left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summary, the requisite causal connection between these two complaints and the accident of March 24th fails to meet the civil standard of proof, and in any event, any pain or discomfort largely resolved in a short time and would play a very minimal part in the overall consequences of Ms. Krushel's motor vehicle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Although her work has its mental and physical stress and tedium at times, it cannot, in my opinion, be described as heavy or even a moderately heavy physical type of work. The plaintiff was able several days after the March 24, 1995 accident to start her employment with the Kelowna General Hospital and to continue her employment to date with very minimal time off because of her injuries albeit she experienced varying degrees of pain and discomfort from time to time while performing her work. Since February 19, 1996, she has taken further lab training qualifying her in both chemistry and pathological laboratory work which has created more job opportunities for her. Although she is still employed on a casual basis, predominantly in pathology, she has worked, as previously mentioned, part-time and full time when the opportunities present. The plaintiff confirmed in her examination-for-discovery answers of July 29, 1999, that at this time she applies for everything that is posted, including full time work. She has received glowing reports on her job evaluations as early as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Since December, 1994, to date she has been an active executive officer (secretary-treasurer) of the Okanagan Academy B.C. Society of Laboratory Technicians and continued to attend to the affairs of the Society even when other executive officers had resigned and she was the sole officer. In this respect, in early 1999 she organized a seminar for the Society in which her chiropractor was the guest speaker.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To the plaintiff's credit, she has not been reluctant in the face of her injuries to continue with her work and to seek to expand her workload. Nevertheless, it reflects that her injuries and any consequential pain and discomfort are not so serious or severe that such are not manageable to permit her to carry on with her work and to seek a full workload.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for her recreational activities, the plaintiff was able to play at a reduced level at the end of July, 1995, some golf pain free and by mid-August some tennis. In early January, 1996, she started playing volleyball until she injured her ankle while playing in mid-February, 1996, for which she received physiotherapy for her torn ankle ligament. It was not until later in the year at the end of October that she returned to playing volleyball.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During the plaintiff's vacations in 1996 through to 1999 she was able to enjoy most of the activities, but some of the more strenuous ones would result in some pain and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Except for the heavier yard work and heavier and more demanding household work, the plaintiff is able to perform most household tasks and her children are now older such that lifting is no longer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brief, the plaintiff is now able to perform most of her recreational activities and household tasks with care at a somewhat limited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complaints of pain and discomfort throughout predominantly involve her lower back and hip area and are essentially left sided. Her complaints involving her neck area are of a lesser extent. She testified that it was correct that her hip pain was always more severe than that of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January, 1997, the plaintiff started an extensive chiropractic treatment which, inter alia, progressed to her undertaking in late January, 1998, into late August or early fall of 1998 a Hanoun multi-cervical rehabilitation program. The Hanoun machine has a neck exercise component and function and as well takes measurements. Its diagnostic function was earlier in the trial rejected. During the course of the program, the periodic current subjective findings were reported on January 23, April 23, June 19, and August 20, 1998, based on the assessment of the party administering the machine and what he or she was told by the plaintiff. The findings of each report were the same throughout that neck pain/soreness/stiffness were modest as to intensity and intermittent in frequency. Pelvic, SI pain was slight as to intensity and intermittent in frequency. However, the plaintiff testified that no matter what the report says she has had pain constantly in her hip and her neck up and down and at times more than in the hip and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in her testimony also said that since she took the Hanoun program her neck was strengthened by the exercise and she benefitted greatly from it with a decrease in her neck problems. However, it still bothered her, but to a lesser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testimony of the frequency and extent of her symptoms of pain and discomfort was at times at odds with her previous written statements of such, and that of others based on information that she supplied. The foregoing factors taken cumulatively are a matter of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Since her chiropractor's medical opinions and prognosis are substantially based on and intertwined with the diagnostic component of the Hanoun machine, the weight and dependability of his opinions are of limited value. He also at times and in his critique of a medical-legal report by a specialist in physical medicine and rehabilitation stepped beyond his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court on assessing the quantum of general damages for pain and suffering and loss of the amenities of life globally arising from the motor vehicle accident of March 24, 1995, and the subsequent two motor vehicle accidents and any pre-existing injuries or conditions sets the amount at $34,000.00. Of this amount 75% is attributable to the more severe injuries of the March 24th accident and 20% to the less severe of the January 20, 1996, accident and 5% to the combined minimal remainder for pre-existing and the May 23, 1995, accident. This leaves a net award for general damages to the plaintiff of $25,500.00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disposition of the rest of the plaintiff's claims are as follows:</w:t>
      </w:r>
      <w:r>
        <w:rPr>
          <w:rFonts w:ascii="arial" w:eastAsia="arial" w:hAnsi="arial" w:cs="arial"/>
          <w:sz w:val="20"/>
          <w:lang w:val="en-US" w:eastAsia="en-US" w:bidi="ar-SA"/>
        </w:rPr>
        <w:cr/>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past loss of income is wanting to establish the amount with any precision. However, I am satisfied that the plaintiff did suffer some loss and that substantial justice will be done by setting the amount of $4,050.00 claimed at $3,000.00.</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of $30,000.00 for loss of future opportunity is excessive and not supported by the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limitations from her injuries are to avoid heavy type of work and lifting and work involving periods of some length of continuous stressful type of application, either stationary or very active, i.e. does not permit breaks to step back and then resume. The plaintiff is well trained and able to perform her present employment tasks and with some adjustments, especially those from a recent ergonomics assessment her work environment will be enhanced and more amenable.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She has received excellent performance reports and her employment is secure with realistic hopes of advancement in seniority and increase in her work time that she is seeking.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the plaintiff will have to go outside her present level or type of work to seek heavy or a stressful type of work as above mentioned. However, I find that there is some loss in her work capacity that would limit her future opportunity, but it is minor. The court accordingly awards $4,000.00 for this item.</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plaintiff's claim for cost of future care of $4,455.86 for the items listed under subclause (a) and of $11,900.00 under (b) for pain assessment and treatment at the Columbia Pain Assessment Clinic, the court finds that the plaintiff's residuals are now very minor and manageable by the plaintiff exercising some care and maintaining her home exercise programs and by the provision of some ergonomic aids in the workplace. However, there will likely be some occasional flare-ups and requirement for medication and treatment. The court accordingly sets the quantum for the items under (a) for massage, physiotherapy, chiropractic, medication, gym and ergonomic assessment aids at $4,400.00.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of $11,900.00 for future pain assessment is rejected as no longer warranted in the face of her present recovery and future expectations and instructions and guidance already received for her future ongoing care.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of special damages of $9,100.00 is granted.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 for loss of homemaking capacity (past/future) of $7,000.00 to $10,000.00 is excessive. Initially, the plaintiff was unable because of her injuries and starting work several days after the March 24, 1995, accident to perform some of her heavier household tasks such as vacuuming, mowing the lawn, or lifting her young children without some pain and discomfort. These heavier tasks were then largely attended to by her husband, but I would think that he would in the ordinary course attend in any event to most of the heavier tasks, including the mowing of the lawn. However, I am satisfied that as the children grew older and the plaintiff's injuries began to gradually improve and plateau and with some reorganization that the household duties and tasks can be fairly distributed amongst the plaintiff and the rest of the family. Nevertheless, some award is justified, but the diminution of her loss of capacity to do unpaid work of economic value on this issue of household services is now minimal (to minor). The court sets the amount of its award at $3,500.00. See Kroeker v. Jansen, </w:t>
      </w:r>
      <w:hyperlink r:id="rId776" w:history="1">
        <w:r>
          <w:rPr>
            <w:rFonts w:ascii="arial" w:eastAsia="arial" w:hAnsi="arial" w:cs="arial"/>
            <w:i/>
            <w:color w:val="0077CC"/>
            <w:sz w:val="20"/>
            <w:u w:val="single"/>
            <w:shd w:val="clear" w:color="auto" w:fill="FFFFFF"/>
            <w:lang w:val="en-US" w:eastAsia="en-US" w:bidi="ar-SA"/>
          </w:rPr>
          <w:t>[1995] B.C.J. No. 724</w:t>
        </w:r>
      </w:hyperlink>
      <w:r>
        <w:rPr>
          <w:rFonts w:ascii="arial" w:eastAsia="arial" w:hAnsi="arial" w:cs="arial"/>
          <w:color w:val="000000"/>
          <w:sz w:val="20"/>
          <w:lang w:val="en-US" w:eastAsia="en-US" w:bidi="ar-SA"/>
        </w:rPr>
        <w:t xml:space="preserve"> DRS95-12007, Vancouver Registry No. CA015461, and McTavish v. MacGillivray, </w:t>
      </w:r>
      <w:hyperlink r:id="rId777" w:history="1">
        <w:r>
          <w:rPr>
            <w:rFonts w:ascii="arial" w:eastAsia="arial" w:hAnsi="arial" w:cs="arial"/>
            <w:i/>
            <w:color w:val="0077CC"/>
            <w:sz w:val="20"/>
            <w:u w:val="single"/>
            <w:shd w:val="clear" w:color="auto" w:fill="FFFFFF"/>
            <w:lang w:val="en-US" w:eastAsia="en-US" w:bidi="ar-SA"/>
          </w:rPr>
          <w:t>[2000] B.C.J. No. 507</w:t>
        </w:r>
      </w:hyperlink>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Vancouver Registry No. CA023552.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Unless costs need be spoken to, the plaintiff shall have her taxable costs and disbursements under Scale 3 of the tariff.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Interest shall accrue as provided under the Court Order Interest Act from March 24, 1995, to judgment at the rate imposed from time to time during that period by District Registrars on default judgments.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DROSSOS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9" style="position:absolute;z-index:2518528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Lavalee v. Bristol Management, [2005] B.C.J. No. 2601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MacKenzie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S78377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2601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1666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Meaghan Lavalee a.k.a. Meaghan Johnson, plaintiff, and Bristol Management,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0"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8" w:name="Keywords_40"/>
      <w:bookmarkEnd w:id="268"/>
      <w:r>
        <w:rPr>
          <w:rFonts w:ascii="arial" w:eastAsia="arial" w:hAnsi="arial" w:cs="arial"/>
          <w:b/>
          <w:color w:val="000000"/>
          <w:sz w:val="20"/>
          <w:lang w:val="en-US" w:eastAsia="en-US" w:bidi="ar-SA"/>
        </w:rPr>
        <w:t>Landlord and tenant law — The premises — Defective or dangerous premises — Failure to provide security or warn of danger — Liability of landlord — Landlord not liable for failing to warn of fast-closing door where tenant was careless in using door and injured fingers as a result.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Landlord did not breach duty to ensure safety of tenant where tenant injured fingers in closing door — Door not defective — Plaintiff acted carelessly in reaching out to stop fast-moving door with which she was familiar without looking at door.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Lavalee injured fingers by catching them in closing door equipped with mechanism that automatically pulled door closed — Lavalee had just stepped over door ledge and turned back to hold door for husband when door shut on her hand — Lavalee had used door several times before — Lavalee was not looking at door when it closed — Door subsequently inspected by property manager who found no defects — Lavalee commenced action against landlord for breaching duty of care to ensure her safety — Alleged closing speed of door and door's awkward elevation posed unusual danger — Landlord owned 27 apartment buildings, all using same door-closing mechanism — No other reported accidents with doors — Properties inspected daily — Lavalee's expert, engineer, not helpful as engineer inspected door four years later — HELD: Action dismissed — Landlord did not fail to make door reasonably safe for use by Lavalee — Reasonable adult in Lavalee's position would have known of risk involved in sticking out hand to stop fast moving door when not looking at door — Door's ledge, closing speed did not contribute to accident — Warning sign on door would not have helped — Landlord had no duty to protect Lavalee from own careless act.</w:t>
      </w:r>
    </w:p>
    <w:p>
      <w:pPr>
        <w:jc w:val="both"/>
        <w:rPr>
          <w:rFonts w:ascii="arial" w:eastAsia="arial" w:hAnsi="arial" w:cs="arial"/>
          <w:sz w:val="20"/>
          <w:lang w:val="en-US" w:eastAsia="en-US" w:bidi="ar-SA"/>
        </w:rPr>
      </w:pPr>
      <w:bookmarkStart w:id="269" w:name="Legislation Cited_32"/>
      <w:bookmarkEnd w:id="2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1"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785" w:history="1">
        <w:r>
          <w:rPr>
            <w:rFonts w:ascii="arial" w:eastAsia="arial" w:hAnsi="arial" w:cs="arial"/>
            <w:i/>
            <w:color w:val="0077CC"/>
            <w:sz w:val="20"/>
            <w:u w:val="single"/>
            <w:shd w:val="clear" w:color="auto" w:fill="FFFFFF"/>
            <w:lang w:val="en-US" w:eastAsia="en-US" w:bidi="ar-SA"/>
          </w:rPr>
          <w:t>R.S.B.C. 1996, c. 377, ss. 3</w:t>
        </w:r>
      </w:hyperlink>
      <w:r>
        <w:rPr>
          <w:rFonts w:ascii="arial" w:eastAsia="arial" w:hAnsi="arial" w:cs="arial"/>
          <w:color w:val="000000"/>
          <w:sz w:val="20"/>
          <w:lang w:val="en-US" w:eastAsia="en-US" w:bidi="ar-SA"/>
        </w:rPr>
        <w:t>, 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0" w:name="Counsel_40"/>
      <w:bookmarkEnd w:id="27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2"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S.T.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M.A.E. MacKenzie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1" w:name="Judgment_40"/>
      <w:bookmarkEnd w:id="271"/>
      <w:r>
        <w:pict>
          <v:line id="_x0000_s1253" style="position:absolute;z-index:2518538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2" w:name="MacKENZIE J."/>
            <w:bookmarkEnd w:id="272"/>
            <w:r>
              <w:rPr>
                <w:rFonts w:ascii="arial" w:eastAsia="arial" w:hAnsi="arial" w:cs="arial"/>
                <w:b/>
                <w:color w:val="000000"/>
                <w:sz w:val="30"/>
                <w:lang w:val="en-US" w:eastAsia="en-US" w:bidi="ar-SA"/>
              </w:rPr>
              <w:t>MacKENZIE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February 14, 2001, the plaintiff, Meaghan Lavalee, injured her fingers when she caught them in a closing door. The door, on the outside of an apartment building, was equipped with a door closing mechanism that automatically pulled the door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Mrs. Lavalee argues that her landlord, the defendant, Bristol Management ("Bristol"), is liable under the Occupiers Liability Act, </w:t>
      </w:r>
      <w:r>
        <w:rPr>
          <w:rFonts w:ascii="arial" w:eastAsia="arial" w:hAnsi="arial" w:cs="arial"/>
          <w:i/>
          <w:color w:val="000000"/>
          <w:sz w:val="20"/>
          <w:lang w:val="en-US" w:eastAsia="en-US" w:bidi="ar-SA"/>
        </w:rPr>
        <w:t>R.S.B.C. 1996, c. 377</w:t>
      </w:r>
      <w:r>
        <w:rPr>
          <w:rFonts w:ascii="arial" w:eastAsia="arial" w:hAnsi="arial" w:cs="arial"/>
          <w:color w:val="000000"/>
          <w:sz w:val="20"/>
          <w:lang w:val="en-US" w:eastAsia="en-US" w:bidi="ar-SA"/>
        </w:rPr>
        <w:t>, (the "Act") for breaching its duty in s. 3(1) to "take that care that in all the circumstances of the case is reasonable to see that a person ...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Both counsel agree that it is appropriate to determine liability on the defendant's application under Rule 18A for dismissal of the plaintiff's action because most of the facts are undisputed.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narrow issue is whether the fact of the injuries in all the circumstances is sufficient to prove, on a balance of probabilities, that Bristol breached the duty of care owed to Mrs. Lavalee.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accident occurred at the Regency Court apartment building at 10520 132nd Street in Surrey, British Columbia when the door at the back of the building closed on Mrs. Lavalee's left hand and injured her fingers.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evening of February 14, 2001, Mrs. Lavalee and her husband (then boyfriend), Justin Lavalee, had returned to the building from shopping. They used the side door to bring in their packages. Mrs. Lavalee walked ahead of Mr. Lavalee toward the door which she unlocked. She pulled it open with her right hand and pushed it outward with her right foot to have enough time to step over the ledge past the door before it swung shut. As she stepped over the ledge, Mr. Lavalee yelled at her to hold the door open. Mrs. Lavalee responded to his request. With her back to the door, she bent over and put her shopping bags on the floor. She then straightened up, and turned slightly to put her left hand out to hold the door open. It closed quickly. Mrs. Lavalee did not see the door coming because her back was to the door. She caught her left hand in the door as it closed and a portion of her middle finger was severed and her index finger was fractured.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Mrs. Lavalee emphasized that to get through the door, she had to step over the door's ledge which was 4 and 1/16 inches high. Thus, she stressed this ledge was an obstacle at the doorway.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Mrs. Lavalee stressed also that when she put her bags down on the floor, her back was to the door. She was not looking at the door when she put her hand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Mrs. Lavalee lived in the complex for two and a half months before the accident occurred. She concedes she used the door a number of times before the accident. Consequently, I find that Mrs. Lavalee was familiar with the door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apartment building is one of 27 apartment complexes owned by Bristol. Mr. Peter Dziekiewicz has been the manager of all 27 buildings since 1999. The particular door closing mechanism used on the door in question is the same used on all exit doors for all 27 buildings that Mr. Dziekiewicz manages. The door closing mechanism is an hydraulic door-closing device. He estimated there are a total of more than five hundred such mechanisms in the buildings. The door is a solid core wood door. It is equipped with the door closing mechanism for security reasons. Mr. Dziekiewicz is not aware of any door closing mechanism having caused injury or harm similar to that sustained by Mrs. Lavalee.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Mr. Dziekiewicz learned of Mrs. Lavalee's accident, he inspected the particular door closing mechanism and found no defect or malfunction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apartment building in question is inspected daily by the on site building manager. As part of the daily inspection, the building manager is to pay particular attention to the doors, primarily for security reasons, to ensure they are not left open or unlatched. If he has any concern with the doors, or if anything is reported to him that requires a repair, he prepares a work order and delivers it to Mr. Dziekiewicz. Mr. Dziekiewicz also personally inspects the buildings from time to time. He has the opportunity to view and inspect the particular building where the accident occurred on a more frequent basis than any of the other 26 buildings because his office is in that apartment complex. Mr. Dziekiewicz also does an annual walk through the buildings to estimate repairs for budgetary purposes in the following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Dziekiewicz and Ms. Jane Bisson, the property manager with a management company employed by Bristol, are unaware of any accidents similar to Mrs. Lavalee's, either with this particular door or any other similar door in all 27 buildings, nor are they aware of any complaints about the door or its closing mechanisms. There have been no reports of any accidents or complaints about the door or any of the doors in the complexes since the accident. Mrs. Lavalee's evidence at her examination for discovery was that she had not experienced any difficulties with the door before the accident. Mr. Lavalee said that he would have waited for her to reopen the door, had it not closed on him so nothing compelled her to keep the door open. Mrs. Lavalee simply chose to put her hand out to try to keep the door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Mrs. Lavalee said she had enough time after opening the door and walking through it, to take the packages off her right hand, put them on the floor, and turn slightly to catch the door, which at that point was about to latch. On her own evidence, the door did not strike Mrs. Lavalee on the back of her body or hit her arm or shoulder. She said that the timing between when she put out her left hand to try to catch the door and its actual closing on her fingers was "instantaneous." During her examination for discovery, and in her affidavit, Mrs. Lavalee confirmed that she did not look at the door and did not see it 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particular door closing mechanism remained in use in the building, until a request was made in March 2005, to have Mr. Bailey, the plaintiff's expert, inspect the door. In October 2003, the door closing mechanism on the door in question was replaced with a heavier duty door closer and door knob guards to make them sturdier. The door closing mechanism was then moved for use in an interior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Mrs. Lavalee says that Bristol breached its duty of care to ensure that she would be reasonably safe in using its premises. First, she argues that because the door was improperly maintained, it closed at an unreasonable speed and with unreasonable force. Second, she says that the ledge on the floor prevented a person from stopping the door with their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Mrs. Lavalee retained an engineer, Mark Bailey, to examine the door and closing mechanism. I have reviewed both the photographs and the exhibits of the door closing mechanism and the part of the closing arm of the door. The evidence indicates that there are two parts related to the speed of the closing door. The first is the "closing speed" which is the speed of the door when open, then closes to the point where it almost touches the striker plate. The second speed is the point at which the door closes, its "latching" speed. Both speeds can be changed by turning a screw in the door closing mechanism. There is a screw for each of the "closing" speed and the "latching"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Although Mr. Bailey deposed that both the closing and the latching screws had been turned counter-clockwise so as to increase the speed, there is no evidence as to when or by how much those speeds had been increased because the door closing mechanism was not examined on the day of the accident. Mr. Bailey did not examine it until March 11, 2005. Mrs. Lavalee only relies on Mr. Bailey's evidence to show that the speed of the door was adjustable. She therefore asks me to impute knowledge on the part of Bristol that the closing mechanism could be adjusted for speed. However, there is no evidence as to how much variation in the speeds such an adjustment would permit, or that any such adjustment would have prevented the accident. This evidence does not assist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Mrs. Lavalee argues that the door was heavy and closed quickly. Both she and another resident at the time, Ms. Ratkay, would use their legs to manoeuvre their way through the door. In addition, Ms. Ratkay deposed that she was concerned about her daughter's safety when using the door and gave her "tips" on how to use the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Mrs. Lavalee argues that the closing speed coupled with the awkward elevation of the door, posed an unusual danger so that it was reasonably foreseeable that injury could be caused by using it. She says Bristol had a duty to detect unsafe conditions and cannot turn a blind eye merely because there were no past reports of injury. There was no evidence that Bristol posed a warning sign of the door's fast closing speed. Although Mrs. Lavalee was familiar with the door, she argues that she did not have a full appreciation of the risks associated with its use, and therefore did not voluntarily assume such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Mrs. Lavalee also maintains that using her hand to hold the door open did not substantially or materially contribute to her injury. She relies on Volk v. F.W. Woolworth Co., </w:t>
      </w:r>
      <w:hyperlink r:id="rId786" w:history="1">
        <w:r>
          <w:rPr>
            <w:rFonts w:ascii="arial" w:eastAsia="arial" w:hAnsi="arial" w:cs="arial"/>
            <w:i/>
            <w:color w:val="0077CC"/>
            <w:sz w:val="20"/>
            <w:u w:val="single"/>
            <w:shd w:val="clear" w:color="auto" w:fill="FFFFFF"/>
            <w:lang w:val="en-US" w:eastAsia="en-US" w:bidi="ar-SA"/>
          </w:rPr>
          <w:t>[1992] B.C.J. No. 2350</w:t>
        </w:r>
      </w:hyperlink>
      <w:r>
        <w:rPr>
          <w:rFonts w:ascii="arial" w:eastAsia="arial" w:hAnsi="arial" w:cs="arial"/>
          <w:color w:val="000000"/>
          <w:sz w:val="20"/>
          <w:lang w:val="en-US" w:eastAsia="en-US" w:bidi="ar-SA"/>
        </w:rPr>
        <w:t xml:space="preserve"> (S.C.), in which the plaintiff was momentarily distracted, to argue that any distraction on her part, does not constitute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Mrs. Lavalee submits that the injuries to her fingers raise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Bristol because the incident should not have happened in the ordinary course of events. In other words,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arises from the fact of the accident in the circumstances of the fast closing speed and the door's position on the ledge. She also submits that Bristol did nothing to correct the situation by, for example, installing a bar rail opener or warning users of the alleged hazardous door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agrees that it is the occupier of the premises where the plaintiff suffered her accident. However, the defendant submits that as an occupier, Bristol met the applicable standard of care imposed on it pursuant to s. 3 of the Act. Bristol says it did in fact take all reasonable care to ensure that tenants and visitors using the building, and in particular, the door, would be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submits there was nothing unreasonable about the operation of the door at the time of the accident. It operated normally and closed as it should have, and there is no evidence indicating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response to Mrs. Lavalee's complaint regarding the ledge on the floor, the defendant submits that Mrs. Lavalee did not give evidence that the ledge or surrounding area of the door played any role in her accident. Therefore, the defendant argues that Mrs. Lavalee is asking the court to speculate about a causal connection between the door's configuration to the ledge and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alternative, the defendant argues that Mrs. Lavalee was contributorily negligent in causing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Section 3(1) of the Act provides that "an occupier of premises owes a duty to take that care that in all the circumstances of the case is reasonable to see that a person ...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scope of the duty of care owed by an occupier was concisely summarized by Newbury J.A. in Trinetti v. Hunter, </w:t>
      </w:r>
      <w:hyperlink r:id="rId787" w:history="1">
        <w:r>
          <w:rPr>
            <w:rFonts w:ascii="arial" w:eastAsia="arial" w:hAnsi="arial" w:cs="arial"/>
            <w:i/>
            <w:color w:val="0077CC"/>
            <w:sz w:val="20"/>
            <w:u w:val="single"/>
            <w:shd w:val="clear" w:color="auto" w:fill="FFFFFF"/>
            <w:lang w:val="en-US" w:eastAsia="en-US" w:bidi="ar-SA"/>
          </w:rPr>
          <w:t>[2005] B.C.J. No. 2403</w:t>
        </w:r>
      </w:hyperlink>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2005 BCCA 549</w:t>
        </w:r>
      </w:hyperlink>
      <w:r>
        <w:rPr>
          <w:rFonts w:ascii="arial" w:eastAsia="arial" w:hAnsi="arial" w:cs="arial"/>
          <w:color w:val="000000"/>
          <w:sz w:val="20"/>
          <w:lang w:val="en-US" w:eastAsia="en-US" w:bidi="ar-SA"/>
        </w:rPr>
        <w:t>, where she stated at [paragraph]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not necessary that the danger to be guarded against be an unusual one. On the other hand, a risk of everyday life - such as going up or down ordinary stairs or walking on a sidewalk - is not something for which special measures are normally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applicable standard for the duty of care is one of reasonableness and not perfection (Trinetti v. Hunter, at [paragraph] 12; Leweke v. School District No. 63 (Saanich), </w:t>
      </w:r>
      <w:hyperlink r:id="rId788" w:history="1">
        <w:r>
          <w:rPr>
            <w:rFonts w:ascii="arial" w:eastAsia="arial" w:hAnsi="arial" w:cs="arial"/>
            <w:i/>
            <w:color w:val="0077CC"/>
            <w:sz w:val="20"/>
            <w:u w:val="single"/>
            <w:shd w:val="clear" w:color="auto" w:fill="FFFFFF"/>
            <w:lang w:val="en-US" w:eastAsia="en-US" w:bidi="ar-SA"/>
          </w:rPr>
          <w:t>[2005] B.C.J. No. 1213</w:t>
        </w:r>
      </w:hyperlink>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2005 BCCA 304</w:t>
        </w:r>
      </w:hyperlink>
      <w:r>
        <w:rPr>
          <w:rFonts w:ascii="arial" w:eastAsia="arial" w:hAnsi="arial" w:cs="arial"/>
          <w:color w:val="000000"/>
          <w:sz w:val="20"/>
          <w:lang w:val="en-US" w:eastAsia="en-US" w:bidi="ar-SA"/>
        </w:rPr>
        <w:t xml:space="preserve"> at [paragraph] 12-13). In addition, the defendant, as an occupier under the Act, does not constitute an insurer against every eventuality that may occur on the premises (Deroche v. Best Western Coquitlam Inn, </w:t>
      </w:r>
      <w:hyperlink r:id="rId789" w:history="1">
        <w:r>
          <w:rPr>
            <w:rFonts w:ascii="arial" w:eastAsia="arial" w:hAnsi="arial" w:cs="arial"/>
            <w:i/>
            <w:color w:val="0077CC"/>
            <w:sz w:val="20"/>
            <w:u w:val="single"/>
            <w:shd w:val="clear" w:color="auto" w:fill="FFFFFF"/>
            <w:lang w:val="en-US" w:eastAsia="en-US" w:bidi="ar-SA"/>
          </w:rPr>
          <w:t>[1999] B.C.J. No. 331</w:t>
        </w:r>
      </w:hyperlink>
      <w:r>
        <w:rPr>
          <w:rFonts w:ascii="arial" w:eastAsia="arial" w:hAnsi="arial" w:cs="arial"/>
          <w:color w:val="000000"/>
          <w:sz w:val="20"/>
          <w:lang w:val="en-US" w:eastAsia="en-US" w:bidi="ar-SA"/>
        </w:rPr>
        <w:t xml:space="preserve"> (S.C.) at [paragraph] 16; Kayser, at 19). The duty of care does not extend as far as to require the defendant to remove every possibility of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burden is on the plaintiff to establish that the injury resulted from a breach of the occupier's duty. In Thuveson v. Robert Ash &amp; Associates, </w:t>
      </w:r>
      <w:hyperlink r:id="rId790" w:history="1">
        <w:r>
          <w:rPr>
            <w:rFonts w:ascii="arial" w:eastAsia="arial" w:hAnsi="arial" w:cs="arial"/>
            <w:i/>
            <w:color w:val="0077CC"/>
            <w:sz w:val="20"/>
            <w:u w:val="single"/>
            <w:shd w:val="clear" w:color="auto" w:fill="FFFFFF"/>
            <w:lang w:val="en-US" w:eastAsia="en-US" w:bidi="ar-SA"/>
          </w:rPr>
          <w:t>[1997] B.C.J. No. 1177</w:t>
        </w:r>
      </w:hyperlink>
      <w:r>
        <w:rPr>
          <w:rFonts w:ascii="arial" w:eastAsia="arial" w:hAnsi="arial" w:cs="arial"/>
          <w:color w:val="000000"/>
          <w:sz w:val="20"/>
          <w:lang w:val="en-US" w:eastAsia="en-US" w:bidi="ar-SA"/>
        </w:rPr>
        <w:t xml:space="preserve"> (S.C.) at [paragraph] 5, Sinclair-Prowse J. succinctly set out certain principles applicable in occupier's liability cases. First, the onus is on the plaintiff to prove on a balance of probabilities that the defendant breached the duty of care. Second, the fact of injury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be able to point to some act or failure to act on the part of the defendant which resulted in her injury - this act or failure to act being a breach of the defendant's positive duty to take reasonable care to ensure that the plaintiff was reasonably safe while she was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conclude the evidence does not prove that Bristol failed to make the door reasonably safe for use by Mrs. Lavalee. She was familiar with its operation as she had lived in the apartment building for two and a half months and used this side door about once a week to bring in groceries. Based on the scope of the duty of care outlined in Trinetti v. Hunter, I find that although the door closed quickly and with some degree of force, it was one of the everyday risks or exigencies that did not require special measures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the circumstances, the fact that Mrs. Lavalee was injured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she has failed to point to some act or failure to act on the part of Bristol which resulted in her injury. I find no breach of Bristol's positive duty to take reasonable care to ensure that Mrs. Lavalee was reasonably safe while using the premises. A reasonable adult in these circumstances would know there is an inherent risk in sticking out one's hand to stop a fast moving door from closing when one is not looking at the door and has one's back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Furthermore, the fact there were no pre-existing complaints about the door or the door closing mechanism weighs in favour of the defendant. Although "prior safe use" is not determinative, it is a factor in determining whether premises are reasonably safe: Cahoon v. Wendy's Restaurant of Canada Inc., </w:t>
      </w:r>
      <w:hyperlink r:id="rId791" w:history="1">
        <w:r>
          <w:rPr>
            <w:rFonts w:ascii="arial" w:eastAsia="arial" w:hAnsi="arial" w:cs="arial"/>
            <w:i/>
            <w:color w:val="0077CC"/>
            <w:sz w:val="20"/>
            <w:u w:val="single"/>
            <w:shd w:val="clear" w:color="auto" w:fill="FFFFFF"/>
            <w:lang w:val="en-US" w:eastAsia="en-US" w:bidi="ar-SA"/>
          </w:rPr>
          <w:t>[2000] B.C.J. No. 762</w:t>
        </w:r>
      </w:hyperlink>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2000 BCSC 629</w:t>
        </w:r>
      </w:hyperlink>
      <w:r>
        <w:rPr>
          <w:rFonts w:ascii="arial" w:eastAsia="arial" w:hAnsi="arial" w:cs="arial"/>
          <w:color w:val="000000"/>
          <w:sz w:val="20"/>
          <w:lang w:val="en-US" w:eastAsia="en-US" w:bidi="ar-SA"/>
        </w:rPr>
        <w:t xml:space="preserve"> [paragraph]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is no evidence before me of any of the following:</w:t>
      </w:r>
      <w:r>
        <w:rPr>
          <w:rFonts w:ascii="arial" w:eastAsia="arial" w:hAnsi="arial" w:cs="arial"/>
          <w:sz w:val="20"/>
          <w:lang w:val="en-US" w:eastAsia="en-US" w:bidi="ar-SA"/>
        </w:rPr>
        <w:cr/>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door's ledge in any way contributed to the accident;</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door or the door closing mechanism were not inspected appropriately or regularly;</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speed or force with which the door closed was any different from any door of a similar nature governed by a door closing mechanism;</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door closing mechanism did not conform to any particular industry standard or other regulation;</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door could have latched had it used less speed or force; or,</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any defect or malfunction in the door closing mechanism.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purpose of the door closing mechanism was to ensure the door closed and latched. It is a fire door and a security door. There is no evidence that Mrs. Lavalee's injury was caused by the door closing mechanism being hazardous in any way. Rather, Mrs. Lavalee caught her fingers in a properly operating and closing door. Mr. Bailey examined the mechanism and observed that the screws had been turned in the direction of increased speed, but no where does he say that the speed or force was unreasonable or hazardous.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attach little weight to Ms. Ratkay's concern about the door because she did not report any concern to management and there is no evidence about when she had such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Mrs. Lavalee asks the court to speculate. It is not appropriate when determining whether Bristol breached a duty of care, to shift the onus to Bristol merely on the fact of Mrs. Lavalee's injury in the circumstances. Mrs. Lavalee opened the door, walked through it and was not injured when she used the door for its intended purpose, or in the manner in which it was intended to function: it was only when she put down her packages, reached for the door without looking, and put her fingers into an almost closed door, that the injuries occurred. A warning would not have helped. Mrs. Lavalee failed to prove a causal link between a failure to warn and her injuries. Instead, every adult knows that avoiding injury requires reasonable care in the ordinary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Since I have determined that the defendant did not breach its duty of care, I will not deal with whether the plaintiff was contributorily negligent. There was no duty on Bristol to protect Mrs. Lavalee from her own careless act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Accordingly, Mrs. Lavalee's claim against Bristol is dismissed. Bristol will have its costs of this application and of the action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MacKENZIE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4"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Lee Estate v. Royal Pacific Realty Corp., [2003] B.C.J. No. 1393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Satanove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13 - 17, 2002 and May 12 - 15,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C995919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1393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911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123 A.C.W.S. (3d) 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B.C.T.C. 911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Estate of Yoon Chae Lee by its Administrator ad litem, Jeong-ho Lee, plaintiff, and Royal Pacific Realty Corp. and Michael Chan,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5"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3" w:name="Keywords_41"/>
      <w:bookmarkEnd w:id="273"/>
      <w:r>
        <w:rPr>
          <w:rFonts w:ascii="arial" w:eastAsia="arial" w:hAnsi="arial" w:cs="arial"/>
          <w:b/>
          <w:color w:val="000000"/>
          <w:sz w:val="20"/>
          <w:lang w:val="en-US" w:eastAsia="en-US" w:bidi="ar-SA"/>
        </w:rPr>
        <w:t>Brokers — Employment and authority — Breach of relation — Duties of broker to principal — Duty respecting conflicts of interest — Real estate brokers — Fiduciary duty.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4" w:name="Case Summary_34"/>
            <w:bookmarkEnd w:id="2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Lee for damages for breaches of fiduciary duty, confidence, statutory duty, and contract, as well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In April 1998, Lee contacted Chan, a real estate agent with Royal Pacific, to obtain information about businesses Chan had for sale. Lee was particularly interested in a bowling business. Lee signed an exclusive buyer's agent contract with Chan. On the vendor's request, Chan provided the vendor with a resume supplied by Lee in October 1998. The vendor told Chan that he was willing to sell two bowling businesses together for $15 million. Chan became the vendor's exclusive listing agent. Lee told Chan that he was interested in pursuing the purchase of the properties in early November, and later in November, he told Chan that he was consulting another realtor, Toppings, and he wanted Toppings to represent him in the transaction. Chan transmitted the opening offer and counter offers to the vendors. Toppings advised Lee to offer $11 million. Lee then received a copy of the exclusive listing agreement signed by the vendor, naming Chan as his agent, and Lee signed a limited dual agency agreement with Chan. Chan continued to transmit offers back and forth between Lee and the vendor until a purchase price of $12.6 million was finally agreed upon. Lee argued that he could have obtained the property for $10 million but for Chan's disclosure of confidential information and conflict of interest.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5" w:name="Holdings of Court_29"/>
            <w:bookmarkEnd w:id="275"/>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 and Royal Pacific were bound by the exclusive buyer's agent contract until Lee indicated his intention to use Toppings. That was a clear repudiation of the contract, and Chan accepted that repudiation. Toppings treated Chan as the vendor's agent after that date. Chan still had a duty not to disclose to the vendor the price that Lee was willing to pay or personal information without Lee's authorization. Royal Pacific rebutted the presumption of fiduciary duty by proving a lack of trust, confidence and reliance in them by Lee. From Chan's perspective, there was no fiduciary relationship, and Lee did not conduct himself as though such a relationship existed. It would have been unreasonable for Lee to rely on Chan as a fiduciary, and he did not do so. The evidence did not establish that Chan breached any duty to Lee. The confidential information allegedly disclosed by Chan was contained in the resume that Lee provided knowing it had been solicited by the vendor. The vendor would not have accepted $10 million for the properties. There was no evidence that Chan did anything to drive up the purchase price. The negotiations were fair and Lee paid a fair price.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6" w:name="Legislation Cited_33"/>
      <w:bookmarkEnd w:id="2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6"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Real Estate Act, R.S.B.C. 1996, c. 397, s. 36, 36(1)(a), 36(1)(b), 36(1)(c), 36(1)(d).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7" w:name="Counsel_41"/>
      <w:bookmarkEnd w:id="27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7"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Daniel S. Parlow, Christopher J. Andison and Barbara Cornish, for the plaintiff. Herb Williamson and Kelly Murray,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8" w:name="Judgment_41"/>
      <w:bookmarkEnd w:id="278"/>
      <w:r>
        <w:pict>
          <v:line id="_x0000_s1258" style="position:absolute;z-index:2518548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9" w:name="SATANOVE J."/>
            <w:bookmarkEnd w:id="279"/>
            <w:r>
              <w:rPr>
                <w:rFonts w:ascii="arial" w:eastAsia="arial" w:hAnsi="arial" w:cs="arial"/>
                <w:b/>
                <w:color w:val="000000"/>
                <w:sz w:val="30"/>
                <w:lang w:val="en-US" w:eastAsia="en-US" w:bidi="ar-SA"/>
              </w:rPr>
              <w:t>SATANOVE J.</w:t>
            </w:r>
          </w:p>
        </w:tc>
      </w:tr>
    </w:tbl>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case involves an action by the estate of the purchaser of two bowling alleys (the "Properties") against a real estate agent and his employer, both of whom the plaintiff says are liable for breach of fiduciary duty, breach of confidence, breach of statutory duty,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crux of the plaintiff's case is that the defendants were engaged to assist Mr. Lee, now deceased, in the acquisition of businesses and as such, were in a fiduciary relationship with him. This fiduciary relationship imposed certain duties upon the defendants, such as a duty of non-disclosure of confidential information to the vendor, duty of disclosure of information received from the vendor, duty to act in the best interest of the plaintiff ahead of their own interest, and a general duty of utmost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claims that the defendants breached these duties by firstly, passing on to the vendor confidential and commercially sensitive information about Mr. Lee, such as: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he was able to complete a business transaction for between 10 to 15 million dollars;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purchasing strategy including the amount of his intended opening offer;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which he was ultimately willing to pay for the Properties and how he arrived at those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claims that secondly, the defendants failed to disclose the allegedly true nature of their relationship and alleged communications with the vendor such as: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5% commission contingent on a 15 million dollar sale price;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plan to drive Mr. Lee to make an initial offer of 13 million dollars;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exclusive listing agreement with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also says that the defendants had their own agenda to increase the sale price in order to increase their commission. The plaintiff argues that the breaches by the defendants were deliberate and for the purpose of increasing the benefit to them. The plaintiff claims that, as a result of all of the above misconduct of the defendants, Mr. Lee's ability to negotiate the lowest possible purchase price for the Properties was compromised and he lost the opportunity to purchase them at a lower price than that which he ultimately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claim that at the material time of the purchase of the Properties, Mr. Lee was no longer relying on the defendants as his real estate agents. By that time, Mr. Lee had engaged Glen Toppings, another real estate agent, upon whom he relied for advice. Thus, the defendants say that no contractual or fiduciary relationship existed between Mr. Lee and the defendants at the time the sales agreement was entered into. Alternatively, the defendants say that if such a relationship existed, Mr. Lee did not actually rely on the defendants, or that it was reasonable for the defendants to assume that Mr. Lee was not relying on them. The defendants deny that any information was imparted by Mr. Lee (or his son) to the defendants in confidence, and deny that they misrepresented their relationship with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summary trial was set down by the defendants to dismiss the plaintiff's claims against them. The plaintiff does not oppose the trial proceeding by way of summary procedure under Rule 18A, but submits that it should be awarded judgment against the defendants for $2,468,473.00, representing the difference between the price paid by Mr. Lee for the Properties and the price for which the plaintiff says Mr. Lee could have bought the Properties, but for the defendants impugned conduct.</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Thus, the issues for me to decide are:</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relationship between the parties and the corresponding duties which resulted.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breaches of duty by the defendants in communicating unauthorized confidential information to the vendor, or failing to disclose information from the vendor.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negligent misrepresentations made by the defendants to Mr. Lee upon which Mr. Lee relied to his detriment.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damages due to breaches of duty by the defendants and if so, in what quantum should they be assessed.</w:t>
      </w:r>
    </w:p>
    <w:p>
      <w:pPr>
        <w:numPr>
          <w:numId w:val="1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initial contact between Mr. Lee and the defendants was when Mr. Lee's son, ("Mr. Lee, Jr.") called Mr. Chan in April 1998 about businesses Mr. Chan had listed for sale. The Lees then asked Mr. Chan for more information about other businesses, which could be purchased for 10 million dollars or more. In particular, they were interested in the bowling business and asked Mr. Chan to obtain more information about Brentwood Recreation Center ("Brentwood"). Mr. Lee, Jr. signed an Exclusive Buyer's Agent Contract, a Non-disclosure Agreement, and a Letter of Intent. Mr. Chan, and the contents of the Exclusive Buyer's Agent Contract itself, expressly advised the Lees that the defendants would be paid a commission by the seller, in which case Mr. Chan would require Mr. Lee to sign a dual agency agreement. As discussed later, on October 26, 1998 Mr. Chan provided the vendor of Brentwood with a resume of the Lees.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During his first contact with Mr. Dobbins, the representative of the vendor, Mr. Chan was informed that the vendor would grant the defendants an "exclusive" listing. Mr. Chan arranged for a meeting between Mr. Dobbins and the Lees for October 31, 1998. At this meeting Mr. Lee disclosed that he had already purchased another bowling business in Maple Ridge in the summer of 1998. The Lees learned that the vendor would only sell Brentwood together with another bowling business in Victoria called Mayfair Lanes ("Mayfair") and that the vendor wanted 15 million dollars for the Properties. The parties discussed means of valuation of the Properties and on November 3, 1998 Mr. Chan wrote to Mr. Dobbins questioning the asking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Lee informed Mr. Chan on November 4, 1998 that he wished to pursue the purchase of the Properties and suggested that they meet to discuss it. Mr. Chan then spoke with Mr. Dobbins on the telephone who assured him that Mr. Chan was the exclusive listing agent representing the vendor and the Lees.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meeting with the Lees on or about November 11, 1998, Mr. Chan was informed by Mr. Lee that he was consulting another realtor, Glenn Toppings, of Park Georgia Realty and that Mr. Lee wanted Mr. Toppings to represent him in the transaction. At a subsequent meeting on November 18, 1998 arrangements were made between Mr. Lee and the defendants whereby Mr. Toppings would represent and advise Mr. Lee in the transaction. Mr. Chan deposed that Mr. Lee also consulted with his accountant and his lawyer in the course of negotiations. Meanwhile, Mr. Chan carried out the plaintiff's instructions to transmit the opening offer and counter offers to Mr. Dobbins.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November 22, 1998 Mr. Toppings advised Mr. Lee to offer 11 million dollars as an opening bid. Mr. Chan prepared the offer and transmitted it to Mr. Dobbins. On November 24, 1998 Mr. Chan received a copy of an Exclusive Listing Agreement signed by the vendor which Mr. Chan signed on November 25, 1998. Also on November 24, 1998 the Lees both signed a Limited Dual Agency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Chan continued to transmit several counter offers back and forth between Mr. Lee and Mr. Dobbins until a purchase price of $12,600,000.00 was finally agreed to between Mr. Lee and the vendor. The transaction was completed on March 31, 1999.</w:t>
      </w:r>
      <w:r>
        <w:rPr>
          <w:rFonts w:ascii="arial" w:eastAsia="arial" w:hAnsi="arial" w:cs="arial"/>
          <w:sz w:val="20"/>
          <w:lang w:val="en-US" w:eastAsia="en-US" w:bidi="ar-SA"/>
        </w:rPr>
        <w:cr/>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RELATIONSHIP BETWEEN THE PARTIES</w:t>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Contractual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continuation hearing the plaintiff relied on an Exclusive Buyer's Agent Contract with the defendants, which Mr. Lee, Jr. signed on April 8, 1998. There was nothing on the face of this document to indicate that Mr. Lee, Jr. was signing on behalf of Mr. Lee or in any other capacity except as buyer. Indeed, the plaintiff did not plead the provisions of this written contract and it was not mentioned in the further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its Amended Chambers Brief, the plaintiff devoted 10 pages to an argument of breach of contract and breach of statutory duty by the defendants based on this Exclusive Buyer's Agent Contract of April 8, 1998, to which Mr. Lee was never privy. Nowhere was it addressed as to how the plaintiff could rely on the terms of a contract which Mr. Lee did not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addition, Mr. Lee did not conduct himself as though he were bound by the terms of any agreement to use Mr. Chan as his exclusive buying agent. Mr. Lee purchased a different bowling business, Maple Ridge Bowling Lanes, through the assistance of another real estate agent in the summer of 1998. More importantly, he retained Mr. Toppings, also a real estate agent, in November 1998 to advise him on the subject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the other hand, paragraph 22 of the Defendants' Chambers Brief states "An exclusive buyers agency contract was signed by the parties on April 8, 1998 ... but it will be submitted that the exclusive buyer's agency contract was abrogated". This may constitute an admission by the defendants that the Exclusive Buyer's Agent Contract was binding between Mr. Lee and the defendants until Mr. Toppings was retained.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any event, it is obvious that in April 1998 Mr. Lee and the defendants entered into some form of arrangement whereby Mr. Chan would locate business opportunities for Mr. Lee to purchase in Canada. It is clear that when Mr. Chan made inquiries with various vendors, he was representing Mr. Lee as a potential purchaser, and in that sense there was a relationship of agency at common law. Furthermore, there were the terms of the Exclusive Buyer's Agent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find that the defendants were probably bound by the terms of the Exclusive Buyer's Agent Contract until November 11, 1998 when Mr. Lee indicated that he no longer wished to use Mr. Chan to assist him on the subject transaction. Mr. Chan's services lay at the very heart of the Exclusive Buyer's Agent Contract, and for Mr. Lee to tell Mr. Chan that he would not proceed with the transaction unless he were represented by Mr. Toppings was a clear repudiation of that contract. Mr. Chan, by agreeing that Mr. Toppings could represent Mr. Lee and that the defendants would share the commission with Mr. Toppings, clearly accepted the repudiation. Any duties which bound Mr. Chan under the Exclusive Buyer's Agent Contract were at an end from that point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fact, after November 11, 1998 the defendants were treated by Mr. Toppings as the agents for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Toppings deposed that as of October 31 or November 1, 1998 Mr. Lee was telling him that he was uncomfortable with Mr. Chan and had no confidence in him. At first, Mr. Toppings did not want to get involved in the transaction because Mr. Chan had introduced Mr. Lee to 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Mr. Toppings and Mr. Chan agreed on how the commission would be shared, Mr. Toppings assumed that Mr. Chan would work for the vendor and Mr. Toppings would work for the plaintiff. Mr. Toppings could not recall telling Mr. Lee this but it was his general practice to discuss this with clients. In a subsequent arbitration over commission, Mr. Toppings filed an affidavit setting out a litany of services he provided as Mr. Lee's agent. From this affidavit it was apparent that Mr. Toppings considered himself, not Mr. Chan, to be the buyer's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November 24, 1998, the plaintiff and the defendants entered into a Limited Dual Agency Agreement. This written agreement acknowledged that it was not a breach of duty for the defendants to act as agent for both the Lees and the vendor, and that the defendants would have a duty of disclosure to both the Lees and the vendor, except that:</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would not disclose that the Lees were willing to pay a price other than contained in the offer;</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would not disclose the motivation of the Lees to buy or the vendor to sell unless authorized; and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would not disclose personal information about the Lees or the vendor unless 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find that at all times material to the plaintiff's claim, regardless of which written agreement applied when, the defendants had, at a minimum, a contractual duty to the Lees not to disclose to the vendor the price that Mr. Lee was willing to pay for the Properties, or the Lees' motivation to buy the Properties, or personal information about the Lees without their authorization. These are the terms which the plaintiff has alleged were breached. They were subsumed under the terms of the Exclusive Buyer's Agent Contract and even after that contract was repudiated, they were preserved by the Limited Dual Agency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plaintiff relied on section 36 of the Real Estate Act, </w:t>
      </w:r>
      <w:hyperlink r:id="rId799" w:history="1">
        <w:r>
          <w:rPr>
            <w:rFonts w:ascii="arial" w:eastAsia="arial" w:hAnsi="arial" w:cs="arial"/>
            <w:i/>
            <w:color w:val="0077CC"/>
            <w:sz w:val="20"/>
            <w:u w:val="single"/>
            <w:shd w:val="clear" w:color="auto" w:fill="FFFFFF"/>
            <w:lang w:val="en-US" w:eastAsia="en-US" w:bidi="ar-SA"/>
          </w:rPr>
          <w:t>R.S.B.C. 1996, c. 397</w:t>
        </w:r>
      </w:hyperlink>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assisting or representing any person in a real estate transaction, a licensee must disclose to that person</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assistance or representation that the licensee will provide to the person,</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licensee is, or will be, acting in the real estate transaction on behalf of any other person, in any capacity,</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licensee is or will be, receiving remuneration relating to the real estate transaction from any other person,</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licensee's relationship with any other person from whom the licencee is, or will be, receiving remuneration relating to the real estate transaction, ...</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during the course of a real estate transaction in which a licensee is assisting any person, there is any material change in the facts that the licensee has disclosed under subsection (1) to that person, the licensee must disclose the change to that person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agree that the defendants, as licensed real estate agent and agency, had a statutory duty to disclose items (a) through (d) above, and to advise of any subsequent material change to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submitted that the Lees' dealings with the defendants fell within the class of relationship which is presumed by law to be of a fiduciary nature. The onus is on the defendants to rebut that presumption.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agree with this submission of the plaintiff, but I find on the evidence that the defendants have rebutted the presumption by proving a lack of trust, confidence and reliance in the defendants by the plaintiff. Trust, confidence and reliance are the three characteristics of a relationship which render it inherently vulnerable requiring the courts' protection and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usual relationship with a real estate agent is presumed to have as its essence discretion, influence over interests by the agent and inherent vulnerability of the principal. (Hodgkinson v. Simms, </w:t>
      </w:r>
      <w:hyperlink r:id="rId800"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at page 409). These are manifestations of trust, confidence and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However, if a relationship in fact contains none of these elements, then the mere description of the defendants as real estate agent and agency does not create a fiduciary duty owing to the plaintiff. There must be something more than a simple undertaking by one party to provide information and execute orders for the other for a relationship to be enforced as fiduciary. (Hodgkinson at page 410).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Thus, even in the case of a real estate agent and a buyer, the court should look at the evidentiary factors which support or contradict the existence of a fiduciary relationship between them, recognizing that the burden of proof will be on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on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his Examination for Discovery, Mr. Chan said he acted for the Lees in the capacity of "getting all the information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Rightly or wrongly, from Mr. Chan's perspective alone there was no fiduciary relationship. He understood that he was looking for properties for the Lees to purchase, but that when it came to negotiating a transaction, he would be representing both the Lees and the vendor and his duties of loyalty, non-disclosure, etc. would be circumscribed.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Lee also did not conduct himself as though there were a fiduciary agency relationship in existence with Mr. Chan. Without Mr. Chan's knowledge, Mr. Lee consulted with another realtor, Glenn Toppings of Park Georgia Realty. He called Mr. Toppings to ask him about the Brentwood property and to discuss the meeting with Mr. Dobbins on October 31. On his Examination for Discovery, Mr. Lee gave the following evidence:</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wanted Mr. Toppings' advice.</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thought Mr. Toppings would be better able to advise him than Mr. Chan. He was not satisfied with the advice he was getting from Mr. Chan. He had started to doubt Mr. Chan's capability as a realtor. He was going to rely on Mr. Toppings' advice and based on his trust in him, he wanted him.</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Lee and Mr. Toppings went to Victoria to look at Mayfair without consulting Mr. Chan.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Lee told Mr. Chan that he preferred to have Mr. Toppings represent him and that Mr. Chan could "take it or leave it". With Mr. Toppings the plaintiff would proceed, without him he would not.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Lee conferred with Mr. Toppings each step of the way when they were going through the negotiations.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Lee proposed to Mr. Chan that only Mr. Toppings would handle the transaction and Mr. Chan would get a 50% "sleeping commission".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Lee was content to let Mr. Chan carry documents back and forth and transmit messages.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Lee insisted on terms in the sale contract that were subject to his obtaining approval by his lawyer and by his accountant, all of which he did.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Lees typed up a letter setting out the terms of Mr. Lee's counter offer of 12.3 million dollars, urging the vendor to sell at this price. The letter was sent to Mr. Chan for him to transmit it to the vendor. The decision to make this counter offer was Mr. Lee's alone after consultation with his son.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Lee handwrote his final offer at 12.6 million dollars. He said that at this point another $100,000.00 or even $200,000.00 was still "peanuts". He wanted to bring the negotiations to an end and make a final contract.</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he built in a provision allowing him to be satisfied with appraisal reports, building inspections, inspection reports and environmental assessment reports, Mr. Lee chose not to obtain any of these.</w:t>
      </w:r>
    </w:p>
    <w:p>
      <w:pPr>
        <w:numPr>
          <w:numId w:val="2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his accountant check the financial statements and discussed them with him. His accountant's opinion was that the price was high in relation to what such businesses usually sold for, but Mr. Lee "disregarded what he said and went ahead with the transaction anyway".</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also didn't pay much attention to the appraisals; Mr. Toppings told him that real estate value had decreased in the last year or couple of years.</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February 10, 1999 he decided to remove the subject clauses because he was satisfied with the assets that he was purchasing and the financial statements. By March 31, 1999 he had removed the remainder of the subject clauses.</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he entered into the transaction he thought it was a "not so good deal", but he thought if his son operated the Properties the profits would improve.</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Lee admitted that he knew Mr. Chan was representing the vendor in this transaction. He never asked him what the commission was because he felt it wasn't his business, whatever Mr. Chan "squeezed" from the vendor was 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Toppings corroborated Mr. Lee's evidence. He deposed that Mr. Lee was a sophisticated businessman who sought and relied on advice from a number of people. Mr. Lee used Mr. Toppings to advise him on land purchases, and to help him with the deal, as far as strategy, etc. Mr. Lee trusted Mr. Toppings' judgment and knew he was experienced. He told Mr. Toppings he wanted him, not Mr. Chan, to look after him. He told Mr. Toppings "I don't want to deal with this guy [Mr.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combined effect of the evidence from the Lees, Mr. Chan and Mr. Toppings contradicts the existence of the necessary indicia to find a fiduciary relationship. Given the circumstances it was unreasonable for Mr. Lee to rely on Mr. Chan as a fiduciary and I find he did not so rely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Duty of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submitted that even if there were no fiduciary relationship between the parties, there was still an obligation on the part of the defendants to keep the confidence of the plaintiff with respect to information not in the public domain, of commercial or industrial value, given on a business-like basis, and with some avowed common object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Once again, I agree such a duty existed, but to be actionable the information must be misused by the confidee to the detriment of the confidor (Lac Minerals Ltd. v. International Corona Resources Ltd., </w:t>
      </w:r>
      <w:hyperlink r:id="rId801"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Duty to Exercise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agree that as a consequence of their relationship with the Lees, and while they were performing services for them, the defendants were sufficiently proximate to the Lees to owe them a duty to exercise reasonable care and skill in the performance of their services.</w:t>
      </w:r>
      <w:r>
        <w:rPr>
          <w:rFonts w:ascii="arial" w:eastAsia="arial" w:hAnsi="arial" w:cs="arial"/>
          <w:sz w:val="20"/>
          <w:lang w:val="en-US" w:eastAsia="en-US" w:bidi="ar-SA"/>
        </w:rPr>
        <w:cr/>
      </w:r>
    </w:p>
    <w:p>
      <w:pPr>
        <w:numPr>
          <w:numId w:val="3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BREACHES OF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have found a duty in contract and in tort on the defendants not to disclose confidential information, and a positive duty to disclose material changes to the Lees. Whether these duties arise through a relationship of contract, statutory obligations, fiduciary obligations, proximity or all of the above, is more relevant to the issue of how damages are to be proved and measured than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fact of the matter is the evidence did not establish, on a balance of probabilities, that the defendants breached any of these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main thrust of the plaintiff's case was that Mr. Chan disclosed confidential information about the Lees in a resume document before the vendor had even established an asking price. The plaintiff argued that on top of this Mr. Chan failed to disclose discussions with Mr. Dobbins on October 31, 1998 about his commission, made an error in a letter to Mr. Dobbins and disclosed Mr. Lee's negotiating strategy and purchase price to Mr. Dobbins. The plaintiff argued that the cumulative effect of these indiscretions and mistakes by Mr. Chan amounted to a breach of the duties I have listed above.</w:t>
      </w:r>
      <w:r>
        <w:rPr>
          <w:rFonts w:ascii="arial" w:eastAsia="arial" w:hAnsi="arial" w:cs="arial"/>
          <w:sz w:val="20"/>
          <w:lang w:val="en-US" w:eastAsia="en-US" w:bidi="ar-SA"/>
        </w:rPr>
        <w:cr/>
      </w:r>
    </w:p>
    <w:p>
      <w:pPr>
        <w:numPr>
          <w:numId w:val="3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Resume Document of October 26,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October 26, 1998 Mr. Chan sent a fax to the vendor entitled "resume of:". It is a key document and therefore I set it out in full: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Resume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Lee, Yoon Chae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Age: Education:</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 principal Graduate Seoul National University, Seoul, South Korea. The most prestigious university of South Korea.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Major:</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Meteorological engineering</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Lee, Leong-Ho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Age:</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37 son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Education:</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Graduate Seoul National University, Seoul,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South Korea.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Major:</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Meteorological Engineering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Graduate George Washington University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Major:</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Master of Business Administration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Business:</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Own and operate Import and Export corporation in South Korea, Supplier of large machinery to Dai Woo Corporation, and other mid size companies. Sale volume exceeds $300 million US dollars.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Canada: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Lee sr. has brought the family to Canada in 1996 under the investment program currently reside at Westwood Plateau, Coquitlam, B.C.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Business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Lee family has very strong Strength: financial strength, and </w:t>
            </w:r>
            <w:r>
              <w:rPr>
                <w:rFonts w:ascii="arial" w:eastAsia="arial" w:hAnsi="arial" w:cs="arial"/>
                <w:b/>
                <w:color w:val="000000"/>
                <w:sz w:val="18"/>
                <w:lang w:val="en-US" w:eastAsia="en-US" w:bidi="ar-SA"/>
              </w:rPr>
              <w:t>they are able to complete business transaction in Canada around $10 to $15 million</w:t>
            </w:r>
            <w:r>
              <w:rPr>
                <w:rFonts w:ascii="arial" w:eastAsia="arial" w:hAnsi="arial" w:cs="arial"/>
                <w:color w:val="000000"/>
                <w:sz w:val="18"/>
                <w:lang w:val="en-US" w:eastAsia="en-US" w:bidi="ar-SA"/>
              </w:rPr>
              <w:t>. (my emphasis)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submitted that the last statement in the resume (which I have set out in bold) constituted a disclosure by the defendants that was unsolicited and unauthorized by the Lees, and which effect was to drive the potential price range of the Properties well above the 10 million dollars which would have been acceptable to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This submission of the plaintiff fails because I find that the evidence:</w:t>
      </w:r>
      <w:r>
        <w:rPr>
          <w:rFonts w:ascii="arial" w:eastAsia="arial" w:hAnsi="arial" w:cs="arial"/>
          <w:sz w:val="20"/>
          <w:lang w:val="en-US" w:eastAsia="en-US" w:bidi="ar-SA"/>
        </w:rPr>
        <w:cr/>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established that the information likely was solicited by the vendor and was authorized by the Lees;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effect on the potential price range; and</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would not have accepted 10 million dollars from the plaintiff.</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Solicitation by the Vendor and Authorization by the Lees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Dobbins deposed that he told Mr. Chan that he wanted to know if the buyer was substantial enough to make a deal for the Properties. He wanted to know the buyer's background, what the buyer's financial circumstances were and "that he could pay what we were looking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Chan deposed that he asked Mr. Lee, Jr. for information for a resume. From their conversation Mr. Chan thought that Mr. Lee, Jr. understood that he was providing information to Mr. Chan to respond to Mr. Dobbins' request and as a necessary part of exchanging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Lee, Jr. said he had a conversation with Mr. Chan about producing a resume and discussed this with his father, who refused to provide a resume, but said it was alright to provide the information. Mr. Lee, Jr. understood Mr. Chan was seeking information to pass on to Mr. Dobbins.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Lee made the bald statement in his affidavit that he had not authorized the preparation or transmission by Mr. Chan of the resume. However, he admitted that he knew Mr. Chan wished to provide the vendor with some background of Mr. Lee's business and academic history. In his Examination for Discovery Mr. Lee said he understood that he had authorized Mr. Chan to give information to the vendor about his academic background or business career, but not other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real issue is whether the Lees' authorization included telling Mr. Dobbins that the Lees were "able to complete business transaction in Canada around 10 to 15 million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Lee said in his affidavit that he was surprised to see this disclosure when he learned of it long after the fact. He thought it was a breach of business etiquette. In his Examination for Discovery he said it was Mr. Dobbins' problem to judge him - "if he think I don't have money to buy such a big stuff... it's up to him to decide. I don't have to, you know, exaggerate and explain in my pocket I have this and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Lee also said in his Examination for Discovery that although he didn't intend for Mr. Chan to give information to the vendor other than academic and business background, he never told Mr. Chan what he could or could not say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evidence as a whole established that the vendor was soliciting information about the Lees, the Lees knew of the vendor's request, it was a customary request in large commercial transactions and the Lees authorized Mr. Chan to comply with it. I think under the circumstances it was not reasonable for the Lees to complain about the resume. They authorized Mr. Chan to provide personal information to the vendor, knowing the vendor wanted to know if they were capable of such a large transaction.</w:t>
      </w:r>
      <w:r>
        <w:rPr>
          <w:rFonts w:ascii="arial" w:eastAsia="arial" w:hAnsi="arial" w:cs="arial"/>
          <w:sz w:val="20"/>
          <w:lang w:val="en-US" w:eastAsia="en-US" w:bidi="ar-SA"/>
        </w:rPr>
        <w:cr/>
      </w:r>
    </w:p>
    <w:p>
      <w:pPr>
        <w:numPr>
          <w:numId w:val="3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Up the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cannot find that Mr. Chan was unilaterally proffering the impugned information with a view to driving up the purchase price. The information was more in the nature of a confirmation of the vendor's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note that when Mr. Chan was looking for potential businesses for Mr. Lee to buy, he didn't restrict himself to a 10 to 15 million dollar range. He showed them properties as high as 20 to 22 million dollars. If his intention was to drive up the purchase price as opposed to responding to Mr. Dobbins' inquiry, then he would have suggested 20 or 22 million dollars as the top end of the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When I consider all the evidence surrounding this issue, which I have not set out exhaustively, I am of the view that it was more likely than not that the 15 million dollar figure in the resume originally came from Mr. Dobbins and Mr. Chan was simply confirming that Mr. Lee had the wherewithal to complete a transaction of this magnitude.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submitted that if Mr. Chan had not mentioned the Lee's ability to pay between 10 and 15 million dollars, Mr. Dobbins would not have started the negotiations at 15 million dollars. The plaintiff submitted that the resume raised the vendor's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was no direct evidence that the faxed resume of October 26, 1998 had any effect on Mr. Dobbins. He was not asked about the resume in either his affidavit 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asked me to draw these inferences as a matter of common sense, but there was at least an equally reasonable inference to draw on the evidence. Mr. Dobbins deposed that at the time he was contacted by Mr. Chan regarding the sale of the Properties, he had recently concluded the sale of all but one of the vendor's American bowling businesses to a single buyer, AMF. In that transaction 15 operations were purchased as a package and the purchase price was arrived at by valuing the cash flow of some of the businesses, and valuing the land where it exceeded the value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Based on the AMF sale, Mr. Dobbins considered Brentwood to have a value of 7 to 7.5 million dollars as a bowling business. He had a recent appraisal indicating that Mayfair had a land value of 6 million dollars which far exceeded its value as a bowling operation. He considered that the real estate market seemed fairly strong in the area and there was significant interest in the Properties. He also considered that a significant commission would have to be paid by the vendor. The vendor was not in any rush and was prepared to wait until a good offer was made to the company. There was no incentive to sell except in the event of a really good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From the above evidence, I conclude that it was more probable than not that the vendor had decided on an asking price based on its recent sales to AMF, the financial records of Brentwood and the appraisal of Mayfair, as opposed to the Lee's resume.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Furthermore, in order to accede to the plaintiff's submission I would have to find Mr. Dobbins did not negotiate in good faith, and that his reasons for asking for 15 million dollars were fabricated or that he knew they were without merit. There was no foundation for so finding, and it would be wrong to attribute the asking price to an attempt by Mr. Dobbins to somehow take advantage of a response to a question he was entitled to ask. Similarly, it would be unreasonable to find that Mr. Dobbins had somehow misconstrued Mr. Lee's ability to pay as his willingness to pay.</w:t>
      </w:r>
      <w:r>
        <w:rPr>
          <w:rFonts w:ascii="arial" w:eastAsia="arial" w:hAnsi="arial" w:cs="arial"/>
          <w:sz w:val="20"/>
          <w:lang w:val="en-US" w:eastAsia="en-US" w:bidi="ar-SA"/>
        </w:rPr>
        <w:cr/>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10 Million Dollars Would Not Have Been Acceptable to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crux of the plaintiff's claim was that Mr. Lee lost the opportunity to purchase the Properties at the price of $10,131,527.00 (7 times total cash flow of both Properties). The plaintiff said that each impugned act of the defendant had the effect of depriving him of this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find that the plaintiff has not proved that such an opportunity existed for the same reasons I have set out under the heading "Loss of Opportunity" at paragraphs 91 -105. In my view, the evidence did not rise above sheer speculation and did not meet the onus of proof on the plaintiff to show, on a balance of probabilities, the possibility of making such a bargain.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a purely factual analysis, the evidence satisfies me that Mr. Dobbins would never have recommended a sale price of 10 million dollars for these Properties and the vendor would never have accepted it. The Properties were not listed for sale, the vendor was not motivated to sell, all of Mr. Dobbins information pointed to a reasonable valuation for Brentwood of about 7 million dollars and a reasonable valuation for Mayfair of about 6 million dollars. Commission would have to be paid from this value of 13 million dollars leaving a little over 12 million dollars for the vendor. As it turned out, the vendor did not net quite this amount, but close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Meeting of October 31,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submitted that Mr. Chan did not advise the Lees that he had provided the vendor with an Exclusive Listing Agreement and further, that his 5% commission was contingent on the purchase price being 15 million dollars. The plaintiff submitted that this was a breach of s. 36 of the Real Estate Act which states that any change in material facts must be immediately disclosed by the agent to his client. The plaintiff also submitted that the defendants were in a conflict of interest because the commission was predicated on achieving a 15 million dollar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defendants submitted that there was never any agreement that the commission would be contingent on a 15 million dollar purchase price. The Lees always knew that the vendor would pay commission on a percentage of the purchase price. The defendants submitted that the Exclusive Buyer's Agent Contract shows how commission would be calculated and that Mr. Chan told Mr. Toppings in early November that the commission would be between three and five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his Examination for Discovery Mr. Chan relayed a conversation with Mr. Dobbins, which was held on October 31, wherein Mr. Dobbins told him the vendor would pay the defendants a commission if they sold the Properties for 15 million dollars. This statement by Mr. Dobbins arose in the context of a discussion about a listing agreement between the defendants and the vendor. Mr. Chan had brought a form of Listing Agreement with him to the meeting of October 31. Mr. Dobbins refused to sign it, but said he would take it to the vendor for review by lawyers.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This evidence of what Mr. Dobbins said falls far short of establishing any agreement between the defendants and the vendor to pay a commission which was contingent upon a sale price of 15 million dollars. The actual written listing agreement was not signed until November 25, 1998, after the execution of the Limited Dual Agency Agreement was signed by the Lees and before any opening offer was tendered to the vendor. This listing agreement makes no mention of the commission being contingent upon a certain purchase price. It is the usual form of listing agreement which provides for a commission which is based on a percentage of the purchase price. If this fact alone were to create an actionable conflict of interest, real estate agents would not be able to carry out their function. In the end, Mr. Chan and Mr. Toppings shared a 5% commission and the sale price was far below $15,000,000.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do not find any material change of which Mr. Chan was obliged to advise the plaintiff before the Lees retained Mr. Toppings in early November. After that, Mr. Chan was relieved of any obligations to the Lees except as required by the dual agency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November 3, 1998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November 3, 1998, Mr. Chan wrote to Mr. Dobbins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[the Lees] have questioned me the value of both businesses on your asking price. In our last meeting the price was quoted as between $14m to $15m. You also quoted that the buying formula is between </w:t>
      </w:r>
      <w:r>
        <w:rPr>
          <w:rFonts w:ascii="arial" w:eastAsia="arial" w:hAnsi="arial" w:cs="arial"/>
          <w:b/>
          <w:color w:val="000000"/>
          <w:sz w:val="20"/>
          <w:lang w:val="en-US" w:eastAsia="en-US" w:bidi="ar-SA"/>
        </w:rPr>
        <w:t>7 to 8.5</w:t>
      </w:r>
      <w:r>
        <w:rPr>
          <w:rFonts w:ascii="arial" w:eastAsia="arial" w:hAnsi="arial" w:cs="arial"/>
          <w:color w:val="000000"/>
          <w:sz w:val="20"/>
          <w:lang w:val="en-US" w:eastAsia="en-US" w:bidi="ar-SA"/>
        </w:rPr>
        <w:t xml:space="preserve"> times the net profit. Based on your information provided the net profit (both locations) of $1,447.361.46 time's 7 equals a value of $10,131,530.22 and at 8.5 times the value is $12,302,572.41. Have I mistaken here, with other value not added to the price? Perhaps, you may enlighten me on this matter.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submitted that Mr. Chan was incorrect in quoting Mr. Dobbins' buying formula as 7 to 8.5. The plaintiff said that Mr. Dobbins exploited this mistake in his response of November 5, 1998 wherein he purported to rationalize a multiplier of 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Chan conceded that at the meeting of October 31, the figure of 7.5, not 8.5, was used as the top end of the range. However, the relevance of the error was marginal, because the thrust of Mr. Dobbins' letter was that he held two appraisals from 1995 on the Properties and that he believed about 3 million dollars should be added to the cash value of the businesses to reflect the high appraised value of the real estate, especially Mayfair.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never cross-examined Mr. Dobbins on this letter or on the effect of Mr. Chan's mistake. The plaintiff invited me instead to draw an inference that Mr. Chan had done this deliberately to drive up the purchase price. Such an inference had no factual basis. As was discovered by the plaintiff during this litigation, Mr. Dobbins did have in his possession on November 5, 1998 an appraisal of Mayfair which showed it to be worth about 3 million dollars more than 7 times its cash flow, and this was what was driving the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Discussions Regarding Buying Strategy and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evidence of both parties disclosed that conversations took place between Mr. Chan and the Lees regarding an opening offer of 10 million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submitted that Mr. Chan and the Lees discussed "buying strategies". This was likely true. However, the only unauthorized disclosure of buying strategies of which the plaintiff complained in its Amended Chambers Brief was that Mr. Chan told Mr. Dobbins that Mr. Lee was considering making an opening offer of 10 millions dollars. Mr. Dobbins did not recall Mr. Chan telling him that, but did not deny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submitted that Mr. Chan admitted having discussions with Mr. Dobbins about a 10 million dollar offer, but this alleged admission was unsupported by the evidentiary references given. More importantly, my notes indicate that counsel for the plaintiff conceded at the hearing on May 17, 2002 that relaying to Mr. Dobbins the figure of 10 million dollars as an opening offer was not a breach of confidence and that the plaintiff was no longer complaining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spent a lot of time trying to establish that on November 12, 1998 Mr. Chan had a conversation with Mr. Dobbins wherein Mr. Chan made the statement "my objective is to drive him [Mr. Lee] to an offer of 13m $ TO START, and the young Lee agrees with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Notwithstanding that this conversation took place after the date on which I have found the Exclusive Agency Agreement between the plaintiff and the defendants had ended, making such a statement would still be in breach of Mr. Chan's duty as a dual agent to remain impartial and not disclose the top end of the buyer's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However, the evidence was conflicting as to whether Mr. Chan ever made such a statement to Mr. Dobbins. Mr. Dobbins did not recall it. The plaintiff relied on a set of Mr. Chan's notes all of which were dated November 12, 1998 with Mr. Dobbins' name appearing on top. The first page contained the impugned statement as the fifth item in a list of five items. The other items concerned topics that re-appear on the other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Apparently at the commission arbitration which preceded this summary trial, Mr. Chan said that all four pages were notes of telephone conversations with Mr. Dobbins. However, in this action, he explained that the first page containing the impugned statement was merely his own thoughts and analysis of what he needed to do in the transaction. Notes of the actual telephone call with Mr. Dobbins appear on the next 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support of this explanation, I note that the impugned statement which was marked number 5 on the first page does not appear on the second page. The second page, which Mr. Chan said were the real notes of the conversation, listed numbers 1 through 4 only, and these items corresponded with items 1 through 4 on the first page. From this alone it appeared that item number 5 was not discussed with Mr. Dobbins.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Taking the evidence as whole, including the nuances of the notes, I cannot find it likely that Mr. Chan made such a statement to Mr. Dobbins.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also complained that Mr. Chan described Mr. Lee's first offer of $11,000,000 in a covering letter as "[Mr. Lee] has started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Toppings deposed that prior to presenting that opening offer to Mr. Dobbins, he witnessed Mr. Lee ask Mr. Chan to recommend an amount for an initial offer but Mr. Chan refused. Mr. Toppings and Mr. Lee had discussed an opening offer in Mr. Chan's absence and Mr. Lee was considering $10,800,000. Mr. Toppings suggested Mr. Lee start with $11,000,000. They expected there would be negotiations with the vendor. When the $11,000,000 was refused, there were further discussions of going up to $12,300,000 in the hope that the vendor would come down to $12,600,000 which is exactly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Even Mr. Toppings admitted that Mr. Lee made his own decisions with respect to negotiating and didn't necessarily follow the advice of his professional advisors. Mr. Lee didn't necessarily discuss everything with Mr. Toppings either. He was an astute businessman, and once informed, made his own business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conclusion, I do not find that Mr. Chan was involved in negotiating strategies after Mr. Toppings was on board. Furthermore, when Mr. Chan faxed the opening offer and covering letter he did not breach the terms of the Limited Dual Agency Agreement in that he did not disclose any higher price that Mr. Lee was prepared to pay. Mr. Lee, Mr. Toppings and Mr. Dobbins all expected to negotiate between Mr. Lee's first offer and the asking price. It was immaterial that Mr. Chan voiced that expectation in his covering letter.</w:t>
      </w:r>
      <w:r>
        <w:rPr>
          <w:rFonts w:ascii="arial" w:eastAsia="arial" w:hAnsi="arial" w:cs="arial"/>
          <w:sz w:val="20"/>
          <w:lang w:val="en-US" w:eastAsia="en-US" w:bidi="ar-SA"/>
        </w:rPr>
        <w:cr/>
      </w:r>
    </w:p>
    <w:p>
      <w:pPr>
        <w:numPr>
          <w:numId w:val="4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submitted that Mr. Chan misrepresented to the Lees and Mr. Toppings that he had an exclusive listing agreement with the vendor. The plaintiff said this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...was a calculated measure by Chan to make it impossible for Toppings to approach the vendor directly.</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Toppings had approached the vendor directly he would have discovered Chan's agreement to commission predicated on a $15,000,000 purchase price and would have been obliged to disclose(as indeed was Chan) this fact to the Lees.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plaintiff's submission fails for 6 reasons:</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Mr. Dobbins, he had always intended that Mr. Chan could have an exclusive listing with respect to anyone he introduced to the Properties and that he had verbally agreed to that before execution of the written agreement.</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Chan understood he had Mr. Dobbins' commitment to an exclusive listing agreement and it was only when he received Mr. Dobbins' letter on November 25, that it became apparent the exclusivity was limited to clients of the defendants only.</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 evidence of Mr. Philip indicated that regardless of whether the agreement fit the technical requirements of an exclusive listing agreement under the Real Estate Act, R.S.B.C., 1996, c. 397, Mr. Toppings would have been obliged to respect the relationship between the defendants and the vendor and not contact the vendor directly.</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already found there never was any agreement to pay commission predicated on a $15,000,000 purchase price. This was an unsolicited statement made by Mr. Dobbins to which Mr. Chan never agreed.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does not appear that Mr. Dobbins was asked any questions by the plaintiff about a commission predicated on a $15,000,000 sale price, and there was no evidence from him in this regard.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Toppings stated in his cross-examination that Mr. Chan had disclosed to him that Mr. Dobbins had made this statement.</w:t>
      </w:r>
    </w:p>
    <w:p>
      <w:pPr>
        <w:numPr>
          <w:numId w:val="4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find the plaintiff's case on liability inherently flawed because it was circular and relied on an initial finding of damages suffered by Mr. Lee. Counsel argued that the vendor would have sold the Properties to its employee, Mr. Lepore, for 10 million dollars, therefore the defendants must have done or said something upon which the vendor relied to insist on a higher purchase price from Mr. Lee. Then the plaintiff invited a conclusion that what the defendants had done or said must have been in breach of a duty because it resulted in the vendor selling to Mr. Lee at a higher price than would have been obtained but for the defendants'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Proving a loss of opportunity claim is a two fold process. First, the plaintiff must prove on a balance of probabilities that Mr. Lee had a real or a substantial chance to make a better bargain with the vendor, but for the conduct of Mr. Chan. Only then does the court embark on an assessment of the value of that chance. (Fraser Park South Estates Ltd. v. Lang Michener Lawrence &amp; Shaw </w:t>
      </w:r>
      <w:hyperlink r:id="rId802" w:history="1">
        <w:r>
          <w:rPr>
            <w:rFonts w:ascii="arial" w:eastAsia="arial" w:hAnsi="arial" w:cs="arial"/>
            <w:i/>
            <w:color w:val="0077CC"/>
            <w:sz w:val="20"/>
            <w:u w:val="single"/>
            <w:shd w:val="clear" w:color="auto" w:fill="FFFFFF"/>
            <w:lang w:val="en-US" w:eastAsia="en-US" w:bidi="ar-SA"/>
          </w:rPr>
          <w:t>(2001), 84 B.C.L.R. (3d) 65</w:t>
        </w:r>
      </w:hyperlink>
      <w:r>
        <w:rPr>
          <w:rFonts w:ascii="arial" w:eastAsia="arial" w:hAnsi="arial" w:cs="arial"/>
          <w:color w:val="000000"/>
          <w:sz w:val="20"/>
          <w:lang w:val="en-US" w:eastAsia="en-US" w:bidi="ar-SA"/>
        </w:rPr>
        <w:t xml:space="preserve"> (C.A.) </w:t>
      </w:r>
      <w:hyperlink r:id="rId802" w:history="1">
        <w:r>
          <w:rPr>
            <w:rFonts w:ascii="arial" w:eastAsia="arial" w:hAnsi="arial" w:cs="arial"/>
            <w:i/>
            <w:color w:val="0077CC"/>
            <w:sz w:val="20"/>
            <w:u w:val="single"/>
            <w:shd w:val="clear" w:color="auto" w:fill="FFFFFF"/>
            <w:lang w:val="en-US" w:eastAsia="en-US" w:bidi="ar-SA"/>
          </w:rPr>
          <w:t>2001 BCCA 9</w:t>
        </w:r>
      </w:hyperlink>
      <w:r>
        <w:rPr>
          <w:rFonts w:ascii="arial" w:eastAsia="arial" w:hAnsi="arial" w:cs="arial"/>
          <w:color w:val="000000"/>
          <w:sz w:val="20"/>
          <w:lang w:val="en-US" w:eastAsia="en-US" w:bidi="ar-SA"/>
        </w:rPr>
        <w:t xml:space="preserve">, leave to appeal dismissed, </w:t>
      </w:r>
      <w:hyperlink r:id="rId803" w:history="1">
        <w:r>
          <w:rPr>
            <w:rFonts w:ascii="arial" w:eastAsia="arial" w:hAnsi="arial" w:cs="arial"/>
            <w:i/>
            <w:color w:val="0077CC"/>
            <w:sz w:val="20"/>
            <w:u w:val="single"/>
            <w:shd w:val="clear" w:color="auto" w:fill="FFFFFF"/>
            <w:lang w:val="en-US" w:eastAsia="en-US" w:bidi="ar-SA"/>
          </w:rPr>
          <w:t>[2001] S.C.C.A. No. 72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When the case was initially presented in 2002, the plaintiff invited me to infer that the vendor would have sold the property to the plaintiff for around 10 million dollars, based on circumstantial evidence tendered by the plaintiff. During the one year interval between the initial hearing of the trial and the continuation of the trial, both the plaintiff and the defendants interviewed Mr. Dobbins. Notwithstanding that Mr. Dobbins' affidavit and cross-examination transcript were filed at the continuation of the trial, the plaintiff ignored this direct evidence and asked me instead to rely on the original circumstantial evidence tendered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Dobbins' evidence was that he would not have told Mr. Lepore, who was the general manager of Brentwood and had worked there since 1979, that he could purchase the Properties for $10,000,000. $10,000,000 would translate to a valuation based on 7 times cash flow which was unacceptable. The vendor had just sold 15 properties to AMF for a purchase price that was equivalent to over 7.5 times cash flow. In addition, Mr. Dobbins didn't consider that Mayfair should be valued by using a multiplier of cash flow because the value of the land far exceeded the value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endeavoured to show that the multiplier of 7.7 used to evaluate AMF properties wouldn't apply to the purchase of the Properties by someone like Mr. Lepore or the Lees because corporate overhead would not have to be factored in. When corporate overhead was removed, the AMF purchase price was equal to 7 times cash flow, or just over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However, Mr. Dobbins didn't go through that exercise. His state of mind at the time was that the AMF purchase price equated to 7.7 times cash flow. This is not the same thing as saying that the AMF purchase price was reached by adding up the cash flow of the 15 properties and multiplying by 7.7 times. Mr. Dobbins deposed that some of the 15 businesses were valued by cash flow, some by land value, but the resulting purchase price equated to a multiplier of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main submission of the plaintiff with respect to its loss of opportunity claim was that the vendor was willing to sell the Properties at about 10 million dollars before Mr. Chan sent Mr. Dobbins the resume document, and that the vendor would have sold them to Mr. Lee at that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This submission relied on the evidence of Mr. Cramp, a potential purchaser of Brentwood, Mr. Hansell, an expert in the bowling business and Mr. Lepore.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my view, Mr. Cramp's evidence was confirmatory of a valuation placed on Brentwood by the vendor of 6.75 to 7 million dollars based on 7 times the cash flow at that time which was thought to be between 950 thousand dollars and 1 million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Hansell's evidence was in the nature of expert opinion. There was no evidence that he ever discussed the Properties with Mr. Dobbins. He confirmed that where the land value exceeds the business value, the sale price will be based on the land value and not a multiplier of the cash flow. Mr. Dobbins was holding an appraisal which showed the value of Mayfair to be 6 million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When I consider the totality of the evidence of Mr. Cramp, Mr. Hansell and Mr. Dobbins, it is apparent that the vendor valued the Properties at about 12.75 to 13 million dollars in total. After hard negotiations, Mr. Lee procured the Properties for 12.6 million dollars which, after real estate commission, netted the vendor less than 12 million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relied heavily on the evidence of Mr. Lepore to establish a sale price of about 10 million dollars. He wished to purchase the Properties and attempted to put together an offer of about 10.1 million dollars. He understood that the vendor wanted 7 times the cash flow (approximately 10 million dollars) for both Properties. Unfortunately, Mr. Lepore's desire to purchase the Properties never even reached the stage of serious negotiations or discussions. There was never any written offer and Mr. Lepore's evidence amounted to an "impression" by him that he could have purchased the Properties for just over 10 million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cross-examination Mr. Lepore testified that he learned of Mr. Lee's offer of 11 million dollars and he tried to put together an offer in excess of this, but was unsuccessful. He admitted that in his view the businesses were worth more than $11,500,000.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my view, the most obvious inference to draw from the entirety of the evidence is that the vendor had no reason to sell these Properties for less than what the vendor thought they were worth. The vendor was not in a rush to sell, did not appear to be particularly motivated in any way, and had at least one other party interested in purchasing 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Therefore, even if I ignore the boot strapping of the plaintiff's argument, I cannot find on the evidence that this transaction would have concluded at a lesser purchase price. The evidence disclosed that the negotiations were fair, the plaintiff paid a fair price and Mr. Dobbins would not likely have recommended that the vendor accept 10 million dollars or any figure under 12 million dollars plus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have not addressed the assessment of damages because the plaintiff has failed to prove that the opportunity existed to purchase the Properties for about 10 million dollars, or for any other amount less than the final purchase price of 12.6 million dollars.</w:t>
      </w:r>
      <w:r>
        <w:rPr>
          <w:rFonts w:ascii="arial" w:eastAsia="arial" w:hAnsi="arial" w:cs="arial"/>
          <w:sz w:val="20"/>
          <w:lang w:val="en-US" w:eastAsia="en-US" w:bidi="ar-SA"/>
        </w:rPr>
        <w:cr/>
      </w:r>
    </w:p>
    <w:p>
      <w:pPr>
        <w:numPr>
          <w:numId w:val="5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Although the plaintiff established certain duties upon the defendants, it did not establish any actionable breaches of those duties. The plaintiff's claim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SATANOVE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9"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Lehtonen v. Marasco, [2008] B.C.J. No. 2592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J.C. Grauer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10, 2008.</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November 10,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M065214</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2592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BCSC 1734</w:t>
      </w:r>
    </w:p>
    <w:p>
      <w:pPr>
        <w:spacing w:before="120" w:line="260" w:lineRule="atLeast"/>
        <w:rPr>
          <w:lang w:val="en-US" w:eastAsia="en-US" w:bidi="ar-SA"/>
        </w:rPr>
      </w:pPr>
      <w:r>
        <w:rPr>
          <w:rFonts w:ascii="arial" w:eastAsia="arial" w:hAnsi="arial" w:cs="arial"/>
          <w:color w:val="000000"/>
          <w:sz w:val="20"/>
          <w:lang w:val="en-US" w:eastAsia="en-US" w:bidi="ar-SA"/>
        </w:rPr>
        <w:t>Between Anne Lehtonen, Plaintiff, and Donna Mae Marasco and Transportaction Lease Systems Inc.,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60" style="position:absolute;z-index:25170227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80" w:name="Keywords_42"/>
      <w:bookmarkEnd w:id="280"/>
      <w:r>
        <w:rPr>
          <w:rFonts w:ascii="arial" w:eastAsia="arial" w:hAnsi="arial" w:cs="arial"/>
          <w:b/>
          <w:color w:val="000000"/>
          <w:sz w:val="20"/>
          <w:lang w:val="en-US" w:eastAsia="en-US" w:bidi="ar-SA"/>
        </w:rPr>
        <w:t>Damages — Physical and psychological injuries — Physical injuries — Body injuries — Back and spine — Action by Lehtonen for damages for personal injuries suffered in a motor vehicle accident allowed in part — Marasco admitted liability — Lehtonen sought $20,000 to $25,000 in non-pecuniary damages, damages for loss of commission and special damages — Lehtonen suffered soft tissue injuries to her back — Also, the accident led to Lehtonen's weight gain — Therefore, it was appropriate to cover the cost of Lehtonen's attendance at a weight-loss clinic — However, Lehtonen failed to show that she suffered any income loss — Lehtonen awarded $21,000 in non-pecuniary damages and $1,886 and special damages.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Types of damages — General damages — For personal injuries — Loss of earning capacity — Special damages — Expenses and expenditures — Non-pecuniary loss — Action by Lehtonen for damages for personal injuries suffered in a motor vehicle accident allowed in part — Marasco admitted liability — Lehtonen sought $20,000 to $25,000 in non-pecuniary damages, damages for loss of commission and special damages — Lehtonen suffered soft tissue injuries to her back — Also, the accident led to Lehtonen's weight gain — Therefore, it was appropriate to cover the cost of Lehtonen's attendance at a weight-loss clinic — However, Lehtonen failed to show that she suffered any income loss — Lehtonen awarded $21,000 in non-pecuniary damages and $1,886 and special damages.</w:t>
      </w:r>
    </w:p>
    <w:p>
      <w:pPr>
        <w:jc w:val="both"/>
        <w:rPr>
          <w:lang w:val="en-US" w:eastAsia="en-US" w:bidi="ar-SA"/>
        </w:rPr>
      </w:pPr>
      <w:bookmarkStart w:id="281" w:name="Legislation Cited_34"/>
      <w:bookmarkEnd w:id="28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61" style="position:absolute;z-index:2517534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Rules of Court, Rule 66, Rule 66(29)</w:t>
      </w:r>
      <w:r>
        <w:rPr>
          <w:lang w:val="en-US" w:eastAsia="en-US" w:bidi="ar-SA"/>
        </w:rPr>
        <w:cr/>
      </w:r>
    </w:p>
    <w:p>
      <w:pPr>
        <w:keepNext/>
        <w:spacing w:before="240" w:line="340" w:lineRule="atLeast"/>
        <w:rPr>
          <w:lang w:val="en-US" w:eastAsia="en-US" w:bidi="ar-SA"/>
        </w:rPr>
      </w:pPr>
      <w:bookmarkStart w:id="282" w:name="Counsel_42"/>
      <w:bookmarkEnd w:id="282"/>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62" style="position:absolute;z-index:2518046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S. Lloyd.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K. Baldwin.</w:t>
      </w:r>
      <w:r>
        <w:rPr>
          <w:lang w:val="en-US" w:eastAsia="en-US" w:bidi="ar-SA"/>
        </w:rPr>
        <w:cr/>
      </w:r>
    </w:p>
    <w:p>
      <w:pPr>
        <w:spacing w:after="240"/>
        <w:rPr>
          <w:lang w:val="en-US" w:eastAsia="en-US" w:bidi="ar-SA"/>
        </w:rPr>
      </w:pPr>
      <w:bookmarkStart w:id="283" w:name="Judgment_42"/>
      <w:bookmarkEnd w:id="283"/>
      <w:r>
        <w:pict>
          <v:line id="_x0000_s1263" style="position:absolute;z-index:25185587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84" w:name="J.C. GRAUER J. (orally)"/>
            <w:bookmarkEnd w:id="284"/>
            <w:r>
              <w:rPr>
                <w:rFonts w:ascii="arial" w:eastAsia="arial" w:hAnsi="arial" w:cs="arial"/>
                <w:b/>
                <w:color w:val="000000"/>
                <w:sz w:val="30"/>
                <w:lang w:val="en-US" w:eastAsia="en-US" w:bidi="ar-SA"/>
              </w:rPr>
              <w:t>J.C. GRAUER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personal injury action comes before me for an assessment of damages pursuant to Rule 66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Plaintiff's counsel advised me in his opening that his client was claiming non-pecuniary damages, a loss of opportunity to earn commission income, modest future care costs and special damages. No claim was being pursued for loss of income earning or housekeeping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Wednesday, February 16, 2005, the plaintiff, Ms. Lehtonen, then 43, was driving into downtown Vancouver from her home in North Delta in the morning rush hour. She was driving her 1990 Chevrolet Corsica that she had owned for just a few days. Ordinarily it was her habit to carpool into town, but her carpool was not available this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Lehtonen was driving northbound on Oak Street approaching the intersection with 41st Avenue when the light turned red. She came to a stop in the left through lane next to the left turn lane. She sat and waited.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Behind her, the defendant, Ms. Marasco, also came to a stop. Ms. Marasco was driving a 2004 Lexus RX330 SUV. She testified that after coming to a stop she leaned over to turn up the radio. Out of the corner of her eye she noticed the traffic in the lane to her left starting to move and mistakingly assumed that the light had turned green for all traffic and that it was time to go. In fact, it was only the left-turning traffic that was moving; the light remained red for the rest of the traffic.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Marasco took her foot off the brake and put it on the accelerator. She accelerated into the rear of the plaintiff's vehicle. Photographic evidence demonstrated that the bumper of the Lexus rode up over the bumper of the Chevrolet, impacting with the Chevrolet's tail light, which was broken.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Not surprisingly, neither party was able to give accurate evidence concerning the speed of the Lexus at the time of impact. The plaintiff could not be sure whether or not her vehicle was pushed forward; the defendant thought it probably was. Nevertheless, the ICBC repair evidence confirmed that the impact was relatively minor in terms of the damage caused to the vehicles. This evidence was consistent with the evidence of the defendant and with common sense.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Although the defendant was clearly not watching where she was going, I am satisfied that she was not accelerating in an untoward or excessive manner.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With respect to the distance travelled before the collision, the defendant said at one point that she had probably stopped 3 to 4 feet behind the Chevrolet, but at another point changed that to 3 or 4 yards. The latter seems to me to be more probable. Three to 4 feet would in fact have been very close, and inconsistent with the defendant's evidence that she stopped a safe distance behind.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Needless to say, the defendants have admitted that the collision occurred as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Marasco.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was wearing her seatbelt and her headrest was properly adjusted. She had no forewarning of the collision. When the impact occurred, she described feeling a big force right through her body. She then sat there in shock. She could not say to what extent her body moved within the vehicle as a result of the impact. She and the defendant were able to navigate their vehicles into the left turn lane, then on to 41st Avenue, where they stopped and exchanged information.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Lehtonen testified that she felt quite shaken, but thought she would nevertheless carry on to her work. She was then employed with David Aplin Recruiting, for whom she had worked since August of 2003. But as she drove on she felt her back starting to get hot, and this continued to get worse. After five minutes she turned around and then returned home. By the time she arrived home in North Delta, the pain had spread up her back into her left shoulder and arm and also down her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Lehtonen contacted her chiropractor, Dr. Douwes, and saw him that afternoon. She had been treated by him five years before when she suffered from sciatica, but she said that she had entirely recovered from that and was in excellent condition on the day of the accident. She also phoned ICBC that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Lehtonen said that her condition became worse as the day progressed after seeing the chiropractor. She took Tylenol No. 2 and called her family doctor, Dr. Laubenstein, but could not get in to see her until the following week. She testified that the pain in her back shot up into her shoulder and down her arm and down into her leg. She also suffered from headaches. It hurt when she sat and it hurt when she stood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saw her chiropractor again on Friday but was still suffering from the same symptoms. On the Monday or Tuesday of the following week, she saw her family doctor and was advised to continue seeing her chiropractor; to reduce activities that aggravated her pain, such as laundry and vacuuming; and to take pain medication, glucosamine, and vitamin 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had not returned to work on the Thursday or Friday after the accident. Dr. Laubenstein advised her to work no more than four hours a day and not to travel during rush hour. This is because she now had to travel by SkyTrain and it was painful for her to stand.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Lehtonen saw her chiropractor two more times during the month of February, experiencing some improvement with each treatment but still suffering a fair amount of pain, according to her testimony. It was her evidence that in March she still suffered pain every day, particularly by the end of the day. She would be woken up every night by pain in her back and took painkillers, mainly to help her sleep.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testified that through April and May of 2005 her pain continued, although at a slightly lower level. It was aggravated by light activities. She continued to see her chiropractor through to July 6 of 2005. By summer she was able to increase her activity but still suffered from back pain. By autumn her condition continued to improve, but she said that she still suffered minor back pain if she exerted herself. The pain arose particularly when bending over or biking.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Lehtonen advised that by February of 2006, one year post accident, she still suffered some back pain and pain in her shoulder and arm with some activities. There was a bit of a flare-up near the end of 2006, which sent her back to her chiropractor, but by summer of 2007 her problems were fully resolved.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only medical expert to testify was Dr. Mark Adrian, a specialist in physical medicine and rehabilitation and pain medicine, who saw Ms. Lehtonen on June 21, 2007, for an independent medical assessment. He was not a treating physician. Dr. Adrian based his opinion on a review of clinical records of Dr. Laubenstein and Dr. Douwes, his examination of Ms. Lehtonen, and on the history that Ms. Lehtonen gave him. Consequently, his opinion is only helpful insofar as I am able to accept Ms. Lehtonen's evidence concerning the accident's effects.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Adrian concluded that Ms. Lehtonen had suffered musculoligamentous injury to the neck, thoracic and lumbar spine, and deconditioning. He felt that her injuries had probably mostly healed by the time he saw her, but that as a result of limiting her recreational and fitness activity since the accident, she had probably become deconditioned. He also felt that she was probably at increased risk for re-injury due to her spinal pain over the year or so after the accident and due to secondary deconditioning. He recommended a therapeutic exercise program to improve upon the state of deconditioning.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With respect to her pre-accident recreational activities, Ms. Lehtonen testified that she was for various periods before the accident active in bike riding, going to the gym, swimming, hiking and walking, although it is evident that she had no regular program of exercise or activity. She said that she had scheduled a hike with a friend who had once been a boyfriend for March of 2005 but had to cancel it because of her injuries. Walking for any period of time led to flare-ups in pain, and she was unable to carry a backpack because of back and arm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Counsel for the defendants sought to attribute this cancellation to the fact that Ms. Lehtonen had met her current boyfriend and fiancé, Mr. Dutchyn, shortly before the accident and, indeed, had gone out with him on their first date the day before the collision. I accept the plaintiff's evidence, and I do not find her answers on discovery to be materially inconsistent with that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Lehtonen testified that she now walks five days a week without difficulty and is able to do a great deal of gardening without any consequences. For quite a period of time, however, she was afraid to increase activity because of a concern that she might cause further damage.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for the defendants submits that I should draw an adverse inference because of the failure of the plaintiff to call either Dr. Laubenstein or Dr. Douwes as witnesses. Counsel for the defendants also submitted that I should give less weight to the plaintiff's evidence because no other corroborating witnesses, such as family members, were called. The only corroborating witness was Mr. Dutchyn, who did testify as to her difficulties after the accident, but who did not know her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circumstances of this case, I decline these invitations. I note that Dr. Laubenstein was quite uncooperative during the course of this litigation and that counsel for the plaintiff had to complain to the College of Physicians and Surgeons of British Columbia in order to get a copy of Dr. Laubenstein's records.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also note that the clinical records of both practitioners were entered into evidence and that it was open to counsel for the defendants to interview either or both of these practitioners.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Finally, I note that this action was brought pursuant to Rule 66 as fast-track litigation. That rule is intended to provide for a speedier and less expensive determination of actions such as this. Some sense of proportionality, therefore, is appropriate. As it was, the trial took slightly more than two days. To the extent that the plaintiff fails to satisfy the burden of proof with the evidence that was led on her behalf, then of course her failure to call other helpful evidence may indeed cause her difficulty, but I decline to draw any adverse inference.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turn to consider the issue of causation. Counsel for the defendants urges me to dismiss the case on the grounds that the plaintiff has failed to prove, on a balance of probabilities, that she was in fact injured by the minor impact involved in the collision. I am unable to accept that submission. I have no difficulty in concluding from the plaintiff's own evidence, the sufficiency of which I will discuss further below, and the evidence in the chiropractic records that Ms. Lehtonen did indeed suffer injury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Marasco.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While it is true that the evidence suggests that the impact was not of great force, I nevertheless find that there was an impact and that it caused injury to Ms. Lehtonen. No evidence was led on behalf of the defence, expert or otherwise, to suggest that the force of such an impact was not capable of causing injury of the degree at issue here. I am therefore left with the plaintiff's evidence and the evidence in the medical records, which in my view prove the causal connection between the impact and the injury on a balance of probabilities.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turn now to the claim for non-pecuniary damages. As with many personal injury claims, particularly where one is dealing with soft tissue injuries as opposed to more objectively identifiable injuries such as broken bones, the assessment of the reliability of the plaintiff becomes important.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this case, having carefully observed Ms. Lehtonen in the witness box and having carefully considered her evidence in relation to the medical evidence both in the form of expert testimony and medical records, it is my assessment, contrary to that urged upon me by counsel for the defendants, that the plaintiff is a thoroughly reliable witness. I saw no hint of anything about her that would suggest a tendency to exaggerate her injuries. If anything, there was a hesitancy to complain. At no time did I get a sense that the plaintiff was in any way trying to mislead the Court, as was suggested by counsel for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An assessment of the reliability in circumstances such as this cannot turn simply on the witness's ability to remember all of the minutiae of her course of recovery some years before, or on her being completely consistent in all respects. These may speak more of an abundance of preparation than honesty. All of the factors must be taken into account, including her general consistency with other evidence, the impression she made in the witness box, and in this case the fact that on several instances she failed to make more of her injuries than she reasonably could have done.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We have then in essence a significant soft tissue injury to the back radiating into the left shoulder and arm and down into the leg which caused serious difficulty for about three months and then improved slowly but steadily. The problems were largely resolved in a year, but flare-ups continued with full resolution taking approximately two and a half years. The problems included sleep interruption due to the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 for the plaintiff referred me to the following two cases from this Court:</w:t>
      </w:r>
      <w:r>
        <w:rPr>
          <w:lang w:val="en-US" w:eastAsia="en-US" w:bidi="ar-SA"/>
        </w:rPr>
        <w:cr/>
      </w:r>
    </w:p>
    <w:p>
      <w:pPr>
        <w:spacing w:line="260" w:lineRule="atLeast"/>
        <w:ind w:left="720"/>
        <w:rPr>
          <w:lang w:val="en-US" w:eastAsia="en-US" w:bidi="ar-SA"/>
        </w:rPr>
      </w:pPr>
      <w:r>
        <w:rPr>
          <w:rFonts w:ascii="arial" w:eastAsia="arial" w:hAnsi="arial" w:cs="arial"/>
          <w:b/>
          <w:i/>
          <w:color w:val="000000"/>
          <w:sz w:val="20"/>
          <w:lang w:val="en-US" w:eastAsia="en-US" w:bidi="ar-SA"/>
        </w:rPr>
        <w:t>Gale v. Knapp</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2006 BCSC 1225</w:t>
        </w:r>
      </w:hyperlink>
      <w:r>
        <w:rPr>
          <w:rFonts w:ascii="arial" w:eastAsia="arial" w:hAnsi="arial" w:cs="arial"/>
          <w:color w:val="000000"/>
          <w:sz w:val="20"/>
          <w:lang w:val="en-US" w:eastAsia="en-US" w:bidi="ar-SA"/>
        </w:rPr>
        <w:t>, where the plaintiff suffered a mild to moderate soft tissue injury combined with sleep problems, back and shoulder problems which resolved in six months, and an additional year of neck discomfort. These injuries were aggravated by the fact that the plaintiff was an elite athlete. The award was $20,000. Madam Justice Bennett provided a very useful review of cases where the awards ranged from $7,500 through $25,000.</w:t>
      </w:r>
    </w:p>
    <w:p>
      <w:pPr>
        <w:spacing w:before="120" w:line="260" w:lineRule="atLeast"/>
        <w:ind w:left="720"/>
        <w:rPr>
          <w:lang w:val="en-US" w:eastAsia="en-US" w:bidi="ar-SA"/>
        </w:rPr>
      </w:pPr>
      <w:r>
        <w:rPr>
          <w:rFonts w:ascii="arial" w:eastAsia="arial" w:hAnsi="arial" w:cs="arial"/>
          <w:b/>
          <w:i/>
          <w:color w:val="000000"/>
          <w:sz w:val="20"/>
          <w:lang w:val="en-US" w:eastAsia="en-US" w:bidi="ar-SA"/>
        </w:rPr>
        <w:t>Dokupil v. Nesbitt</w:t>
      </w:r>
      <w:r>
        <w:rPr>
          <w:rFonts w:ascii="arial" w:eastAsia="arial" w:hAnsi="arial" w:cs="arial"/>
          <w:color w:val="000000"/>
          <w:sz w:val="20"/>
          <w:lang w:val="en-US" w:eastAsia="en-US" w:bidi="ar-SA"/>
        </w:rPr>
        <w:t>, 4 June, 2008, Vancouver Registry, No. M061764, where the plaintiff had been involved in two accidents. The judge in this case was unable to accept the plaintiff's description of the intensity or duration of her symptoms and concluded that the plaintiff had moderate soft tissue symptoms for eight months which gradually resolved over time, with mild residual pain for another 12 months and occasional flare-ups on exertion and thereafter. The award was $25,000.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the basis of these cases, counsel for the plaintiff submitted an appropriate range for non-pecuniary damages was $20,000 to $25,000.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Counsel for the defendants referred me to a number of cases from the Provincial Court as well as two decisions of this Court in which oral reasons for judgment were given: </w:t>
      </w:r>
      <w:r>
        <w:rPr>
          <w:rFonts w:ascii="arial" w:eastAsia="arial" w:hAnsi="arial" w:cs="arial"/>
          <w:b/>
          <w:i/>
          <w:color w:val="000000"/>
          <w:sz w:val="20"/>
          <w:lang w:val="en-US" w:eastAsia="en-US" w:bidi="ar-SA"/>
        </w:rPr>
        <w:t>Jezdic v. Danielisz</w:t>
      </w:r>
      <w:r>
        <w:rPr>
          <w:rFonts w:ascii="arial" w:eastAsia="arial" w:hAnsi="arial" w:cs="arial"/>
          <w:color w:val="000000"/>
          <w:sz w:val="20"/>
          <w:lang w:val="en-US" w:eastAsia="en-US" w:bidi="ar-SA"/>
        </w:rPr>
        <w:t xml:space="preserve"> (2 May 2008), New Westminster Registry, No. M90942, (S.C.) Mr. Justice Sigurdson; and </w:t>
      </w:r>
      <w:r>
        <w:rPr>
          <w:rFonts w:ascii="arial" w:eastAsia="arial" w:hAnsi="arial" w:cs="arial"/>
          <w:b/>
          <w:i/>
          <w:color w:val="000000"/>
          <w:sz w:val="20"/>
          <w:lang w:val="en-US" w:eastAsia="en-US" w:bidi="ar-SA"/>
        </w:rPr>
        <w:t>Mohammed v. Rai</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2005 BCSC 1918</w:t>
        </w:r>
      </w:hyperlink>
      <w:r>
        <w:rPr>
          <w:rFonts w:ascii="arial" w:eastAsia="arial" w:hAnsi="arial" w:cs="arial"/>
          <w:color w:val="000000"/>
          <w:sz w:val="20"/>
          <w:lang w:val="en-US" w:eastAsia="en-US" w:bidi="ar-SA"/>
        </w:rPr>
        <w:t>, Mr. Justice Goepel. She submitted that in the event I found causation, the appropriate range for non-pecuniary damages was $6,000 to $12,000.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found that the cases presented on behalf of the defendants generally turned on issues of credibility that do not arise here, or concerned injuries markedly less significant than I have found were suffered by Ms. Lehtonen. Having carefully considered these decisions, I am mindful of the words of my brother Halfyard in </w:t>
      </w:r>
      <w:r>
        <w:rPr>
          <w:rFonts w:ascii="arial" w:eastAsia="arial" w:hAnsi="arial" w:cs="arial"/>
          <w:b/>
          <w:i/>
          <w:color w:val="000000"/>
          <w:sz w:val="20"/>
          <w:lang w:val="en-US" w:eastAsia="en-US" w:bidi="ar-SA"/>
        </w:rPr>
        <w:t>Jones v. Davenport</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2008 BCSC 18</w:t>
        </w:r>
      </w:hyperlink>
      <w:r>
        <w:rPr>
          <w:rFonts w:ascii="arial" w:eastAsia="arial" w:hAnsi="arial" w:cs="arial"/>
          <w:color w:val="000000"/>
          <w:sz w:val="20"/>
          <w:lang w:val="en-US" w:eastAsia="en-US" w:bidi="ar-SA"/>
        </w:rPr>
        <w:t xml:space="preserve"> at para. 77: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Previously decided cases can only assist in establishing a general range of damages that may apply to a particular case. This is because no two plaintiffs will ever be the same age, previous state of strength and health, occupation and other activities. Moreover, the injuries sustained by one plaintiff will never be the same as those incurred by another in kind or severity. Nor will the reaction of any two persons to the pain of a similar injury or to particular treatments be the same.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conclude that in the circumstances of this case the evidence before me concerning this plaintiff justifies an award of non-pecuniary damages in the amount of $21,000.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respect to her employment, Ms. Lehtonen testified that it took nearly a year before she no longer suffered any problems at work. During the first month post-accident she worked shorter days but began to increase her hours. Much of her job consisted of interviewing candidates, and she was simply unable to sit still long enough to do that. Although she returned to full-time employment a month after the accident, she was still unable to do more than a one-hour interview and could not take on a full load.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Lehtonen was paid on a commission basis. Her clients were billed a percentage of the salary of the position that was filled and Ms. Lehtonen would be paid 40 percent of the amount billed to the client. She worked with a partner as a team and they shared all commissions 50/50. Her partner was extremely helpful and took on a big part of Ms. Lehtonen's work load during the time that she was unable to perform at full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respect to a loss of income or a loss of opportunity to earn income, Ms. Lehtonen testified that there was one placement that had been confirmed at the time of the accident, but it turned into a fall-off. The person who had been recruited received a better offer from her current employer and decided not to take the new position; that person referred an acquaintance for the new position, and that meant a loss of commission on that placement.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Lehtonen testified that had she not been injured, she would have been in close contact with the candidate and would have dealt with the issue of a counteroffer and referrals. It is not an uncommon situation. The result would have been either to keep the placement or to make a referral herself, maintaining the entitlement to commission. She testified that the commission would have been in the range of $3,000. No documentary evidence was tendered indicating what the client would have been billed for the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Although I understand Ms. Lehtonen's evidence in regard to the situation, I am not satisfied, on a balance of probabilities, that the loss of this particular commission was caused by the injuries Ms. Lehtonen suffered and her inability to work full-time.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absence of any documentary evidence supporting the recruitment and any explanation as to why either Ms. Lehtonen during her part-time employment or her partner could not have followed up on the matter, or what attempts were made to do so, I am unable to conclude that had Ms. Lehtonen been present in her full capacity the situation would have been different.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Lehtonen also testified that because she could not do as many interviews there would have been fewer placements. Before the motor vehicle accident, she would undertake five to ten interviews a week. She was unable to do any for the first month and then built them up gradually after that. However, her colleague took over most of the interviews she would otherwise have done and shared the commissions with her. She could not provide any evidence of income loss other than the one commission, and I find that she has failed to prove, on a balance of probabilities, that she suffered any actual income loss at all. In fact, on the evidence, she was paid a bonus for the period in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for the plaintiff argued that even in the absence of evidence of any specific loss of income, the plaintiff should be entitled to an award for the loss of opportunity to earn income through commissions during the time that she was unable to work for her full capacity. It would indeed seem logical in most instances that where a person who is paid by commission is unable for a period of time to perform the tasks that would result in the billings that give rise to the commissions, then an opportunity has been lost. In this case, however, the plaintiff was unable to put forward any evidence to support such a claim. Indeed, she was commendably forthright in stating that she was very fortunate that her partner took up her slack and in agreeing that she really had no evidence of any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On the basis of the recommendation of Dr. Adrian, the plaintiff seeks a modest award for future care costs sufficient to cover the cost of a supervised exercise program. Even though a similar claim was allowed in the </w:t>
      </w:r>
      <w:r>
        <w:rPr>
          <w:rFonts w:ascii="arial" w:eastAsia="arial" w:hAnsi="arial" w:cs="arial"/>
          <w:b/>
          <w:i/>
          <w:color w:val="000000"/>
          <w:sz w:val="20"/>
          <w:lang w:val="en-US" w:eastAsia="en-US" w:bidi="ar-SA"/>
        </w:rPr>
        <w:t>Dokupil</w:t>
      </w:r>
      <w:r>
        <w:rPr>
          <w:rFonts w:ascii="arial" w:eastAsia="arial" w:hAnsi="arial" w:cs="arial"/>
          <w:color w:val="000000"/>
          <w:sz w:val="20"/>
          <w:lang w:val="en-US" w:eastAsia="en-US" w:bidi="ar-SA"/>
        </w:rPr>
        <w:t xml:space="preserve"> case,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 am unable to find that such an award is justified in the circumstances of this case, particularly given the plaintiff's evidence about her physical activity both before the accident and at present. It seems to me that the plaintiff is perfectly capable of developing her own exercise program. If she would prefer to have a supervised program, then that is something that could be paid for out of her non-pecuniary damages. On the other hand, Mr. Dutchyn may be of some assistance to her in this regard.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With respect to special damages, Ms. Lehtonen stated in her evidence that at the time of the collision her weight was in the range of 135 pounds and had been for some six months. She had previously had problems with her weight and had invested in a course of treatment at the Dr. Bernstein Diet and Health Clinic in downtown Vancouver. This consisted of a special medically supervised diet drastically reduced in calories, shots of vitamin B and follow-ups. She attended at the clinic from the spring through the fall of 2004 and successfully lost in the range of 25 pounds. The program was not inexpensive.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After the accident, Ms. Lehtonen's weight ballooned back into the mid 150s. She attributes this to pain and to reduced activity and the fact that she was unable to prepare meals properly. Before the accident as a result of her previous experience with the weight loss program, she prepared all her meals properly from scratch. Afterwards, she was unable to stand long enough in the kitchen to do this and bought pre-prepared meals, which proved to be less healthy. Her stress affected her weight and her weight affected her stress.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a result of this weight gain, the plaintiff returned to the Dr. Bernstein clinic in the fall of 2005 and continued to attend for three or four months. She lost 20 pounds and spent some $1,700 on the program. She was able to maintain this weight loss until the summer of 2006, when her brother was killed in a tragic motor vehicle accident and she had to deal on her own with her daughter, who had Asperger's Syndrome, an Autism Spectrum Disorder, and she was laid off. She was obliged to deal with her daughter on her own because her ex-husband left for China.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claims the expenses of the second session with Dr. Bernstein's clinic as an item of special damage. The question, as always, is twofold: Was her weight gain in fact caused or contributed to by the accident, and was her return to Dr. Bernstein's Diet and Health Clinic a reasonable step to take to deal with the problem? In the circumstances of this case, I answer both questions in the affirmative. The causal link between her accident and her weight gain seems to me to be clear. The question of the reasonableness of spending a large sum of money on a clinic to deal with the weight gain may be less clear. In this case, however, because the plaintiff had already attended Dr. Bernstein's clinic and then suffered a reversal of the program's benefit as a result of the accident, her return to the clinic was, in my view, a reasonable response.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With respect to these costs and the balance of special damages claimed by the plaintiff and set out in Exhibit 3, I allow the sum of $1,886.55 after deducting certain claims for parking expenses and gym fees which were not supported by the evidence, and chiropractic fees which have already been reimbursed. I do not have any difficulty in accepting the claim for Tylenol No. 2 in the amount of $50, and I allow mileage costs at $64.01.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summary, I award non-pecuniary damages of $21,000 and special damages of $1,886.55, for a total of $22,886.55. I decline to award anything for loss of income or for future care. The parties may speak to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(SUBMISSIONS RE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COURT: In the particular circumstances of this case, I conclude that there was justification for bringing this matter in the Supreme Court. If it were simply a matter of deciding whether the range of damages it should be that submitted by the plaintiff or that submitted by the defendant, then I might well conclude that the matter ought to have been brought in Provincial Court. But that is not the case. Although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admitted, liability was not, because causation was not admitted. Indeed it was the submission of the defendants that the plaintiff should not be believed - that she was in fact a misleading the Court, and that her case should be dismissed because of her inability to prove that her injuries were caused by this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terms of the assessment of damages, the amount comes very close to the limit, and of course this cannot be predicted in advance, especially when you have uncooperative physicians like Dr. Laubenstein was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all of the circumstances, given the need for the plaintiff to overcome the serious credibility allegations made against her, and the need for the plaintiff to overcome the issue of causation including the low impact issues, it is my view that it was reasonable for her to hire counsel to proceed in Supreme Court where discovery would be permitted. In doing so, the plaintiff proceeded under Rule 66, in as expeditious a way as possible.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therefore award costs pursuant to Rule 66(29) in the amount of $6,600 plus disbursements.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J.C. GRAUER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899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4"/>
          <w:headerReference w:type="default" r:id="rId815"/>
          <w:footerReference w:type="even" r:id="rId816"/>
          <w:footerReference w:type="default" r:id="rId817"/>
          <w:headerReference w:type="first" r:id="rId818"/>
          <w:footerReference w:type="first" r:id="rId8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MacMillan v. Kaiser Equipment Ltd., [2003] B.C.J. No. 1006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23 and 24, March 3 - 5,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30,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S002301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1006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672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123 A.C.W.S. (3d) 866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Donald Mark MacMillan, plaintiff, and Kaiser Equipment Ltd., Kaiser International Developments Ltd., LFD Industries Ltd., Yee Bun Lee, Alfred Po-Hong Ma, Axia Incorporated, and Ames Taping Tool Systems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5"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5" w:name="Keywords_43"/>
      <w:bookmarkEnd w:id="285"/>
      <w:r>
        <w:rPr>
          <w:rFonts w:ascii="arial" w:eastAsia="arial" w:hAnsi="arial" w:cs="arial"/>
          <w:b/>
          <w:color w:val="000000"/>
          <w:sz w:val="20"/>
          <w:lang w:val="en-US" w:eastAsia="en-US" w:bidi="ar-SA"/>
        </w:rPr>
        <w:t>Practice — Pleadings — Striking out pleadings — Grounds, failure to disclose a cause of action or defence — Fraud and misrepresentation — Misrepresentation — Contracts.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6" w:name="Case Summary_35"/>
            <w:bookmarkEnd w:id="2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Kaiser Equipment and the other defendants for the dismissal of the plaintiff MacMillan's action on the grounds that it was statue-barred, disclosed no cause of action, and was an abuse of the court's process. MacMillan was the inventor of dry wall implements. In 1990, MacMillan agreed to sell his shares of Kaiser to the defendant LFD Industries, which was owned by the defendants Lee and Ma. MacMillan assigned his interests in the patents he had obtained. He signed a consulting agreement, which obliged him to assign all new patents to the company while he was a consultant. MacMillan pleaded that he was induced into selling his shares and signing the consulting agreement, and an employment agreement based on representations that he would receive a 10 per cent equity position in the future. All of the agreements contained entire agreement clauses. MacMillan was dismissed for cause in 1997 with no grounds specified. Kaiser assigned the patents to the defendant Axia Incorporated.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7" w:name="Holdings of Court_30"/>
            <w:bookmarkEnd w:id="28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Each of the alleged representations related to a future occurrence and not to an existing state of events. A future offer of equity participation was not an actionable representation. There was no basis to find Ma or Lee liable as there was no evidence that they were acting in their personal capacities rather than as agents for LFD. The entire agreement clauses precluded MacMillan from claiming that he was induced into continuing his employment and assigning the patents by the representations that he would receive 10 per cent of the shares.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Supplementary reasons for judgment were released June 26, 2003. See </w:t>
            </w:r>
            <w:hyperlink r:id="rId820" w:history="1">
              <w:r>
                <w:rPr>
                  <w:rFonts w:ascii="arial" w:eastAsia="arial" w:hAnsi="arial" w:cs="arial"/>
                  <w:i/>
                  <w:color w:val="0077CC"/>
                  <w:sz w:val="18"/>
                  <w:u w:val="single"/>
                  <w:shd w:val="clear" w:color="auto" w:fill="FFFFFF"/>
                  <w:lang w:val="en-US" w:eastAsia="en-US" w:bidi="ar-SA"/>
                </w:rPr>
                <w:t>[2003] B.C.J. No. 1520</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8" w:name="Legislation Cited_35"/>
      <w:bookmarkEnd w:id="2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6"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18A(11), 19(24), 19(24)(a), 19(24)(d).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9" w:name="Counsel_43"/>
      <w:bookmarkEnd w:id="2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7"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C.S. Wilson, for the plaintiff. S.M. Forestell, for the defendants. R.P. Attisha, for the defendants Kaiser, KIDL, LFD, Lee, and Ma. D.M. Bain, for the defendants, Axia and Ames.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0" w:name="Judgment_43"/>
      <w:bookmarkEnd w:id="290"/>
      <w:r>
        <w:pict>
          <v:line id="_x0000_s1268" style="position:absolute;z-index:25185689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May 6, 2003.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1" w:name="ALLAN J."/>
            <w:bookmarkEnd w:id="291"/>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seek an order dismissing the plaintiff's action on several grounds. First, they say it is statute-barred. Second, they submit it should be dismissed on the basis that (1) it discloses no reasonable course of action and (2) it is an abuse of the Court's process because the plaintiff's own evidence at his numerous examinations for discovery and in several affidavits contradicts the claims made in his statement of claim. Alternatively, the defendants seek dismissal of the plaintiff's claims pursuant to Rule 18A. If the defendants are unsuccessful, they seek relief with respect to a number of interlocutory issues relating to the litigation. The plaintiff seeks a full trial on the merits and, on this application, an order amending his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documentation on this five-day application was extensive. The defendants prepared exhaustive outlines of the discrepancies between the allegations in the original statement of claim and the plaintiff's evidence. Mr. Wilson, counsel for the plaintiff, asserted that many of the apparent evidentiary deficiencies could be remedied by amending his pleadings. The proposed amendments invited further analysis by the defendants of original allegations dropped and fresh ones added. On the last day of the application, I invited Mr. Wilson to submit a further proposed draft statement of claim that incorporated all of the changes he wished to make after having heard all of the defendants' submissions. Rather than chase a moving target, I propose to examine the "final" proposed amended statement of claim against the background of the documentary evidence. If the plaintiff's pleadings cannot withstand that scrutiny, then it is unnecessary to analyze the defendants' extensive attacks on 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Donald Mark MacMillan ("MacMillan") is an inventor of dry wall implements.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will refer to the first five defendants as the "Kaiser defendants". Kaiser Equipment Ltd., formerly named Concorde Tool Corporation ("Concorde") prior to July 7, 1999, Kaiser International Developments Ltd. ("KIDL"), and LFD Industries Ltd. ("LFD") are B.C. Companies. Yee Bun Lee ("Lee") was, at all material times, a shareholder and director of KIDL and LFD. Alfred Po-Hong Ma ("Ma") is Lee's brother-in-law and became a shareholder of LFD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Axia Incorporated ("Axia") is a company incorporated in the U.S. Ames Taping Tools Systems Company ("Ames") is a division of Axia and does not exist as a separate legally incorporated body. I will refer to those two defendants as the "Axia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June 13, 1990, MacMillan and Raymond Bernier owned and operated Concorde to carry on the business of developing and marketing drywall tools. Bernier held 90%, and MacMillan held 10%, of the issued and outstanding shares. Between February 1990 and April 1991, MacMillan applied for five patents that were issued to him between November 5, 1991 and February 2, 1993 (the "Early Patents"). One of his inventions was extremely successful and became the standard for adjustable length handles in the drywall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1990 Share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June 13, 1990, Bernier and MacMillan, Concorde and LFD entered into a share purchase agreement, under which LFD purchased all the issued and outstanding shares of Concorde (the "1990 Share Purchase Agreement"). At that time, Lee, through his company KIDL, owned 60% of the shares in LFD, David Fung ("Fung"), through his company ACDEG, owned 20% and David Dick ("Dick") owned the remaining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Pursuant to Clause 2.1, LFD also acquired the Early Patents which were listed in Schedule "G":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all right and interest of the Vendors to all registered and unregistered patents, trade marks, trade or brand names, copy-rights, designs, restrictive covenants and other industrial or intellectual property used in connection with the Company's business and set forth in Schedule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accordance with Clause 6.1(j), MacMillan delivered executed assignments of the Early Patents, which were in his name, to Concorde at the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1990 Share Purchase Agreement also contemplated that Concorde would hire MacMillan as a consultant. Clause 6.1(f) required MacMillan to sign a consulting agreement and deliver it at the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Clause 10.4 constituted an entire agreement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contains the whole agreement between the Vendors and the Purchaser in respect of the purchase and sale contemplated hereby and there are no warranties, representations, terms, conditions or collateral agreements, express or implied, or otherwise other than expressly set forth in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Accordingly, upon the execution of the Share Purchase Agreement, all of MacMillan's interest in Concorde was transferred to LFD and the Early Patents were then assigned to Concorde.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1990 Consulting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MacMillan and Concorde executed the required consulting agreement on June 13, 1990 (the "1990 Consulting Agreement"), which was Schedule "C" to the 1990 Share Purchase Agreement. The 1990 Consulting Agreement contemplated that MacMillan would be an independent contractor, with a fixed remuneration and a financial incentive bonus structure based on the performance of Concorde.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Clause 3.03(e) of the 1990 Consulting Agreement required him to disclose to Concorde "all designs, rights to sell patents or patentable concepts" that might be produced while he was acting as consultant. It also provided that all patents and patentable concepts produced by MacMillan while he was acting as a consultant would be the property of Concorde and that he would not claim any interest in them. Clause 5.06 required MacMillan to communicate to Concorde any design improvement that he might develop while he was a consultant and provided that Concorde could patent it as its property. MacMillan was to cooperate in applying for such patents and assign all new improvements or designs to Concorde.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Clause 6.01 provided for a four-year term commencing June 15,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Clause 8.01 required MacMillan to indemnify Concorde from all claims arising from any breach of the agreement and the indemnity was to survive the expiry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Clause 10.01 constituted an entire agreement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evidences the entire agreement between the parties hereto and cannot be changed, modified or supplemented except by a supplementary agreement executed by both parties hereto. This Agreement supersedes and voids all previous agreement between the parties 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Accordingly, the 1990 Consulting Agreement obliged MacMillan to assign all new patents to Concorde while he was a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alleged representations that induced MacMillan to enter the 1990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MacMillan has pleaded that, as an inducement to sell his 10% shareholding in Concorde and assign the Early Patents to Concorde, Lee, Fung and Dick, "acting on behalf of LFD and themselves personally", made certain representations to him, including the following promise: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significant benefit of the Early Patents and any future inventions would flow to MacMillan, which benefit would include the assignment to MacMillan of 10% of the shares in [KIDL], LFD, Concorde or any other company that owned or had the right to exploit or otherwise control the Early Patents and any future inventions.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Dick, who is now MacMillan's partner in a new business and not a defendant in this case, supports MacMillan's version of events. He deposes that Lee told MacMillan that he wanted MacMillan to be an equity participant in Concorde and that both Dick and Lee assured him that the proposed contractual arrangement for bonuses based on gross profits would be converted to a 10% equity position at an appropriate future time. Lee denies making that commitment.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MacMillan asserts that those representations induced him into entering both the 1990 Share Purchase Agreement and the 1990 Consulting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Events between 1990 and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MacMillan asserts that between 1990 and 1995, he became increasingly dissatisfied with Concorde's management and he did not receive any bonuses, either based on gross profits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1990 Consulting Agreement came to an end in June 1994, but MacMillan continued his employment with Concorde.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1994, Dick ceased his involvement with LFD and his shareholding was reduced to 5%. The balance of the shares were held by KIDL (55%), Ma (20%) and Fung's company, ACDEG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MacMillan says that between May 17, 1994 and February 19, 1995, he applied for four patents for tools he invented or improved "outside the scope of his employment" (the "New Patents"). In my opinion, Clauses 3.03(e) and 5.06 of the 1990 Consulting Agreement clearly precluded him from claiming entitlement to tools or improvements he invented while a consultant for Concorde.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Alleged promises of shares in 1993 and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MacMillan asserts that on at least three occasions in 1993 or 1994, Lee, Fung or Dick, acting on behalf of LFD and personally, confirmed that he would receive 10% of the shares of Concorde in exchange for work he had done "over and above what was required of him as a consultant or employee". He says that as a result of that promise, he continued to provide services to Concorde.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MacMillan also claims that Dick approached him in 1993 and asked him "what it would take" to keep him with the company. MacMillan says he replied that he said he wanted 10% of the equity in Concorde. He pleads that this amounted to a contract, the consideration for which was his continued employment with Concorde.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Memoranda between the principals of Concorde demonstrate that they knew MacMillan hoped to acquire equity in the company. From time to time, they discussed different mechanisms for MacMillan earning or being given an equity interest but no clear consensus emerged on the terms under which such equity would be acquired. The possible terms debated included:</w:t>
      </w:r>
      <w:r>
        <w:rPr>
          <w:rFonts w:ascii="arial" w:eastAsia="arial" w:hAnsi="arial" w:cs="arial"/>
          <w:sz w:val="20"/>
          <w:lang w:val="en-US" w:eastAsia="en-US" w:bidi="ar-SA"/>
        </w:rPr>
        <w:cr/>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MacMillan's purchase of shares outright;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increase in MacMillan's salary, using the amount of the increase as payment for shares;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issuance of shares to MacMillan for good performance;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issuance of any shares recovered in the shareholder dispute between Dick and Fung to MacMillan.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However, nothing was finalized between the shareholders and no written proposals or agreements were conveyed to MacMillan.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MacMillan says that between July and October 1995, he advised Lee, Ma and Geoffrey Young, who was then counsel for Lee and KDIL, that he was again considering discontinuing his services to Concorde and would not assign any more patents or inventions to Concorde. He points to memoranda between Young, Lee and Ma that reference their concerns that, because Concorde was in default of its obligations under the 1990 Agreement, MacMillan's assignment of the patents under the 1990 Shareholder's Agreement was invalid and he had no further obligation to assign any further patents to Concorde.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MacMillan pleads that to induce him to continue providing his services to Concorde and to assign the New Patents and the Early Patents to KIDL, Lee, acting on behalf of KIDL, LFD and personally and Young, acting on behalf of KIDL, LFD and Lee, represented that he would receive a 10% ownership stake in Concorde.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says that in November or December 1995, he and Lee shook hands to confirm that agreement but Lee dissuaded him from insisting on a written agreement because of the on-going shareholders dispute involving Dick and Fung. Both Young and Lee deny making such an agreement with MacMillan. Lee says he told MacMillan that he would only be entitled to half the shares that were recovered from Dick and Fung and suggested that MacMillan assist him in obtaining them. He deposes that any discussion he had with MacMillan concerning the latter acquiring an equity position was dependent upon future events which never transpired.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1995 Employment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November 1995, MacMillan signed an employment agreement with Lee's company, KIDL, to act as Vice-President of Operations of Concorde (the "1995 Employment Agreement"). At the same time, MacMillan and Concorde executed a separate agreement rendering the 1990 Consulting Agreement null and void (the "Cancellation Agreement"). It is important to note that the 1990 Share Purchase Agreement, assigning the Early Patents to Concorde, was not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recitals to the 1995 Employment Agreement state that KIDL would act as MacMillan's employer because KIDL's subsidiary, Concorde, lacked the resources to hire him, and because MacMillan did not have the confidence in Concorde to continue as its employee. The 1995 Employment Agreement gave the plaintiff a fixed monthly salary of $5,540 (twice his base salary under the 1990 Consulting Agreement), but did not provide for financial incentive performance bonuses.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addition, Clause 8 provided that KIDL would pay $35,000 to MacMillan as consideration for his agreement that all past, present and future patents and patentable concepts, including those registered in his name, were and would be the exclusive property of KIDL. The current patents, which were listed as Schedule "A" included all of the Early Patents and the New Patents. MacMillan received the sum of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MacMillan also agreed to execute any instruments needed to register the patents. He provided a "full and irrevocable Power of Attorney to register assignments of all past, present and future Patents in the name of the Employer without further consultation or permission from the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All future "protected information" was to be the property of KIDL. Clause 7(a) defined "protected information":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all of the products, tools, materials, and information (whether or not reduced to writing and whether or not patentable or protectible by copyright, but particularly those products and tools that have been patented or are capable of being patented in the future) which the Employee receives, received access to, conceived or develops, in whole or part, in any capacity, whether executive, managerial, planning, technical, sales, research, development, manufacturing, engineering or otherwise or through the use of any of the Employer's or [Concorde's] facilities or resources, including but not limited to:</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products, tools, production processes, marketing techniques and arrangements, mailing lists, purchasing information, pricing policies, quoting procedures, financial information, customer and prospect names and requirements, employee, customer, supplier and distributor data and other material or information relating to Employer's business and activities and the manner in which Employer or [Concorde] does business;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products, tools, discoveries, concepts, and ideas, including, without limitation, the nature and results of research and development activities, processes, formulas, inventions, technology, techniques, "know-how", designs, drawings and specifications created, conceived or developed by the Employee or any other person employed or otherwise connected with the Employer or [Concorde];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materials or information related to the business or activities of the Employer or [Concorde] which are not general known to others engaged in similar businesses or activities; and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ideas which are derived from or related to the Employee's access to or knowledge of any of the above enumerated materials and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Clause 15(a) provided that the term "Employer" included any parent, subsidiary or affiliate of KIDL. The preamble stated that the Employer "has a subsidiary named Concorde..." All of Concorde's shares were owned by LFD and KIDL was the controlling shareholder of LFD.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Clause 23 constituted an entire agreement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contract constitutes the entire agreement between the parties with respect to the employment and appointment of the Employee and any and all previous agreements, written or oral, express or implied, between the parties or on their behalf relating to the employment and appointment of the Employee by the Employer, are terminated and cancelled and each of the parties releases and forever discharges the other of and from all manner of actions, causes of action, claims and demands whatsoever, under or in respect of any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MacMillan was represented by independent legal counsel who certified that, after receiving independent legal advice with respect to the entire contents of the agreement, MacMillan voluntarily, and without duress or influence, agreed to be bound to the entire contents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Lee deposes that although he considered the 1995 Employment Agreement redundant since Concorde already owned all existing and future patents under the 1990 Agreement and at common law, he simply wanted to bring all existing patents under one legal umbrella to clear up the outstanding issues between MacMillan and Concorde. Any suggestion that Lee was serene at the time is, in fact, belied by anxious letters Lee wrote to Fung in October 1995, referring to a "real crisis". In one, he stated:</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[MacMillan] is not on board. There is a real crisis here. We have increased our cash to him to $35,000 in order to renew the agreement with him for assignment of patents. After [Dick's] phone [sic] to him several days ago and after consulting his lawyer, he has refused our offer. He knows well that our past agreement is no longer valid as we are in total default of our commitments. I shall cover the reasons of his refusal later. The fact that [MacMillan] is not supportive poses fundamental problems, not in that we cannot produce and market the products without him, but in the ultimate protection of our entire investments of $2,000,000 plus your [sic] years' hard efforts.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most important and the most urgent help that I need from you is in connection with the patents. The situation is very desperate, especially since [Dick] is still in touch with our major competitor. Unless I hear from you very soon, I shall use my judgement [sic] to pay for any price and use any other reasonable means to secure the assignment of the patents. There is no time to wait on this very pressing issue.</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October 26, 1995, Lee sent Ma a document drafted by Young that included a reference to "corporate restructure, shares for Mark once corporate shareholders mess is fixed". That statement clearly contemplates MacMillan acquiring an equity position only after Fung and Dick ceased to be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1996 "Draft Agreement in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MacMillan pleads that between August 1995 and October 1996, he discussed with Lee, Ma, Young and Schooley (the CEO of Concorde) the issue of how KIDL, LFD and Concorde could be restructured to ensure that he received his promised shareholding in Concorde or another company that owned or controlled the patents in accordance with the promise to give him a 10% ownership stake in Concorde. He says that when no shares were forthcoming, he again threatened to discontinue his services and, in response, Lee and Ma, acting on behalf of LFD and personally, confirmed LFD's commitment to provide him with a 10% ownership stake in Concorde.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difficult to see what value Concorde's shares would have at this time as KIDL had acquired all of the patents.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MacMillan pleads that, in August or September 1996, Lee, Ma and Schooley proposed a new agreement that was partly oral and partly in writing. On October 1, 1996, Lee and MacMillan signed a document headed "confidential" and "draft agreement in principle" purporting to be between MacMillan and Concorde and KIDL (the "Draft Agreement in Principle"). Schooley witnessed Lee's signature and MacMillan's wife witnessed his. Clause 12 provided that it was "meant to be additional or supplementary to" the 1995 Employment Agreement and subject to the latter's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document's lengthy preamble describes the purpose of the agreement as providing MacMillan with "an exceptionally generous incentive so that he will be motivated enough to fully utilize all his talents and abilities to work totally harmoniously" with Concorde's management. It also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both agree that the fundamental spirit of this agreement is to encourage and to ensure that Mark MacMillan will work closely and harmoniously together so that someday Mark MacMillan can proudly say and we gladly and indisputable agree that he is not given the very lucrative rewards by us, he is in fact through his own personal involvement and his own personal contribution earning his own lucrative rewards with the Company as the platform and that his personal involvement and contribution is making our dream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Document forms an Agreement in Principle which may have to be further detailed later as time and specific details become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document provided that MacMillan would continue providing services to KIDL and Concorde and he would receive annual reviews of his salary, bonuses for any new inventions when patent applications were made and further bonuses when they were approved, 30% of Concorde's profits, and several other inducements, including shares in Concorde.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MacMillan pleads that Clause 9 effectively provided that he would receive 12.5% of the issued and outstanding shares in Concorde upon the recovery of the shares held by Dick and Fung (in ACDEG):</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 clear understanding that the recovery of [Concorde's] shares from Mr. David Dick and Mr. David Fung will provide a real and substantial mutual benefits to both, Mark MacMillan agrees to do everything in his power, including the immediate submission of an affidavit and testimony to support recovery of these shares. In light of this support and to fulfill prior loose understandings, the following will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Through, and with your help and co-operation, 50% of any [Concorde] shares we can recover from David Fung and David Dick will be allocated to you. Our objective is to recover the full outstanding 25% of [Concorde] shares. This will provide Mark with 12.5% of [Concorde] shares with a view to promote the recovery of shares. We will support Mark MacMillan in the two legal disputes between David Fung and Mark MacMillan.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small claims action brought against Mark MacMillan by Fung in the amount of $10,355.00, wee [sic] agree to support Mark MacMillan to 50% of the judgment if it goes against MacMillan.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Supreme Court matter of Defamation of Character brought against David Fung by Mark MacMillan, we agree that this may be an effective tactic to support recovery of [Concorde] shares. Providing we both agree that it is worthwhile to pursue the matter, we agree to pay up to 50% of necessary legal costs. However, we maintain the right to abandon the action at any time if it becomes a hindrance to the recovery of shares. If the action is taken to conclusion and an award is made to MacMillan, we will have the right not just to recover the s [sic] costs, including any costs associated with the Small Claims action, but to share 50% of the award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reference to recovering Concorde shares from Dick and Fung is an obvious error as they held shares in LFD, not Concorde. LFD, in turn, holds 100% of the shares of Concorde.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MacMillan has deposed that he did not want to sign this document, but felt he had to or he would lose his job. He claims the document was not consistent with the earlier agreement that he would get 10% of the shares right away. In my view, the reference in Clause 9 to "prior loose understandings" is significant. It negates any suggestion that there had every been a firm agreement in place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Draft Agreement in Principle was clearly prepared without the benefit of legal advice or assistance and only contemplated MacMillan receiving shares in the event that Dick and Fung gave up theirs. Presumably, the "Confidential" notation at the top of the document was intended to keep its contents confidential from Dick and Fung, who remained shareholders of LFD.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Addendum: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February 1997, an addendum to the 1995 Employment Agreement (the "Addendum") was executed by Jenny Lee (Lee's wife and a director of KIDL) on behalf of KIDL and MacMillan, pursuant to the power of attorney granted for the purpose of registering patents by the 1995 Employment Agreement. The Addendum added several patents to the Schedule that listed the Protected Information. Mr. Wilson submits this was not a valid use of the power of attorney and that the 1995 Agreement did not give a power of attorney to Jenny Lee, KIDL, LFD or Concorde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reply that, as the purpose of the addendum was to facilitate registration, it was within the scope of the power of attorney. In fact, Clause 8 of that agreement gives KIDL, the irrevocable right to register assignments of all past, present and future patents in the name of KIDL without consulting MacMillan or obtaining his permission.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registration of the patents: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Until February 1997, the patents had been applied for in MacMillan's name and they were issued to him despite the terms of the 1990 Consulting Agreement and the 1995 Employment Agreement vesting the ownership interest in the patents, first in Concorde, and then in KIDL. On February 26, 1997, KIDL registered assignments of the patents, the Addendum and the 1990 Share Purchase Agreement in the US Patent office. That same day, under separate cover, assignments of the patents from Concorde to KIDL were registered. The plaintiff complains that KIDL did not register evidence of the promise to give him a 10% ownership stake in Concorde or the Draft Agreement in Principle. However, they were clearly not registrable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Various interoffice memoranda between the Kaiser defendants indicate there was some debate within Concorde as to who actually owned the rights to the patents. MacMillan asserted that he continued to own the patents because they were issued in his name. It appears that he insisted on the patents being issued in his name as leverage in his ongoing dispute over his entitlement to equity in Concorde.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termination of MacMillan's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February 28, 1997, two days after the patents were registered, MacMillan was dismissed from his employment. He had never received any shares in Concorde or LFD. The letter terminating him alleged cause, but did not specify any grounds for termination. MacMillan disputes there were grounds for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post-termination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May 1997, MacMillan commenced five actions against Concorde, Lee and KIDL in the Small Claims Division of Provincial Court. The defendants have pleaded that MacMillan's present action is barred by the principles of res judicata and issue estoppel as identical claims were advanced, determined and dismissed in the small claims actions. However, that argument was not pursued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December 1997, MacMillan joined Dick in establishing a new company, Northstar Tool Corporation, which develops and markets drywall tools.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Lee, Ma and KIDL settled their shareholders' dispute with Dick and ACDEG and recovered the latter's shares (in total, 25% of the shares in LFD) in May or June, 1999. The shareholders of LFD then became KIDL (80%) and Ma (20%). LFD continues to own 100% of Concorde's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an asset purchase agreement with Concorde, LFD, KIDL and Lee dated June 25, 1999, Axia/Ames purchased the Early Patents and the New Patents. During the course of the negotiations, Dick sent a letter dated June 3, 1999 to Axia/Ames informing them that the patents were the property of Concorde, not KIDL. Soon after that, Dick and Lee resolved their dispute and Dick released LFD, Concorde and KIDL and their assigns from any claims. MacMillan asserts that he also put Axia/Ames on notice of his claims against the patents in early June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Axia/Ames assert that they assessed the claims, concluded they held no merit, and continued with the acquisition.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December 1999, MacMillan and Dick approached Axia/Ames to see if they would be interested in purchasing a newly developed tool, which they represented as the "next generation" of the patent for the adjustable length handle that Axia/Ames had acquired from KIDL. They offered their opinion that the new design for that tool did not infringe on Concorde's patents that Axia/Ames had acquired.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This action was commenced on April 20,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claims against the Kaiser defendants include allegations that the 1990 Consulting Agreement and the 1995 Employment Agreement are void ab initio or subject to rescission, damages for breaches of the promise to give him a 10% ownership stake in Concorde in 1996 and of the Draft Agreement in Principle, and damages for innocent or negligent misrepresentation. There is a further claim against Ma and Lee for inducing LFD to breach the alleged promise of shares in Concorde and for inducing Concorde and KIDL to breach the Draft Agreement in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asserts that as a result of the alleged misrepresentations or KIDL's or Concorde's breach of the Draft Agreement in Principle, neither KIDL nor Concorde owned the patents or had the lawful right to assign them to the Axia defendants. He claims that Axia/Ames knew or ought to have known that KIDL did not own the patents or have the right to assign them and the Axia Assignment is unlawful and void ab initio.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Alternatively, MacMillan claims that both the Kaiser and Axia defendants were unjustly enriched and that he should receive a reasonable sum from KIDL, Concorde, LFD, Lee or Ma on the basis of quantum meruit for his design and developments of the tools and improvements that are the subject of the patents.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Appropriateness for disposition by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Attisha, counsel for the Kaiser defendants, argues that the plaintiff's claim should be struck under s. 19(24)(d) as an abuse of the court's process. Affidavit evidence is permissible on such an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Attisha submits that, in his numerous affidavits and at his examinations for discovery, MacMillan has resiled from virtually all of the allegations he made in the original statement of claim. He says that MacMillan initially alleged representations that he later admitted were not made at the times claimed and that he knew that the pleadings were untrue. His ulterior motive in bringing the action was to improperly challenge the legitimate assignment of the patents to the Axia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To strike a claim under Rule 19(24)(d) it must be plain and obvious that the claim is an abuse of process: 347202 B.C. Ltd. v. CIBC, </w:t>
      </w:r>
      <w:hyperlink r:id="rId821" w:history="1">
        <w:r>
          <w:rPr>
            <w:rFonts w:ascii="arial" w:eastAsia="arial" w:hAnsi="arial" w:cs="arial"/>
            <w:i/>
            <w:color w:val="0077CC"/>
            <w:sz w:val="20"/>
            <w:u w:val="single"/>
            <w:shd w:val="clear" w:color="auto" w:fill="FFFFFF"/>
            <w:lang w:val="en-US" w:eastAsia="en-US" w:bidi="ar-SA"/>
          </w:rPr>
          <w:t>[1995] B.C.J. No. 449</w:t>
        </w:r>
      </w:hyperlink>
      <w:r>
        <w:rPr>
          <w:rFonts w:ascii="arial" w:eastAsia="arial" w:hAnsi="arial" w:cs="arial"/>
          <w:color w:val="000000"/>
          <w:sz w:val="20"/>
          <w:lang w:val="en-US" w:eastAsia="en-US" w:bidi="ar-SA"/>
        </w:rPr>
        <w:t xml:space="preserve"> (S.C.). The fact that this application occupied five days of argument with respect to the merits of the case belies any suggestion that the plaintiff's abuse of the Court's process is "plain and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Axia defendants submit that because the plaintiff transferred all of his interest in the Early Patents to Concorde in the 1990 Shareholders Agreement, at least that part of his claim relating to those patents, should be dismissed as disclosing no reasonable cause of action. Rule 19(24)(a) codifies the court's inherent jurisdiction to dismiss an action on the basis it discloses no reasonable cause of action. The applicant must establish, without recourse to the evidence, that it is plain and obvious that the pleadings disclose no reasonable action: Hunt v. T &amp; N plc,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The defendants cannot meet that onus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Appropriateness for disposition by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Is this factually complex issue suitable for disposition pursuant to Rule 18A(11)? That section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On the hearing of the application, the court may</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 of fact or law, or</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principles governing summary trials were elucidated in Inspiration Management Ltd. v. McDermid St. Lawrence Ltd. </w:t>
      </w:r>
      <w:hyperlink r:id="rId141"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Numerous factors, including the credibility of the parties, may be considered. While there are serious credibility issues in this case that, in my view, are not amenable to summary resolution, the defendants argue that the necessary facts can be determined on the basis of the extensive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have concluded that the matter is suitable for disposition by summary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say that the plaintiff's allegations in his pleadings are effectively negated by his own admissions on his numerous examinations for discovery. They say that any alleged promise of shares in Concorde is void for uncertainty and statute-barred and that those shares have no value. They also assert that MacMillan has no interest in the patents that have now been validly assigned to Axia. Finally, they assert that the evidence of the alleged oral collateral agreements is prohibited by the parol evidence rule and the entire agreement clauses in the written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asserts that when the Cancellation Agreement of November 1, 1995 cancelled the 1990 Consulting Agreement, the title to the patents reverted to him and, when he signed the 1995 Employment Contract on the same day, he held title to all of the patents. From this position, the plaintiff argues that, as a result of certain flaws in the 1995 Employment Contract, he has maintained title to the patents.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flaws alleged are the Kaiser defendants' breach of an oral collateral contract to assign 10% of the shares of Concorde to him in consideration for his continuing to work for the company, or, alternatively, for intentionally misrepresenting that he would receive the shares. Thus, he says his purported agreement to assign the patents to KIDL is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Wilson submits that the entire agreement clause in the 1995 Employment Agreement is not broad enough to exclude an oral collateral contract for the assignment of shares. He says that the parol evidence rule does not exclude evidence of an oral collateral contract where its terms do not contradict the terms of the written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argues that there is reasonable certainty as to the essential terms of the oral collateral contract, which can be established objectively by looking at the conduct of the parties before and after the 1995 Employment Agreement. MacMillan says the term of the oral collateral contract was that he would be given 10% of the shares in Concorde some time after the "shareholders mess" was sorted out in consideration for him executing the 1995 Employment Agreement. (In fact, that event did not occur until 1999, long after MacMillan was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Finally, Mr. Wilson argues that the limitation period did not start to run until MacMillan suffered damages, which did not occur until 1997. The termination of his employment contract and the registration of the patents in KIDL's name gave rise to the defendants' alleged contractual breaches and torts.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plaintiff's claims against the Kaiser defendants sound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contract. I will deal first with the allegations that those defendants misrepresented to MacMillan that he would be issued shares in the future. Second, I will consider the contractual issues. They include (1) the issue of whether the personal defendants acted on behalf of corporate entities or their own behalf and (2) the effect of the entire agreement clauses in the three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plaintiff's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alleges that Lee, Fung and Dick, acting on behalf of themselves personally and on behalf of LFD induced him to enter into the 1990 Consulting Agreement by making the following negligent or innocent misrepresentations: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MacMillan would be actively involved in the operation of Concorde;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MacMillan would be given the time and opportunity to research and develop further tools and improvements to tools;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MacMillan would receive a salary as well as bonuses based on gross profits;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significant benefit of the Early Patents and any future inventions would flow to MacMillan, which benefit would include the assignment to MacMillan of 10% of the shares in [KiDL], LFD, Concorde or any other company that owned or had the right to exploit or otherwise control the Early Patents and any future inventions.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He further submits that Lee, acting on behalf of KIDL, LFD and personally, and Young, acting on behalf of KIDL, LFD and Lee, induced him to enter the 1995 Employment Agreement by negligently or innocently misrepresenting that he would, in the future receive a "10% ownership stake" in Concorde.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Taylor v. Netron Inc., </w:t>
      </w:r>
      <w:hyperlink r:id="rId822" w:history="1">
        <w:r>
          <w:rPr>
            <w:rFonts w:ascii="arial" w:eastAsia="arial" w:hAnsi="arial" w:cs="arial"/>
            <w:i/>
            <w:color w:val="0077CC"/>
            <w:sz w:val="20"/>
            <w:u w:val="single"/>
            <w:shd w:val="clear" w:color="auto" w:fill="FFFFFF"/>
            <w:lang w:val="en-US" w:eastAsia="en-US" w:bidi="ar-SA"/>
          </w:rPr>
          <w:t>[2002] O.J. No. 3121</w:t>
        </w:r>
      </w:hyperlink>
      <w:r>
        <w:rPr>
          <w:rFonts w:ascii="arial" w:eastAsia="arial" w:hAnsi="arial" w:cs="arial"/>
          <w:color w:val="000000"/>
          <w:sz w:val="20"/>
          <w:lang w:val="en-US" w:eastAsia="en-US" w:bidi="ar-SA"/>
        </w:rPr>
        <w:t xml:space="preserve"> (S.C.J.), Croll J. considered the plaintiff's argument that the employer had negligently misrepresented his right to equity participation. The Court held that, in order to establish a negligent misrepresentation, the misrepresentation must be to existing facts, not future occurrences, and there, the parties had clearly intended the equity participation terms to be negotiated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Datile Financial Corp. v. Royal Trust Corp. of Canada </w:t>
      </w:r>
      <w:hyperlink r:id="rId823" w:history="1">
        <w:r>
          <w:rPr>
            <w:rFonts w:ascii="arial" w:eastAsia="arial" w:hAnsi="arial" w:cs="arial"/>
            <w:i/>
            <w:color w:val="0077CC"/>
            <w:sz w:val="20"/>
            <w:u w:val="single"/>
            <w:shd w:val="clear" w:color="auto" w:fill="FFFFFF"/>
            <w:lang w:val="en-US" w:eastAsia="en-US" w:bidi="ar-SA"/>
          </w:rPr>
          <w:t>(1991), 5 O.R. (3d) 358</w:t>
        </w:r>
      </w:hyperlink>
      <w:r>
        <w:rPr>
          <w:rFonts w:ascii="arial" w:eastAsia="arial" w:hAnsi="arial" w:cs="arial"/>
          <w:color w:val="000000"/>
          <w:sz w:val="20"/>
          <w:lang w:val="en-US" w:eastAsia="en-US" w:bidi="ar-SA"/>
        </w:rPr>
        <w:t xml:space="preserve"> (Gen. Div.), varied, </w:t>
      </w:r>
      <w:hyperlink r:id="rId824" w:history="1">
        <w:r>
          <w:rPr>
            <w:rFonts w:ascii="arial" w:eastAsia="arial" w:hAnsi="arial" w:cs="arial"/>
            <w:i/>
            <w:color w:val="0077CC"/>
            <w:sz w:val="20"/>
            <w:u w:val="single"/>
            <w:shd w:val="clear" w:color="auto" w:fill="FFFFFF"/>
            <w:lang w:val="en-US" w:eastAsia="en-US" w:bidi="ar-SA"/>
          </w:rPr>
          <w:t>11 O.R. (3d) 224</w:t>
        </w:r>
      </w:hyperlink>
      <w:r>
        <w:rPr>
          <w:rFonts w:ascii="arial" w:eastAsia="arial" w:hAnsi="arial" w:cs="arial"/>
          <w:color w:val="000000"/>
          <w:sz w:val="20"/>
          <w:lang w:val="en-US" w:eastAsia="en-US" w:bidi="ar-SA"/>
        </w:rPr>
        <w:t xml:space="preserve"> (C.A.), Hollingworth J. discussed the characteristics of an actionable misrepresentation at pp. 377-79: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distinction exists between representations and a contractual term. The distinction is significant because in certain cases, the law is clear in that some statements cannot be successfully asserted as a cause of action. A representation is a statement made by the representor, and the statement must relate to a matter of present or past fact. Halsbury's Laws of England, 4th ed., vol. 31 (London: Butterworths, 1980), contains a section [Section 1005] which defines a representation at pp. 616-17: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representation is a statement made by a representator to a representee and relating by way of affirmation, denial, description or otherwise to a matter of fact. The statement may be oral or in writing or arise by implication from words or conduct.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matter of fact to which the statement relates must be a matter of present or past fact. The principle is clear, but there are difficulties in applying it to certain classes of statements. Thus, if a person makes a statement relating to his own or some other person's intention, or containing a promise or forecast as to the future with possible implications as to the present ... questions may arise whether, and in what sense, and to what extent a representation is contained in or to be implied from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[Footnotes omitted]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alleged statements are not representations in law, then they cannot give rise to a misrepresentation. Therefore, it is essential to define the concept of what the law pronounces to be a representation. Based on the above, a representation possesses two aspects. First, there must be a communication between at least two people. Secondly, the communication must be in relation to a fact. The fact must exist at the present time, or in the past.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on the above, it is clear that no action will lie for misrepresentation unless it is a statement of an existing fact. Put another way, only representations of fact can give rise to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the other hand, representations as to future occurrences do not form a ground for legal relief as negligent misrepresentation unless they import by implication a misstatement of an existing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this case, it is clear that each of the alleged representations relate to a future occurrence, and not to an existing state of events. A future offer of equity participation is not an actionable representation. Therefore, the claims for damages for misrepresentation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contractual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Although MacMillan has pled his prayer for relief against the Kaiser defendants primarily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is obviously a claim that they entered into, and breached, a number of oral collateral contracts with MacMillan at various times. It is also pled that LFD breached the alleged promise of shares in Concorde and that KIDL or Concorde breached the Draft Agreement in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Are Lee and Ma personally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To establish liability on the part of Lee and Ma, MacMillan would have to show that that the parties intended that the personal defendants would negotiate in their personal capacities rather than as agents for a corporate entity. If they were intended to be acting as agents for a company, then they can only be liable if they were acting outside the scope of their express, implied or ostensible authority: 442246 B.C. Ltd. v. 0909 Management Inc., </w:t>
      </w:r>
      <w:hyperlink r:id="rId825" w:history="1">
        <w:r>
          <w:rPr>
            <w:rFonts w:ascii="arial" w:eastAsia="arial" w:hAnsi="arial" w:cs="arial"/>
            <w:i/>
            <w:color w:val="0077CC"/>
            <w:sz w:val="20"/>
            <w:u w:val="single"/>
            <w:shd w:val="clear" w:color="auto" w:fill="FFFFFF"/>
            <w:lang w:val="en-US" w:eastAsia="en-US" w:bidi="ar-SA"/>
          </w:rPr>
          <w:t>[1999] B.C.J. No. 649</w:t>
        </w:r>
      </w:hyperlink>
      <w:r>
        <w:rPr>
          <w:rFonts w:ascii="arial" w:eastAsia="arial" w:hAnsi="arial" w:cs="arial"/>
          <w:color w:val="000000"/>
          <w:sz w:val="20"/>
          <w:lang w:val="en-US" w:eastAsia="en-US" w:bidi="ar-SA"/>
        </w:rPr>
        <w:t xml:space="preserve"> (S.C.), reversed on other grounds, </w:t>
      </w:r>
      <w:hyperlink r:id="rId826" w:history="1">
        <w:r>
          <w:rPr>
            <w:rFonts w:ascii="arial" w:eastAsia="arial" w:hAnsi="arial" w:cs="arial"/>
            <w:i/>
            <w:color w:val="0077CC"/>
            <w:sz w:val="20"/>
            <w:u w:val="single"/>
            <w:shd w:val="clear" w:color="auto" w:fill="FFFFFF"/>
            <w:lang w:val="en-US" w:eastAsia="en-US" w:bidi="ar-SA"/>
          </w:rPr>
          <w:t>(2000), 80 B.C.L.R. (3d) 299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Lehndorff Canadian Pension Properties Ltd, et al v. Davis &amp; Company et al </w:t>
      </w:r>
      <w:hyperlink r:id="rId827" w:history="1">
        <w:r>
          <w:rPr>
            <w:rFonts w:ascii="arial" w:eastAsia="arial" w:hAnsi="arial" w:cs="arial"/>
            <w:i/>
            <w:color w:val="0077CC"/>
            <w:sz w:val="20"/>
            <w:u w:val="single"/>
            <w:shd w:val="clear" w:color="auto" w:fill="FFFFFF"/>
            <w:lang w:val="en-US" w:eastAsia="en-US" w:bidi="ar-SA"/>
          </w:rPr>
          <w:t>(1987), 10 B.C.L.R. (2d) 342</w:t>
        </w:r>
      </w:hyperlink>
      <w:r>
        <w:rPr>
          <w:rFonts w:ascii="arial" w:eastAsia="arial" w:hAnsi="arial" w:cs="arial"/>
          <w:color w:val="000000"/>
          <w:sz w:val="20"/>
          <w:lang w:val="en-US" w:eastAsia="en-US" w:bidi="ar-SA"/>
        </w:rPr>
        <w:t xml:space="preserve"> (S.C.), Anderson L.J.S.C.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when a director of a company engages in discussions and makes decisions relating to the company's business, he is acting within the scope of his authority as the human agent which makes the company capable of doing business. And he can only attract personal liability if he is acting outside the scope of his authority in being motivated by advancing a personal interest contrary to the interests of the company, or by fraud, or with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is no evidence that Ma made any representations, promises or inducements to MacMillan in his personal capacity. In fact, on his examination for discovery, MacMillan conceded that Ma had never made any representations or promises to him. Further, MacMillan conceded on his examination for discovery that the initial representations by Lee, Fung and Dick were made on behalf of LFD and not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one of his affidavits, MacMillan alleges that after the execution of the 1995 Employment Agreement, Lee said that he would give 5% of his own shares to MacMillan if "worst came to worst". However, this alleged promise was not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McMillan also alleges that Lee and Ma induced LFD to breach the alleged promise in 1995 or 1996 to give him shares in Concorde and induced Concorde and Kaiser to breach the Draft Agreement in Principle signed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Imperial Oil Ltd. v. C &amp; G Holdings Ltd. et al. </w:t>
      </w:r>
      <w:hyperlink r:id="rId828" w:history="1">
        <w:r>
          <w:rPr>
            <w:rFonts w:ascii="arial" w:eastAsia="arial" w:hAnsi="arial" w:cs="arial"/>
            <w:i/>
            <w:color w:val="0077CC"/>
            <w:sz w:val="20"/>
            <w:u w:val="single"/>
            <w:shd w:val="clear" w:color="auto" w:fill="FFFFFF"/>
            <w:lang w:val="en-US" w:eastAsia="en-US" w:bidi="ar-SA"/>
          </w:rPr>
          <w:t>(1989), 62 D.L.R. (4th) 261</w:t>
        </w:r>
      </w:hyperlink>
      <w:r>
        <w:rPr>
          <w:rFonts w:ascii="arial" w:eastAsia="arial" w:hAnsi="arial" w:cs="arial"/>
          <w:color w:val="000000"/>
          <w:sz w:val="20"/>
          <w:lang w:val="en-US" w:eastAsia="en-US" w:bidi="ar-SA"/>
        </w:rPr>
        <w:t xml:space="preserve"> (Nfld. C.A.) at 266, Marshall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finding that a director is liable for wrongfully inducing breach of contract by the company, whose affairs he or she is directing, will require more than knowledge by the director that legal rights of others will be violated by his or her actions in bringing about the corporate breach. No presumption of intent can flow from that knowledge because of the director's concomitant obligation to the company. A director will be immune from liability for procuring the breach where he or she acts bona fide within the scope of his or her authority in the best interests of the company. When not so acting, the director does not attract automatic liability unless the circumstances show that his or her dominating concern was focused upon depriving the complainant of its contractual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There is no basis upon which to find Ma and Lee liable for inducing a breach of contract. Further, as I noted earlier, the Draft Agreement in Principle is not an enforceable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is also significant that, although MacMillan alleges that various inducements were made by Dick and Fung as well as by Ma and Lee, he has not sued Dick and Fung. The fact that he has sued only Ma and Lee, who remain shareholders of LFD (and, in Lee's case, KIDL), confirms that any inducements by the four individuals were made as agents for LFD or KIDL rather than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conclude that Ma and Lee cannot be personally liable in contract or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evidence of alleged oral contracts excluded by the entire agreement clauses of the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defendants submit that evidence of the alleged oral agreements is excluded by the express entire agreement clauses of the 1990 Share Purchase Agreement between MacMillan, Concorde and LFD, the 1990 Consulting Agreement between MacMillan and Concorde, and the 1995 Employment Agreement between MacMillan and KIDL.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my opinion, Clauses 10.4 of the 1990 Share Purchase Agreement and 10.1 of the 1990 Consulting Agreement clearly preclude the plaintiff's argument that LFD induced MacMillan to sell his shares in Concorde and assign the Early Patents and future inventions to Concorde in consideration for a future assignment of the shares of KIDL, LFD or Concorde.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also argues he was induced to enter into the 1995 Employment Agreement, continue providing his services to Concorde and assign both the New Patents and Early Patents to KIDL by representations that he would receive a 10% ownership stake in Concorde.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While the 1990 Consulting Agreement was cancelled by the Cancellation Agreement in 1995, the 1990 Shareholders Agreement, which effectively transferred all of the Early Patents to Concorde, survived. Accordingly, MacMillan cannot maintain any claim that they reverted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Wilson submits that the language of the 1995 Employment Agreement entire agreement clause (the only contract which he says is relevant on his theory of the case), is not broad enough to exclude the alleged oral collateral promise to provide shares. He suggests that Clause 23 is restricted by the language used in the phrases "constitutes the entire agreement between the parties with respect to the employment and appointment of the Employee" and "relating to the employment and appointment of the Employee by the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Further, Mr. Wilson argues that the entire agreement clause only relates to agreements between MacMillan and KIDL, and not to agreements with or on behalf of Concorde or LFD. However, Clause 15(a) defines the "Employer" as including "any corporation or entity that is a parent, subsidiary or affiliate of the Employee". Both LFD and Concorde fall within that broad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Wilson submits that the entire agreement clause does not extend to incentives for work done outside of his employment or the promise of shares. In my opinion, clause 37 of the 1995 Employment Agreement, dealing with "protected information" clearly precludes MacMillan from claiming that he is entitled to patentable inventions "done outside of his employment". The real issue is whether it precludes evidence of a collateral contract to provide shares to MacMillan.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plaintiff relies on Turner v. Visscher Holdings Inc. </w:t>
      </w:r>
      <w:hyperlink r:id="rId829" w:history="1">
        <w:r>
          <w:rPr>
            <w:rFonts w:ascii="arial" w:eastAsia="arial" w:hAnsi="arial" w:cs="arial"/>
            <w:i/>
            <w:color w:val="0077CC"/>
            <w:sz w:val="20"/>
            <w:u w:val="single"/>
            <w:shd w:val="clear" w:color="auto" w:fill="FFFFFF"/>
            <w:lang w:val="en-US" w:eastAsia="en-US" w:bidi="ar-SA"/>
          </w:rPr>
          <w:t>(1996), 23 B.C.L.R. (3d) 304</w:t>
        </w:r>
      </w:hyperlink>
      <w:r>
        <w:rPr>
          <w:rFonts w:ascii="arial" w:eastAsia="arial" w:hAnsi="arial" w:cs="arial"/>
          <w:color w:val="000000"/>
          <w:sz w:val="20"/>
          <w:lang w:val="en-US" w:eastAsia="en-US" w:bidi="ar-SA"/>
        </w:rPr>
        <w:t xml:space="preserve"> (C.A.). There, Turner agreed to sell the business, and then work as an employee. An oral employment agreement provided that the Turner would receive an $180,000 bonus. A written purchase and sale agreement contained an entire agreement clause. The Court found that there was ample evidence to support the terms of the oral employment agreement and the parties had acted in accordance with them for several months. The defendant argued that the bonus was really part of the consideration for the purchase and sale of the business and should be excluded by the entire agreement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Court of Appeal concluded that the parties did not intend the entire agreement clause in the purchase and sale contract to apply to the employment agreement. The Court also found that the bonus was used to induce Turner to sign the written purchase and sale contract, and therefore it would be inequitable for Visscher to raise the entire agreement clause as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my opinion, that case is distinguishable on its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Ontario Court of Appeal recently considered the effect of entire agreement clauses in Gutierrez v. Tropic International Ltd. </w:t>
      </w:r>
      <w:hyperlink r:id="rId830" w:history="1">
        <w:r>
          <w:rPr>
            <w:rFonts w:ascii="arial" w:eastAsia="arial" w:hAnsi="arial" w:cs="arial"/>
            <w:i/>
            <w:color w:val="0077CC"/>
            <w:sz w:val="20"/>
            <w:u w:val="single"/>
            <w:shd w:val="clear" w:color="auto" w:fill="FFFFFF"/>
            <w:lang w:val="en-US" w:eastAsia="en-US" w:bidi="ar-SA"/>
          </w:rPr>
          <w:t>(2002), 162 O.A.C. 247</w:t>
        </w:r>
      </w:hyperlink>
      <w:r>
        <w:rPr>
          <w:rFonts w:ascii="arial" w:eastAsia="arial" w:hAnsi="arial" w:cs="arial"/>
          <w:color w:val="000000"/>
          <w:sz w:val="20"/>
          <w:lang w:val="en-US" w:eastAsia="en-US" w:bidi="ar-SA"/>
        </w:rPr>
        <w:t>. There, the defendants argued that the plaintiff was not entitled to receive payment under a Redemption Agreement because of the existence of a "Collateral Agreement". Cronk J.A., on behalf of the Court, concluded that the Collateral Agreement could not survive the integration clause in the "Redemeption Agreement". She stated at [paragraph]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Collateral Agreement cannot survive the integration clause contained in s. 12 of the Redemption Agreement, which specifically provides that that agreement, the Note and the Guarantee "[supersede] any and all prior negotiations, understandings and agreements, written or oral". Both Tropic and Xela are signatories to the Redemption Agreement. Their own evidence indicates that the Collateral Agreement was made prior to the date of execution of the Redemption Agreement and the Guarantee. Thus, even if the evidence concerning the Collateral Agreement is accepted at trial, it is no answer to the express language of the integration clause subsequently agreed upon in the Redemption Agreement. Moreover, its reconfirmation after execution of the Redemption Agreement and the Guarantee, if proven, does not alter the fact that after entering into the Collateral Agreement the parties agreed to an overriding contractual integration clause. It is not alleged that a fresh bargain was made with Luis after the date of the Redemption Agreement. As McLachlin C.J.S.C. concluded in Power Consolidated, </w:t>
      </w:r>
      <w:hyperlink r:id="rId831" w:history="1">
        <w:r>
          <w:rPr>
            <w:rFonts w:ascii="arial" w:eastAsia="arial" w:hAnsi="arial" w:cs="arial"/>
            <w:i/>
            <w:color w:val="0077CC"/>
            <w:sz w:val="20"/>
            <w:u w:val="single"/>
            <w:shd w:val="clear" w:color="auto" w:fill="FFFFFF"/>
            <w:lang w:val="en-US" w:eastAsia="en-US" w:bidi="ar-SA"/>
          </w:rPr>
          <w:t>[1989] B.C.J. No. 114</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question is whether the intention of the parties in the case at bar was that the written contract ... would constitute the whole of the contract. That intention, as in all matters relating to contractual construction, must be determined objectively. Here the parties expressly agreed that the contract documents constituted the whole of their agreement. While in most cases such an agreement is only a presumption based on the parol evidence rule, in this case it has been made an express term of the contract. A presumption can be rebutted; an express term of the contract, barring mistake or fraud, cannot.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this case, Mr. Wilson submits that the scope of Clause 23, the entire agreement clause, is limited to the "employment and appointment" of MacMillan, and does not extend to the assignment of patents from MacMillan to KIDL, to incentives for work done outside his employment, or to the promise of shares on behalf of LFD or Concorde.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my opinion, the "employment" of MacMillan included all of the terms of the 1995 Employment Agreement that defined his employment. Those terms required the plaintiff to assign both the Early and New Patents to KIDL, prevented him from acquiring patentable rights to work done "outside his employment", and set out the terms of his remuneration. It is significant that MacMillan, after receiving the benefit of legal advice, signed the 1995 Employment Agreement which provided for a monthly salary of $5,540 as consideration for his continued employment and $35,000 as consideration for vesting all of the patents in KIDL.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Accordingly, I conclude that the express terms of the 1995 Employment Agreement constitute the entire agreement between the parties as to all of the terms of MacMillan's employment. Clause 23 precludes him from claiming that he was induced to continue his employment and assign the patents by the representations of Lee and Young that he would receive 10% of the shares of Concorde.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 conclude that MacMillan's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Kaiser defendants must fail. There is no basis upon which Ma and Lee can be personally liable. The plaintiff's claims that he was offered an equity position in LFD or Concorde are precluded by the terms of the three agreements that he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It follows that, as a result of the terms of the 1990 Shareholders Agreement, the 1990 Consulting Agreement and the 1995 Employment Agreement, MacMillan had no interest in the Early Patents and the New Patents that were owned by Concorde and later by KIDL and then validly assigned to Axia/Ames.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Accordingly, the plaintiff's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May 6,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It has been brought to my attention that Ms. Suzanne M. Forestell, counsel for the defendants, was omitted in the style of cause in the Reasons for Judgment issued April 30, 2003. This corrigendum reflects this correction.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9" style="position:absolute;z-index:251900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2"/>
          <w:headerReference w:type="default" r:id="rId833"/>
          <w:footerReference w:type="even" r:id="rId834"/>
          <w:footerReference w:type="default" r:id="rId835"/>
          <w:headerReference w:type="first" r:id="rId836"/>
          <w:footerReference w:type="first" r:id="rId8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8" w:history="1">
        <w:r>
          <w:rPr>
            <w:rFonts w:ascii="arial" w:eastAsia="arial" w:hAnsi="arial" w:cs="arial"/>
            <w:b/>
            <w:bCs/>
            <w:i/>
            <w:color w:val="0077CC"/>
            <w:kern w:val="32"/>
            <w:sz w:val="28"/>
            <w:szCs w:val="32"/>
            <w:u w:val="single"/>
            <w:shd w:val="clear" w:color="auto" w:fill="FFFFFF"/>
            <w:lang w:val="en-US" w:eastAsia="en-US" w:bidi="ar-SA"/>
          </w:rPr>
          <w:t>Owimar v. Warnett, [2018] B.C.J. No. 7007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Murray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14,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S180226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7007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2310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Bassam Owimar, Plaintiff, and Paul Warnett, Robert McGraw,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70"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2" w:name="Keywords_44"/>
      <w:bookmarkEnd w:id="292"/>
      <w:r>
        <w:rPr>
          <w:rFonts w:ascii="arial" w:eastAsia="arial" w:hAnsi="arial" w:cs="arial"/>
          <w:b/>
          <w:color w:val="000000"/>
          <w:sz w:val="20"/>
          <w:lang w:val="en-US" w:eastAsia="en-US" w:bidi="ar-SA"/>
        </w:rPr>
        <w:t xml:space="preserve">Civil litigation — Civil procedure — Pleadings — Striking out pleadings or allegations — Grounds — Failure to disclose a cause of action or defence — Application by defendants for dismissal of plaintiff's claim allowed — Defendant Warnett was counsel who defended plaintiff's personal injury action until 2007 — Defendant McGraw provided medical legal reports for defendants — Plaintiff ultimately settled his action in 2013 — He commenced within action in 2018 — Allegations of fraud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advanced by plaintiff were nothing more than wild speculation and did not make out cause of action — Pleadings could not be saved by amendment — Limitation periods had long expired — Doctrine of witness immunity applied to McGraw.</w:t>
      </w:r>
    </w:p>
    <w:p>
      <w:pPr>
        <w:jc w:val="both"/>
        <w:rPr>
          <w:rFonts w:ascii="arial" w:eastAsia="arial" w:hAnsi="arial" w:cs="arial"/>
          <w:sz w:val="20"/>
          <w:lang w:val="en-US" w:eastAsia="en-US" w:bidi="ar-SA"/>
        </w:rPr>
      </w:pPr>
      <w:bookmarkStart w:id="293" w:name="Legislation Cited_36"/>
      <w:bookmarkEnd w:id="2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71"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 Act, </w:t>
      </w:r>
      <w:hyperlink r:id="rId41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9-5</w:t>
      </w:r>
      <w:r>
        <w:rPr>
          <w:rFonts w:ascii="arial" w:eastAsia="arial" w:hAnsi="arial" w:cs="arial"/>
          <w:color w:val="000000"/>
          <w:sz w:val="20"/>
          <w:lang w:val="en-US" w:eastAsia="en-US" w:bidi="ar-SA"/>
        </w:rPr>
        <w:t>, Rule 9-5(1), Rule 9-5(1)(a), Rule 9-5(1)(b), Rule 9-5(1)(d), Rule 9-6, Rule 9-6(5)(a)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4" w:name="Counsel_44"/>
      <w:bookmarkEnd w:id="2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72"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No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Paul Warnett: L. Bumstead.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Robert McGraw: D. Pilley.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5" w:name="Judgment_44"/>
      <w:bookmarkEnd w:id="295"/>
      <w:r>
        <w:pict>
          <v:line id="_x0000_s1273"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6" w:name="C. MURRAY J."/>
            <w:bookmarkEnd w:id="296"/>
            <w:r>
              <w:rPr>
                <w:rFonts w:ascii="arial" w:eastAsia="arial" w:hAnsi="arial" w:cs="arial"/>
                <w:b/>
                <w:color w:val="000000"/>
                <w:sz w:val="30"/>
                <w:lang w:val="en-US" w:eastAsia="en-US" w:bidi="ar-SA"/>
              </w:rPr>
              <w:t>C. MURRAY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seek to have the claims filed against them by the plaintiff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claims against the defendants arise from their involvement in civil suits brought by the plaintiff for injuries he claims to have suffered in several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involved in eight motor vehicle accidents ("MVA") between November 1996 and mid-March 2016. He initiated civil claims in relation to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claim regarding his first MVA settled out of court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about 2002 the defendant Mr. Warnett, a lawyer, was retained by the Insurance Company of British Columbia ("ICBC") to defend actions of the plaintiff. The first three MVAs were dealt with in one action ("the action") which went to trial in 2005. Mr. Warnett was counsel for all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McGraw was retained by the defendants in the action. He provided a number of medical legal reports and testified at the 2005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conclusion of the 2005 trial the trial judge dismissed the plaintiff's action. The plaintiff successfully appealed the verdict and the Court of Appeal ordered a new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February 2007 Mr. Warnett ceased to act for the defendants in the actions concerning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the filing of the first claim and during the course of the litigation regarding the action, the plaintiff continued to file civil claims relating to his further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outstanding actions relating to the remaining MVAs were settled out of court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central issue in the last seven civil actions was whether the plaintiff's lumbar spondylolisthesis was a developmental condition or was caused by the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total Dr. McGraw examined the plaintiff three times, provided five medical reports from 2003 to 2013 and testified in court. It was his opinion after examining the plaintiff and reviewing his November 1996 x-ray which predated the MVAs that the condition was a developmental condition and was unrelated to any of the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brought the current action against the defendants in January 2018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Against both Mr. Warnett and Dr. McGraw the plaintiff alleges various kinds of fraud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their respective capacities as defence counsel and expert witness and claims that they substituted his lumbar spine x-ray taken in November 1996 with an x-ray that would disprove his claims of being injured in the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Warnett seeks to have the plaintiff's claim dismissed, without leave to amend, pursuant to Rule 9-5(1) arguing that it violates all of the subsections therein and under Rule 9-6 as it is limitation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McGraw seeks to have the claim dismissed pursuant to Rule 9-5(1)(a) arguing that it advances no reasonable claim and pursuant to Rule 9-6 contending that there is no genuine issue for trial. In making this argument Dr. McGraw relies on the doctrine of witness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application before me was scheduled in consultation with the plaintiff. Although scheduled on a date of his choice, the plaintiff failed to appear for this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Whether the claim should be struck/dismissed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Rule 9-5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governs applications to strike. It reads as follows:</w:t>
      </w:r>
      <w:r>
        <w:rPr>
          <w:rFonts w:ascii="arial" w:eastAsia="arial" w:hAnsi="arial" w:cs="arial"/>
          <w:sz w:val="20"/>
          <w:lang w:val="en-US" w:eastAsia="en-US" w:bidi="ar-SA"/>
        </w:rPr>
        <w:cr/>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Although the subsections address different concerns, there is overlap between them. For example a pleading may disclose no cause of action contrary to Rule 9-5(1)(a) and also be unnecessary and vexatious contrary to Rule 9-5(1)(b): </w:t>
      </w:r>
      <w:r>
        <w:rPr>
          <w:rFonts w:ascii="arial" w:eastAsia="arial" w:hAnsi="arial" w:cs="arial"/>
          <w:i/>
          <w:color w:val="000000"/>
          <w:sz w:val="20"/>
          <w:lang w:val="en-US" w:eastAsia="en-US" w:bidi="ar-SA"/>
        </w:rPr>
        <w:t>Sahyoun v. Ho</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2015 BCSC 392</w:t>
        </w:r>
      </w:hyperlink>
      <w:r>
        <w:rPr>
          <w:rFonts w:ascii="arial" w:eastAsia="arial" w:hAnsi="arial" w:cs="arial"/>
          <w:color w:val="000000"/>
          <w:sz w:val="20"/>
          <w:lang w:val="en-US" w:eastAsia="en-US" w:bidi="ar-SA"/>
        </w:rPr>
        <w:t xml:space="preserve"> at para. 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test for striking a claim under Rule 9-5(1)(a) is whether it is plain and obvious, assuming the facts plead are true, that the claim discloses no reasonable cause of action and has no reasonable prospect of success: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rule that material facts in a notice of civil claim must be assumed to be true does not mean that allegations based on assumptions and speculation must be taken as true. Rather, such allegations must be subjected to a skeptical analysis in order to determine their true character: </w:t>
      </w:r>
      <w:r>
        <w:rPr>
          <w:rFonts w:ascii="arial" w:eastAsia="arial" w:hAnsi="arial" w:cs="arial"/>
          <w:i/>
          <w:color w:val="000000"/>
          <w:sz w:val="20"/>
          <w:lang w:val="en-US" w:eastAsia="en-US" w:bidi="ar-SA"/>
        </w:rPr>
        <w:t>Young v. Borzoni et al</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at paras. 25-32.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test for striking a pleading under Rule 9-5(1)(b) was summarised by Fisher, J. as she then was in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Rule 9-5(1)(b), a pleading is unnecessary or vexatious if it does not go to establishing the plaintiff's cause of action, if it does not advance any claim known in law, where it is obvious that an action cannot succeed, or where it would serve no useful purpose and would be a waste of the court's time and public resources: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Skender v Farley</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2007 BCCA 629</w:t>
        </w:r>
      </w:hyperlink>
      <w:r>
        <w:rPr>
          <w:rFonts w:ascii="arial" w:eastAsia="arial" w:hAnsi="arial" w:cs="arial"/>
          <w:color w:val="000000"/>
          <w:sz w:val="20"/>
          <w:lang w:val="en-US" w:eastAsia="en-US" w:bidi="ar-SA"/>
        </w:rPr>
        <w:t>. If a pleading is so confusing that it is difficult to understand what is pleaded, it may also be unnecessary, frivolous or vexatious. An application under this sub-rule may be supported by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Vexatious actions also include those brought for an improper purpose including the harassment and oppression of other parties by multifarious proceedings brought for purposes other than the assertion of legitimate rights: </w:t>
      </w:r>
      <w:r>
        <w:rPr>
          <w:rFonts w:ascii="arial" w:eastAsia="arial" w:hAnsi="arial" w:cs="arial"/>
          <w:i/>
          <w:color w:val="000000"/>
          <w:sz w:val="20"/>
          <w:lang w:val="en-US" w:eastAsia="en-US" w:bidi="ar-SA"/>
        </w:rPr>
        <w:t>Re Lang Michener et al. v. Fabian et al.</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[1987] O.J. No. 355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Abuse of process under Rule 9-5(1)(d) is a flexible doctrine that allows the court to prevent a claim from proceeding where to do so would violate principles of judicial economy, finality and the integrity of the administration of justice: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paras. 35-37.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Rule 9-6 which governs summary trials reads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answering party may respond to an application for judgment under subrule (2) as follows: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answering party may allege that the claiming party's originating pleading does not raise a cause of action against the answering party;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answering party wishes to make any other response to the application, the answering party may not rest on the mere allegations or denials in his or her pleadings but must set out, in affidavit material or other evidence, specific facts showing that there is a genuine issue for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test under Rule 9-6 is whether it is manifestly clear on the relevant facts and law that there is no genuine matter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Rule 9-6(5)(a) is mandatory, accordingly if there is no genuine issue to be tried this Court must dismiss the claim: </w:t>
      </w:r>
      <w:r>
        <w:rPr>
          <w:rFonts w:ascii="arial" w:eastAsia="arial" w:hAnsi="arial" w:cs="arial"/>
          <w:i/>
          <w:color w:val="000000"/>
          <w:sz w:val="20"/>
          <w:lang w:val="en-US" w:eastAsia="en-US" w:bidi="ar-SA"/>
        </w:rPr>
        <w:t>Litynsky v. Litynsky</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2012 BCSC 1160</w:t>
        </w:r>
      </w:hyperlink>
      <w:r>
        <w:rPr>
          <w:rFonts w:ascii="arial" w:eastAsia="arial" w:hAnsi="arial" w:cs="arial"/>
          <w:color w:val="000000"/>
          <w:sz w:val="20"/>
          <w:lang w:val="en-US" w:eastAsia="en-US" w:bidi="ar-SA"/>
        </w:rPr>
        <w:t xml:space="preserve"> at paras. 43-46. The burden of showing that there is no genuine issue of material fact is on the party seeking summary dismissal: </w:t>
      </w:r>
      <w:r>
        <w:rPr>
          <w:rFonts w:ascii="arial" w:eastAsia="arial" w:hAnsi="arial" w:cs="arial"/>
          <w:i/>
          <w:color w:val="000000"/>
          <w:sz w:val="20"/>
          <w:lang w:val="en-US" w:eastAsia="en-US" w:bidi="ar-SA"/>
        </w:rPr>
        <w:t>4 Corners Properties v. Buffo Developments (Smithe) Ltd.</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2013 BCSC 1926</w:t>
        </w:r>
      </w:hyperlink>
      <w:r>
        <w:rPr>
          <w:rFonts w:ascii="arial" w:eastAsia="arial" w:hAnsi="arial" w:cs="arial"/>
          <w:color w:val="000000"/>
          <w:sz w:val="20"/>
          <w:lang w:val="en-US" w:eastAsia="en-US" w:bidi="ar-SA"/>
        </w:rPr>
        <w:t xml:space="preserve"> at paras. 20-24.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Summary judgment may be granted on limitation defences under Rule 9-6. Where a claim is statute barred, there is no genuine issue to be tried: </w:t>
      </w:r>
      <w:r>
        <w:rPr>
          <w:rFonts w:ascii="arial" w:eastAsia="arial" w:hAnsi="arial" w:cs="arial"/>
          <w:i/>
          <w:color w:val="000000"/>
          <w:sz w:val="20"/>
          <w:lang w:val="en-US" w:eastAsia="en-US" w:bidi="ar-SA"/>
        </w:rPr>
        <w:t>Brown v. Canada (Attorney General)</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2014 BCSC 357</w:t>
        </w:r>
      </w:hyperlink>
      <w:r>
        <w:rPr>
          <w:rFonts w:ascii="arial" w:eastAsia="arial" w:hAnsi="arial" w:cs="arial"/>
          <w:color w:val="000000"/>
          <w:sz w:val="20"/>
          <w:lang w:val="en-US" w:eastAsia="en-US" w:bidi="ar-SA"/>
        </w:rPr>
        <w:t xml:space="preserve"> at para. 16, affirmed </w:t>
      </w:r>
      <w:hyperlink r:id="rId847" w:history="1">
        <w:r>
          <w:rPr>
            <w:rFonts w:ascii="arial" w:eastAsia="arial" w:hAnsi="arial" w:cs="arial"/>
            <w:i/>
            <w:color w:val="0077CC"/>
            <w:sz w:val="20"/>
            <w:u w:val="single"/>
            <w:shd w:val="clear" w:color="auto" w:fill="FFFFFF"/>
            <w:lang w:val="en-US" w:eastAsia="en-US" w:bidi="ar-SA"/>
          </w:rPr>
          <w:t>2015 BCCA 102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Under Rule 9-5(1)(a), the allegations advanced by the plaintiff are nothing more than wild speculation. Even if all of the facts advanced by the plaintiff are taken to be true, there are no material facts that make out a cause of action against either defendant. As such, I am satisfied that the plaintiff has no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further satisfied that the pleadings are so fundamentally flawed that they can not be saved by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Having made that finding it is not necessary to consider the other grounds for dismissal in Rule 9-5. I will state however that with regard to claims made against Mr. Warnett that in my view the claim violates all of the subsections in Rule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addition I find that the action against Mr. Warnett is statute barred by operation of either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and/or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repealed. Limitation periods under both of those acts have long expired. As stated above, where an action is statute barred, there is no triable issue and the claim should be dismissed summarily under Rule 9-6(5)(a).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With regard to Dr. McGraw I am satisfied that the doctrine of witness immunity applies. Under that doctrine witnesses are immune from civil liability. In addition as for expert witnesses the doctrine applies to anything they say in court as well as pre-trial activities including assessments and reports: </w:t>
      </w:r>
      <w:r>
        <w:rPr>
          <w:rFonts w:ascii="arial" w:eastAsia="arial" w:hAnsi="arial" w:cs="arial"/>
          <w:i/>
          <w:color w:val="000000"/>
          <w:sz w:val="20"/>
          <w:lang w:val="en-US" w:eastAsia="en-US" w:bidi="ar-SA"/>
        </w:rPr>
        <w:t>P.(J.) v. Eirikson</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2015 BCSC 847</w:t>
        </w:r>
      </w:hyperlink>
      <w:r>
        <w:rPr>
          <w:rFonts w:ascii="arial" w:eastAsia="arial" w:hAnsi="arial" w:cs="arial"/>
          <w:color w:val="000000"/>
          <w:sz w:val="20"/>
          <w:lang w:val="en-US" w:eastAsia="en-US" w:bidi="ar-SA"/>
        </w:rPr>
        <w:t xml:space="preserve"> at paras. 21 and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Our Court of Appeal recently confirmed that a professional witness who gives evidence in court is protected from civil action in </w:t>
      </w:r>
      <w:r>
        <w:rPr>
          <w:rFonts w:ascii="arial" w:eastAsia="arial" w:hAnsi="arial" w:cs="arial"/>
          <w:i/>
          <w:color w:val="000000"/>
          <w:sz w:val="20"/>
          <w:lang w:val="en-US" w:eastAsia="en-US" w:bidi="ar-SA"/>
        </w:rPr>
        <w:t>311165 BC Ltd v. Canada (A.G.)</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2017 BCCA 196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It must be kept in mind that the immunities from suit that prevent claims based on evidence given in court and on bringing litigation are broad in order to protect the justice system. Witnesses should not be dissuaded from giving evidence or fettered in what they tell a court by the fear that an aggrieved person will sue them. Prosecutorial decisions must be allowed to be made in an atmosphere that is free from the chilling effects of potential civil liability. Access to the courts must not be impeded by leaving litigants in fear of being open to lawsuits brought in retaliation.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a result of the witness immunity defence I am satisfied that the plaintiff's allegations against Dr. McGraw will fail. Accordingly there is no genuine issue to be tried and the claim must be dismissed under Rule 9-6(5)(a).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conclusion, having considered all of the evidence and all of the submissions I am satisfied that the action against the defendants must be dismissed as it offends Rule 9-5(1). In the alternative I am satisfied for the reasons above that the action against the defendants must be dismissed under Rule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Regarding costs, the defendants, in an effort to bring closure and finality to these proceedings, seek fixed costs of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claims against both defendants as set out in the notice of civil claim file no. 180226 Vancouver Registry is struck without leave to amend, and the plaintiff's claims against both defendants are dismissed pursuant to Rule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alternative all claims are dismissed pursuant to Rule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Costs to each defendant in the amount of $1,000 is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MURRAY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74" style="position:absolute;z-index:2519019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0"/>
          <w:headerReference w:type="default" r:id="rId851"/>
          <w:footerReference w:type="even" r:id="rId852"/>
          <w:footerReference w:type="default" r:id="rId853"/>
          <w:headerReference w:type="first" r:id="rId854"/>
          <w:footerReference w:type="first" r:id="rId8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6" w:history="1">
        <w:r>
          <w:rPr>
            <w:rFonts w:ascii="arial" w:eastAsia="arial" w:hAnsi="arial" w:cs="arial"/>
            <w:b/>
            <w:bCs/>
            <w:i/>
            <w:color w:val="0077CC"/>
            <w:kern w:val="32"/>
            <w:sz w:val="28"/>
            <w:szCs w:val="32"/>
            <w:u w:val="single"/>
            <w:shd w:val="clear" w:color="auto" w:fill="FFFFFF"/>
            <w:lang w:val="en-US" w:eastAsia="en-US" w:bidi="ar-SA"/>
          </w:rPr>
          <w:t>Parsons v. Finch, [2007] B.C.J. No. 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Registrar Scarth</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 and September 22,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September 28, and November 2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C985852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154 A.C.W.S. (3d) 1032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Lynda Parsons and Don Parsons, Plaintiffs, and Trevor Finch and City of Richmond, Defendants, and Trevor Finch and Digs Consultants Corporation,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75"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7" w:name="Keywords_45"/>
      <w:bookmarkEnd w:id="297"/>
      <w:r>
        <w:rPr>
          <w:rFonts w:ascii="arial" w:eastAsia="arial" w:hAnsi="arial" w:cs="arial"/>
          <w:b/>
          <w:color w:val="000000"/>
          <w:sz w:val="20"/>
          <w:lang w:val="en-US" w:eastAsia="en-US" w:bidi="ar-SA"/>
        </w:rPr>
        <w:t xml:space="preserve">Civil procedure — Costs — Assessment or fixing of costs — Tariffs — Whether amount fair or reasonable — Assessment of the costs of the defendant municipality — The plaintiff sued the municipality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related to the suitability of their property for construction — The defendant won a summary trial application, which was overturned on appeal — The action was dismissed following an eight day trial — The plaintiff objected to the bill of costs, alleging that it included work done for the summary trial — The court found that it was fair for certain costs to overlap between the two proceedings — Certain deductions were warranted regarding time billed and disbursements for reports.</w:t>
      </w:r>
    </w:p>
    <w:p>
      <w:pPr>
        <w:jc w:val="both"/>
        <w:rPr>
          <w:rFonts w:ascii="arial" w:eastAsia="arial" w:hAnsi="arial" w:cs="arial"/>
          <w:sz w:val="20"/>
          <w:lang w:val="en-US" w:eastAsia="en-US" w:bidi="ar-SA"/>
        </w:rPr>
      </w:pPr>
      <w:bookmarkStart w:id="298" w:name="Legislation Cited_37"/>
      <w:bookmarkEnd w:id="2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76"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Rule 57(2), Rule 57(4)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9" w:name="Counsel_45"/>
      <w:bookmarkEnd w:id="29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77"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Plaintiffs: Lynda Parsons, appearing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City of Richmond: K. Zimmer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0" w:name="Judgment_45"/>
      <w:bookmarkEnd w:id="300"/>
      <w:r>
        <w:pict>
          <v:line id="_x0000_s1278" style="position:absolute;z-index:2518589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1" w:name="REGISTRAR SCARTH"/>
            <w:bookmarkEnd w:id="301"/>
            <w:r>
              <w:rPr>
                <w:rFonts w:ascii="arial" w:eastAsia="arial" w:hAnsi="arial" w:cs="arial"/>
                <w:b/>
                <w:color w:val="000000"/>
                <w:sz w:val="30"/>
                <w:lang w:val="en-US" w:eastAsia="en-US" w:bidi="ar-SA"/>
              </w:rPr>
              <w:t>REGISTRAR SCARTH</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assessment of the costs of the City of Richmond pursuant to the orders of Ralph J. of December 12, 2005 and June 15, 2006. The City is entitled to "its costs of this action assessed at Scale 3, except for the costs relating to the City's motion brought pursuant to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background to this matter is set out in the reasons for judgment of Ralph J., </w:t>
      </w:r>
      <w:hyperlink r:id="rId857" w:history="1">
        <w:r>
          <w:rPr>
            <w:rFonts w:ascii="arial" w:eastAsia="arial" w:hAnsi="arial" w:cs="arial"/>
            <w:i/>
            <w:color w:val="0077CC"/>
            <w:sz w:val="20"/>
            <w:u w:val="single"/>
            <w:shd w:val="clear" w:color="auto" w:fill="FFFFFF"/>
            <w:lang w:val="en-US" w:eastAsia="en-US" w:bidi="ar-SA"/>
          </w:rPr>
          <w:t>(2005), 20 M.P.L.R. (4th) 190</w:t>
        </w:r>
      </w:hyperlink>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2005 BCSC 1733</w:t>
        </w:r>
      </w:hyperlink>
      <w:r>
        <w:rPr>
          <w:rFonts w:ascii="arial" w:eastAsia="arial" w:hAnsi="arial" w:cs="arial"/>
          <w:color w:val="000000"/>
          <w:sz w:val="20"/>
          <w:lang w:val="en-US" w:eastAsia="en-US" w:bidi="ar-SA"/>
        </w:rPr>
        <w:t xml:space="preserve">, aff'd, </w:t>
      </w:r>
      <w:hyperlink r:id="rId858" w:history="1">
        <w:r>
          <w:rPr>
            <w:rFonts w:ascii="arial" w:eastAsia="arial" w:hAnsi="arial" w:cs="arial"/>
            <w:i/>
            <w:color w:val="0077CC"/>
            <w:sz w:val="20"/>
            <w:u w:val="single"/>
            <w:shd w:val="clear" w:color="auto" w:fill="FFFFFF"/>
            <w:lang w:val="en-US" w:eastAsia="en-US" w:bidi="ar-SA"/>
          </w:rPr>
          <w:t>[2006] B.C.J. No. 3063</w:t>
        </w:r>
      </w:hyperlink>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2006 BCCA 513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In March 1993 Mr. and Mrs. Parsons purchased a lot at 2491 No. 8 Road in Richmond. After obtaining building permits and over the next couple of months they proceeded to build a home and workshop on the property. They moved into their new home in May 1994. Much of the construction work was done by Mr. Parsons who is a qualified and experienced carpenter.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In the course of seeking to do some upgrades to the finishing of their home in 1998, Mr. and Mrs. Parsons discovered that their home was settling unevenly on the property. A survey carried out in June 1998 indicated that there was a difference in elevation of .17 metres between the northeast and southeast corners of the home. The subsoil of the property contains substantial volumes of peat and its inadequate preparation prior to construction has been identified as the cause of the settling. Without repair, the settling of the home will continue and the home may become inhabitable. Because repair of the condition requires substantial alteration to the subsoil and the placing of pilings under the home, estimates of the cost of repairing the home are in the range of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commenced this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City of Richmond claiming, amongst other things, that the City was negligent in failing to carry out proper inspections of the property, in relying on the certification of an independent engineer, Trevor Finch, and in not ensuring compliance with the building code and related statutes and by-laws. Mr. Finch was also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City brought a Rule 18A application which was heard on November 2 and 27, 2000 and June 26, 2001. Henderson J. dismissed the plaintiffs' claim and awarded costs to the City on scale 3: </w:t>
      </w:r>
      <w:hyperlink r:id="rId859" w:history="1">
        <w:r>
          <w:rPr>
            <w:rFonts w:ascii="arial" w:eastAsia="arial" w:hAnsi="arial" w:cs="arial"/>
            <w:i/>
            <w:color w:val="0077CC"/>
            <w:sz w:val="20"/>
            <w:u w:val="single"/>
            <w:shd w:val="clear" w:color="auto" w:fill="FFFFFF"/>
            <w:lang w:val="en-US" w:eastAsia="en-US" w:bidi="ar-SA"/>
          </w:rPr>
          <w:t>(2001), 26 M.P.L.R. (3d) 224</w:t>
        </w:r>
      </w:hyperlink>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2001 BCSC 1819</w:t>
        </w:r>
      </w:hyperlink>
      <w:r>
        <w:rPr>
          <w:rFonts w:ascii="arial" w:eastAsia="arial" w:hAnsi="arial" w:cs="arial"/>
          <w:color w:val="000000"/>
          <w:sz w:val="20"/>
          <w:lang w:val="en-US" w:eastAsia="en-US" w:bidi="ar-SA"/>
        </w:rPr>
        <w:t>. The City proceeded to have its costs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plaintiffs successfully appealed the order of Henderson J.: see </w:t>
      </w:r>
      <w:hyperlink r:id="rId860" w:history="1">
        <w:r>
          <w:rPr>
            <w:rFonts w:ascii="arial" w:eastAsia="arial" w:hAnsi="arial" w:cs="arial"/>
            <w:i/>
            <w:color w:val="0077CC"/>
            <w:sz w:val="20"/>
            <w:u w:val="single"/>
            <w:shd w:val="clear" w:color="auto" w:fill="FFFFFF"/>
            <w:lang w:val="en-US" w:eastAsia="en-US" w:bidi="ar-SA"/>
          </w:rPr>
          <w:t>(2003), 16 B.C.L.R. (4th) 86</w:t>
        </w:r>
      </w:hyperlink>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2003 BCCA 409</w:t>
        </w:r>
      </w:hyperlink>
      <w:r>
        <w:rPr>
          <w:rFonts w:ascii="arial" w:eastAsia="arial" w:hAnsi="arial" w:cs="arial"/>
          <w:color w:val="000000"/>
          <w:sz w:val="20"/>
          <w:lang w:val="en-US" w:eastAsia="en-US" w:bidi="ar-SA"/>
        </w:rPr>
        <w:t>. The Court of Appeal ordered a full trial on the issues and granted the appellants their costs of the appeal. The Court of Appeal subsequently issued a memorandum advising that the parties were to bear their own costs of the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trial took place on June 27 to 30 and July 4 to 7, 2005 before Ralph J. The trial was as to liability only, the parties having agreed on damages. The defendant Finch died prior to the trial and the trial did not proceed against him or his estate. On December 12, 2005, Ralph J. issued reasons for judgment dismissing the plaintiffs' claim and awarding costs to the City on scale 3: </w:t>
      </w:r>
      <w:hyperlink r:id="rId857" w:history="1">
        <w:r>
          <w:rPr>
            <w:rFonts w:ascii="arial" w:eastAsia="arial" w:hAnsi="arial" w:cs="arial"/>
            <w:i/>
            <w:color w:val="0077CC"/>
            <w:sz w:val="20"/>
            <w:u w:val="single"/>
            <w:shd w:val="clear" w:color="auto" w:fill="FFFFFF"/>
            <w:lang w:val="en-US" w:eastAsia="en-US" w:bidi="ar-SA"/>
          </w:rPr>
          <w:t>2005 BCSC 1733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Following a hearing on June 15, 2006, Ralph J. gave a ruling on costs which amended the order of December 12, 2005 to entitle the City to its costs assessed on Scale 3 "except for the costs relating to the defendant's motion brought pursuant to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City of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City presents a bill of costs claiming 248 units and disbursements of $20,971.87, for a total bill of $46,051.31. It is the City's position that these costs are proper or reasonably necessary to conduct the proceedings, including the eight-day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City relied on the evidence of Ann Halkett, both affidavit and oral. Ms. Halkett is a paralegal with the law firm, Alexander Holburn Beaudin &amp; Lang, counsel for the City. Ms. Halkett gave evidence as to the method used to determine which disbursements were properly claimed on this bill of costs. It is the City's position with respect to the bill of costs generally that, while certain of the items and disbursements on the bill under review were also claimed on the bill of costs following the Rule 18A application, they relate equally to the trial of the proceeding and are properly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object to the bill because it includes costs for work done prior to the summary trial application. Ralph J. considered this submission on the City's application to amend the trial order which was heard on June 15, 2006, during a hiatus in this review. He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Mrs. Parsons has, however, described the summary trial under Rule 18A as the "first trial." In doing so, she has referred to the 1996 decision of Madam Justice Kirkpatrick in </w:t>
      </w:r>
      <w:r>
        <w:rPr>
          <w:rFonts w:ascii="arial" w:eastAsia="arial" w:hAnsi="arial" w:cs="arial"/>
          <w:b/>
          <w:i/>
          <w:color w:val="000000"/>
          <w:sz w:val="20"/>
          <w:lang w:val="en-US" w:eastAsia="en-US" w:bidi="ar-SA"/>
        </w:rPr>
        <w:t>McPhillips v. The BC Ferry Corporation</w:t>
      </w:r>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[1996] B.C.J. No. 939</w:t>
        </w:r>
      </w:hyperlink>
      <w:r>
        <w:rPr>
          <w:rFonts w:ascii="arial" w:eastAsia="arial" w:hAnsi="arial" w:cs="arial"/>
          <w:color w:val="000000"/>
          <w:sz w:val="20"/>
          <w:lang w:val="en-US" w:eastAsia="en-US" w:bidi="ar-SA"/>
        </w:rPr>
        <w:t>, in which the preparation costs in the first trial were not permitted to be claimed in the costs of the second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Mrs. Parsons says that a similar situation exists here and that the defendant is not entitled to its costs for work done prior to the summary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In the </w:t>
      </w:r>
      <w:r>
        <w:rPr>
          <w:rFonts w:ascii="arial" w:eastAsia="arial" w:hAnsi="arial" w:cs="arial"/>
          <w:b/>
          <w:i/>
          <w:color w:val="000000"/>
          <w:sz w:val="20"/>
          <w:lang w:val="en-US" w:eastAsia="en-US" w:bidi="ar-SA"/>
        </w:rPr>
        <w:t>McPhillips</w:t>
      </w:r>
      <w:r>
        <w:rPr>
          <w:rFonts w:ascii="arial" w:eastAsia="arial" w:hAnsi="arial" w:cs="arial"/>
          <w:color w:val="000000"/>
          <w:sz w:val="20"/>
          <w:lang w:val="en-US" w:eastAsia="en-US" w:bidi="ar-SA"/>
        </w:rPr>
        <w:t xml:space="preserve"> decision, however, there were two distinct trials, sometimes referred to as "full" trials. In the present case, although the Rule 18A proceeding is called a "summary trial", it is not a separate trial of the type considered in the </w:t>
      </w:r>
      <w:r>
        <w:rPr>
          <w:rFonts w:ascii="arial" w:eastAsia="arial" w:hAnsi="arial" w:cs="arial"/>
          <w:b/>
          <w:i/>
          <w:color w:val="000000"/>
          <w:sz w:val="20"/>
          <w:lang w:val="en-US" w:eastAsia="en-US" w:bidi="ar-SA"/>
        </w:rPr>
        <w:t>McPhillips</w:t>
      </w:r>
      <w:r>
        <w:rPr>
          <w:rFonts w:ascii="arial" w:eastAsia="arial" w:hAnsi="arial" w:cs="arial"/>
          <w:color w:val="000000"/>
          <w:sz w:val="20"/>
          <w:lang w:val="en-US" w:eastAsia="en-US" w:bidi="ar-SA"/>
        </w:rPr>
        <w:t xml:space="preserve">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This difference in my opinion is made clear in the judgment of Madam Justice Rowles at paragraph 49, where she ordered a "full trial", having set aside the decision in the summary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court of appeal has ruled that the parties must bear their own costs of the summary trial. This does not, however, preclude the recovery of some costs incurred in the action prior to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also took issue with a number of the disbursements on the basis that they were unreasonable, and, with respect to the expert reports, duplicative.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an assessment of a bill of costs, the registrar is required to allow those fees under Appendix B to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that were proper or reasonably necessary to conduct the proceeding. Where there is a range of units provided for a tariff item, the registrar may allow any number of units within the range. Appendix B provides that one unit is for matters upon which little time should ordinarily have been spent, while the maximum number of units is for matters upon which a great deal of time should ordinarily have been spent. For each such tariff item, it is for the registrar to determine the appropriate number of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addition to the fees, the registrar must allow reasonable amounts for expenses and disbursements that have been necessarily or properly incurred in the conduct of the proceeding: see Rule 57(2) and (4)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As </w:t>
      </w:r>
      <w:r>
        <w:rPr>
          <w:rFonts w:ascii="arial" w:eastAsia="arial" w:hAnsi="arial" w:cs="arial"/>
          <w:i/>
          <w:color w:val="000000"/>
          <w:sz w:val="20"/>
          <w:lang w:val="en-US" w:eastAsia="en-US" w:bidi="ar-SA"/>
        </w:rPr>
        <w:t>Practice Before the Registrar</w:t>
      </w:r>
      <w:r>
        <w:rPr>
          <w:rFonts w:ascii="arial" w:eastAsia="arial" w:hAnsi="arial" w:cs="arial"/>
          <w:color w:val="000000"/>
          <w:sz w:val="20"/>
          <w:lang w:val="en-US" w:eastAsia="en-US" w:bidi="ar-SA"/>
        </w:rPr>
        <w:t xml:space="preserve"> (Continuing Legal Education Society of British Columbia, 2005 update, 2.24) sets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a disbursement is necessarily or properly incurred must be judged by the circumstances existing at the time the liability for the disbursement was incurred (</w:t>
      </w:r>
      <w:r>
        <w:rPr>
          <w:rFonts w:ascii="arial" w:eastAsia="arial" w:hAnsi="arial" w:cs="arial"/>
          <w:i/>
          <w:color w:val="000000"/>
          <w:sz w:val="20"/>
          <w:lang w:val="en-US" w:eastAsia="en-US" w:bidi="ar-SA"/>
        </w:rPr>
        <w:t>Van Daele v. Van Daele</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(1983), 56 B.C.L.R. 178</w:t>
        </w:r>
      </w:hyperlink>
      <w:r>
        <w:rPr>
          <w:rFonts w:ascii="arial" w:eastAsia="arial" w:hAnsi="arial" w:cs="arial"/>
          <w:color w:val="000000"/>
          <w:sz w:val="20"/>
          <w:lang w:val="en-US" w:eastAsia="en-US" w:bidi="ar-SA"/>
        </w:rPr>
        <w:t xml:space="preserve"> (C.A.)). For example, a disbursement incurred to obtain an expert's report may be allowed if it was reasonable to obtain the report when it was commissioned, even if, for whatever reason, the evidence was not used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circumstances here, it is fair to assume that there will be some overlap between the bill under review and the bill which was assessed following the judgment on the Rule 18A application. That is, a number of tariff items and a number of disbursements are as necessary or proper for the conduct of the full trial of the action as they were for the Rule 18A application. This is implicit in the ruling of Ralph J. of June 15, 2006. The position put forward by the plaintiffs, that nothing done before the Rule 18A application and/or claimed on the bill of costs following the Rule 18A is properly claimed here, is simply untenable.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Turning to the bill itself, I will address the tariff items first, followed by the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Tariff Items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ITEM 1</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Correspondence, conferences, instructions, investigations or negotiations by a party relating to a proceeding whether before or after commencement for which provision is not made elsewhere in this tariff.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City is claiming 14 of the maximum 20 units, relying on the volume of correspondence and documents leading up to the trial. This was a matter of some complexity given the engineering issues involved. However, it is not clear to me that the volume of documents referred to by the City in support of the units claimed under Item 1 relates to matters not covered by other tariff items. In my view, 10 units are appropriate under Item 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ITEM 4</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All process for which provision is not made elsewhere in this tariff for defending a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City is claiming 7 out of 10 units. The statement of defence was amended twice, firstly to include a limitation defence and again to respond to amendments to the statement of claim. In addition, the City sought particulars of the amended statement of claim. In my view, the units as claimed are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ITEM 5</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All process for which provision is not made elsewhere in this tariff for commencing a third party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City issued third party proceedings against the defendant Finch and Digs Consultants Corporation (Mr. Finch's company) on June 30, 1999. The City claims 5 of a maximum 10 units. The plaintiffs submit that these units should not be allowed because they were claimed in the Rule 18A bill and because the trial did not proceed as against Mr. Finch or Digs Consultant Corporation. The propriety or necessity of commencing third party proceedings is to be assessed at the time they were commenced. As a result, the fact that they were not taken through to trial does not preclude recovery of such costs by the City. I am satisfied that it was proper for the City to commence the third party proceedings and that the number of units claimed is also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ITEMS 7 and 8</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Process for obtaining and giving discovery and inspection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City claims 8 of a maximum 10 units for both Items 7 and 8. There were two lists delivered by the plaintiffs with a total of 44 documents and five lists from the City with 68 documents in 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 respect to these items, it is the plaintiffs' submission that they are not properly claimed because there were no discoveries after the Rule 18A application was heard, and all of the amounts claimed were previously claimed on the bill of costs assessed following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am satisfied that the items are properly claimed, but that the number of units claimed is excessive given the volume of documents involved. I allow 3 units for Item 7 and 5 units for Item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ITEMS 11 and 12</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Process relating to admissions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City claims 2 and 4 units, respectively, under these items. Both parties delivered and responded to Notices to Admit. The plaintiffs submit that these items are not properly claimed as they relate to matters which occurred prior to the Rule 18A application and were claimed previously. In my view, they are properly claimed as necessary for the proceeding and I allow the units as claimed.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ITEMS 14 and 15</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Examinations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City claims units relating to preparation for and attendance on the discovery of the plaintiffs and of Mr. Finch, and for the examination of Mr. Lannard on behalf of the City. The plaintiffs submit that these items are not properly claimed as the examinations took place prior to the Rule 18A application and were claimed previously. I am satisfied that these items are properly claimed as necessary for the proceeding. The number of units is determined according to the number of days taken up by discovery. Attendance at the examination of Mr. Finch is claimed twice: once under Item 15(a) for attendance by the party conducting the examination (8 units) and once under Item 15(b) for attendance by the party being examined (5 units). The former is correctly claimed; the latter is not. This results in a deduction of 5 units.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ITEM 23</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Pre-trial conferences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allow two units, one for each pre-trial conference, as claimed.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ITEMS 24, 25 and 26</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trial in this matter consumed eight days. The City claims units for preparation and attendance for those eight days. The plaintiffs seek some reduction in the number of units to reflect an adjournment of a half-day to allow the City to prepare its closing argument. A reduction of 5 units on Item 25 is appropriate on this basis, for a total of 75 units. The 40 units under Item 24 are allowed as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City claims 5 of a maximum 10 units under Item 26 for the 54-page written argument which they prepared and submitted. In my view, it is appropriate to allow the units as claimed.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ITEM 31</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Attendance at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City claims four units for the entry of orders. The plaintiffs submit that two of the orders relate to the Rule 18A application. Based on my review of the orders, they relate to substitutional service of the third party notice and related documents (September 7, 1999), amendment of the statement of defence (June 28, 2000), pre-trial matters (February 24, 2005), and the order setting out the trial decision of Ralph J. All of these are properly claimed and accordingly, the City is entitled to four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Total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my calculation, the total number of units allowed under the tariff is 226.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Disbursements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City relies on the March 15, 2006 affidavit of Ms. Halkett as well as her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at the assessment hearing. It was Ms. Halkett's evidence that, in preparing the bill of costs, she went through the pleadings, the City's accounts with the firm and the bills rendered by the firm to the City. She gave evidence that she included on the bill of costs only those disbursements which were billed to the City during the period before the Rule 18A application and after the appeal, that is, from the beginning of the action to November 1, 2000, and from July 15, 2003 to the trial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take issue with the amount of the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will address the expert reports separately. In relation to the other disbursements claimed, the following amounts are allowed:</w:t>
      </w:r>
      <w:r>
        <w:rPr>
          <w:rFonts w:ascii="arial" w:eastAsia="arial" w:hAnsi="arial" w:cs="arial"/>
          <w:sz w:val="20"/>
          <w:lang w:val="en-US" w:eastAsia="en-US" w:bidi="ar-SA"/>
        </w:rPr>
        <w:cr/>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postage is allowed as claimed;</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courier charges are allowed as claimed;</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agent's fees are allowed as claimed;</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Online is allowed as claimed;</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Process Server is allowed as claimed;</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Long distance telephone charges were not disputed and are allowed as claimed;</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Quicklaw is reduced to $450 on the basis that the City did not establish the actual cost of the Quicklaw research done but only the amount billed to the City. This finding is not inconsistent with the decision in </w:t>
      </w:r>
      <w:r>
        <w:rPr>
          <w:rFonts w:ascii="arial" w:eastAsia="arial" w:hAnsi="arial" w:cs="arial"/>
          <w:b/>
          <w:i/>
          <w:color w:val="000000"/>
          <w:sz w:val="20"/>
          <w:lang w:val="en-US" w:eastAsia="en-US" w:bidi="ar-SA"/>
        </w:rPr>
        <w:t>Summers v. McGinnis</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[2005] B.C.J. No. 779</w:t>
        </w:r>
      </w:hyperlink>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2005 BCSC 523</w:t>
        </w:r>
      </w:hyperlink>
      <w:r>
        <w:rPr>
          <w:rFonts w:ascii="arial" w:eastAsia="arial" w:hAnsi="arial" w:cs="arial"/>
          <w:color w:val="000000"/>
          <w:sz w:val="20"/>
          <w:lang w:val="en-US" w:eastAsia="en-US" w:bidi="ar-SA"/>
        </w:rPr>
        <w:t>, in which the learned registrar allowed the Quicklaw disbursement, but simply recognizes that, while the City may be willing to pay Quicklaw charges over actual cost as billed by its counsel, such amounts may not be recoverable as against an opposing party on a bill of costs;</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Copying charges of $2,522.94, including colour copies, are claimed. Of that amount, approximately $1,950.00 relates to photocopying charges incurred by the law firm. Assuming that a rate of $.20 per page is used as shown, the number of photocopies claimed is roughly 9,750.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photocopying is typically a "rough-and-ready exercise", not an exercise in arithmetic or math: </w:t>
      </w:r>
      <w:r>
        <w:rPr>
          <w:rFonts w:ascii="arial" w:eastAsia="arial" w:hAnsi="arial" w:cs="arial"/>
          <w:b/>
          <w:i/>
          <w:color w:val="000000"/>
          <w:sz w:val="20"/>
          <w:lang w:val="en-US" w:eastAsia="en-US" w:bidi="ar-SA"/>
        </w:rPr>
        <w:t>Sovani v. Jin</w:t>
      </w:r>
      <w:r>
        <w:rPr>
          <w:rFonts w:ascii="arial" w:eastAsia="arial" w:hAnsi="arial" w:cs="arial"/>
          <w:color w:val="000000"/>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[2006] B.C.J. No. 1228</w:t>
        </w:r>
      </w:hyperlink>
      <w:r>
        <w:rPr>
          <w:rFonts w:ascii="arial" w:eastAsia="arial" w:hAnsi="arial" w:cs="arial"/>
          <w:color w:val="000000"/>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2006 BCSC 855</w:t>
        </w:r>
      </w:hyperlink>
      <w:r>
        <w:rPr>
          <w:rFonts w:ascii="arial" w:eastAsia="arial" w:hAnsi="arial" w:cs="arial"/>
          <w:color w:val="000000"/>
          <w:sz w:val="20"/>
          <w:lang w:val="en-US" w:eastAsia="en-US" w:bidi="ar-SA"/>
        </w:rPr>
        <w:t>. However, there needs to be some basis upon which the registrar can conclude that the number of photocopies claimed was necessary. In my view, it simply was not adequately explained why it was necessary to make 9,750 copies in this proceeding. Contrary to the City's submission, the document production was not extensive. There were only 118 documents disclosed on the parties' lists: 50 for the plaintiffs, and 68 for the City. While there were a number of expert reports, they were not lengthy and cannot account for the amount of photocopying claimed. I conclude that the amount for photocopying by the law firm should be reduced from $1,950 to $1,200.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disbursements for colour copies and the photocopy costs paid to Pryke Lambert Leathley Russell, former counsel for the plaintiffs, are allowed as claimed.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invoices for Ikon Office Solutions are dated September, 2000 through November, 2000, immediately prior to the Rule 18A application. It has not been established to my satisfaction that these disbursements relate to the proceedings generally, rather than to the Rule 18A application specifically. The amount claimed, $368.38, is accordingly disallowed;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amounts claimed for examination for discovery transcripts are allowed as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Expert Reports</w:t>
      </w:r>
      <w:r>
        <w:rPr>
          <w:rFonts w:ascii="arial" w:eastAsia="arial" w:hAnsi="arial" w:cs="arial"/>
          <w:sz w:val="20"/>
          <w:lang w:val="en-US" w:eastAsia="en-US" w:bidi="ar-SA"/>
        </w:rPr>
        <w:cr/>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Cook Pickering &amp; Doyle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City claims $5,520 for the September 2000 report prepared by Douglas Wallis, P. Eng., at that time a principal of Cook Pickering &amp; Doyle Limited. The plaintiffs object to the disbursement on the basis that the report was prepared as part of the summary trial proceedings and is therefore not properly claimed on this bill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report sets out the opinion of the author regarding the geotechnical report and associated letters of assurance which were prepared by Mr. Finch of Digs Consultants Corporation (the "Finch report") regarding the plaintiffs' residence and submitted to the City as part of the permitting process. The City sought the report in response to the allegations by the plaintiffs that the City was negligent in failing to carry out proper inspections of the plaintiffs' property itself and instead relied upon the Finch report in granting the building permit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the report was not tendered at trial, it is fair to conclude that, at the time the report was commissioned, it was necessary or proper for the preparation of the City's case. As to the amount of the disbursement, based on my review of the three invoices submitted in support of the $5,520 claimed, it appears that only the first two, dated June 21, and September 29, 2000 and totalling $3,723, relate to the September 22, 2000 report. The third invoice, dated December 15, 2000, states that it relates to professional services rendered from September 29 to November 30,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view, it is appropriate to allow $3,723 for the Cook Pickering report.</w:t>
      </w:r>
      <w:r>
        <w:rPr>
          <w:rFonts w:ascii="arial" w:eastAsia="arial" w:hAnsi="arial" w:cs="arial"/>
          <w:sz w:val="20"/>
          <w:lang w:val="en-US" w:eastAsia="en-US" w:bidi="ar-SA"/>
        </w:rPr>
        <w:cr/>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Hanscomb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City claims $987.94 for the costs of a report by Hanscomb Limited dated October 2, 2000. The report provides an opinion as to the cost of fixing the plaintiffs' residence, assuming liability and that repairs were necessary. The City submits that the report was of assistance in reaching a settlement on damages prior to the 2005 trial. The plaintiffs object to this disbursement on the basis that it was also claimed on the Rule 18A bill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view, the disbursement was necessary or proper at the time it was incurred and relates to the proceedings generally, not specifically to the Rule 18A application. The amount claimed is reasonable and is allowed as claimed.</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Levelton Consultants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City claims $5,146.40 for a May 2, 2005 report prepared by Mr. Wallis who was by then with Levelton Consultants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object to the disbursement for the following reasons: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was not used for the trial;</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Wallis was not made available for cross-examination at trial;</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is a duplication of the Cook Pickering &amp; Doyle Limited report; and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claimed is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Dealing with each of these objections in turn, I accept the submission of the City that the fact that the report was not used at trial is not conclusive on the issue of whether its cost is properly claimed as a disbursement.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to the plaintiffs' submission that Mr. Wallis was not made available for cross-examination, it appears that the plaintiffs determined at the last minute that it was not necessary to call their expert, Mr. Mordhorst, with the result that Mr. Wallis was not required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the issue of duplication, it was the City's submission that the report addresses different issues from those covered in the Cook Pickering &amp; Doyle report. However, based on my review of the retainer letter from counsel for the City dated April 21, 2005 and the Levelton report itself, it appears that certain issues are being addressed for the second time, albeit in more detail. As set out above, the Cook Pickering &amp; Doyle report provides an opinion as to whether the Finch report identified and provided recommendations to deal with the geotechnical aspects of the development on the plaintiffs' property. The retainer letter for the Levelton report seeks an opinion as to, amongst other things, whether the Finch report identifies "itself as a geotechnical soils report" for the plaintiffs' property and whether it identifies and addresses the "geotechnical issues you would expect a reasonable and prudent geotechnical engineer to identify and address in a soils report." The plaintiffs' position that there appears to be an overlap between the two reports is understandable. The City submits that there is no duplication but I was not provided with any evidence to assist me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While I conclude that it was appropriate for the City to obtain a report to address the plaintiffs' expert reports from Mr. Mordhorst of Gordon Spratt &amp; Associates Ltd., in the absence of evidence as to why a second or more detailed opinion on other matters was necessary, some reduction of the amount claimed is appropriate. The invoice does not assist with a breakdown of the time spent on the various issues. Based on my review of the report, I am satisfied that $3,200 is a reasonable amount for the Levelton report.</w:t>
      </w:r>
      <w:r>
        <w:rPr>
          <w:rFonts w:ascii="arial" w:eastAsia="arial" w:hAnsi="arial" w:cs="arial"/>
          <w:sz w:val="20"/>
          <w:lang w:val="en-US" w:eastAsia="en-US" w:bidi="ar-SA"/>
        </w:rPr>
        <w:cr/>
      </w:r>
    </w:p>
    <w:p>
      <w:pPr>
        <w:numPr>
          <w:numId w:val="1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Humphrey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City claims $2,015.00 for an April 20, 2005 report by George Humphrey, B. Arch. The plaintiffs object to Mr. Humphrey's second invoice for $718.75 which includes costs "associated with preparation for and attendance at the court hearing on June 30, 2005, including travel and parking expenses." The City submits that it is "completely reasonable" that Mr. Humphrey, whose report was tendered at trial and was referred to in the trial decision, would spend several hours preparing to testify the day before and prior to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While I accept that costs associated with an expert preparing for and attending at trial are properly claimable, the amount claimed includes travel time, which is usually billed at half the hourly rate, being time spent away from the office but requiring no expertise. Mr. Humphrey's office is in North Vancouver. His travel time is not specified on the invoice. Assuming that he spent an hour and a half travelling to and from the Vancouver courthouse, that time should be billed at $42.50 rather than $85.00 an hour. A reduction of $60.00 is therefore appropriate. The amount of $573.75, including parking, is allowed on the second invoice; the first invoice is allowed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Based on these reasons, counsel for the City can calculate the total amount of fees and disbursements, and submit a certificate in that amount for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REGISTRAR SCARTH</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79"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4"/>
          <w:headerReference w:type="default" r:id="rId865"/>
          <w:footerReference w:type="even" r:id="rId866"/>
          <w:footerReference w:type="default" r:id="rId867"/>
          <w:headerReference w:type="first" r:id="rId868"/>
          <w:footerReference w:type="first" r:id="rId8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70" w:history="1">
        <w:r>
          <w:rPr>
            <w:rFonts w:ascii="arial" w:eastAsia="arial" w:hAnsi="arial" w:cs="arial"/>
            <w:b/>
            <w:bCs/>
            <w:i/>
            <w:color w:val="0077CC"/>
            <w:kern w:val="32"/>
            <w:sz w:val="28"/>
            <w:szCs w:val="32"/>
            <w:u w:val="single"/>
            <w:shd w:val="clear" w:color="auto" w:fill="FFFFFF"/>
            <w:lang w:val="en-US" w:eastAsia="en-US" w:bidi="ar-SA"/>
          </w:rPr>
          <w:t>Pryde (Re), [2008] B.C.J. No. 2001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Master G. Taylor</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14, 2008.</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23,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227786</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2001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BCSC 1422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48 C.B.R. (5th) 58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CarswellBC 2218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172 A.C.W.S. (3d) 533</w:t>
      </w:r>
    </w:p>
    <w:p>
      <w:pPr>
        <w:spacing w:before="120" w:line="260" w:lineRule="atLeast"/>
        <w:rPr>
          <w:lang w:val="en-US" w:eastAsia="en-US" w:bidi="ar-SA"/>
        </w:rPr>
      </w:pPr>
      <w:r>
        <w:rPr>
          <w:rFonts w:ascii="arial" w:eastAsia="arial" w:hAnsi="arial" w:cs="arial"/>
          <w:color w:val="000000"/>
          <w:sz w:val="20"/>
          <w:lang w:val="en-US" w:eastAsia="en-US" w:bidi="ar-SA"/>
        </w:rPr>
        <w:t>IN THE MATTER OF the Bankruptcy of Mitchell Bruce Pryde</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80" style="position:absolute;z-index:25170636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02" w:name="Keywords_46"/>
      <w:bookmarkEnd w:id="302"/>
      <w:r>
        <w:rPr>
          <w:rFonts w:ascii="arial" w:eastAsia="arial" w:hAnsi="arial" w:cs="arial"/>
          <w:b/>
          <w:color w:val="000000"/>
          <w:sz w:val="20"/>
          <w:lang w:val="en-US" w:eastAsia="en-US" w:bidi="ar-SA"/>
        </w:rPr>
        <w:t xml:space="preserve">Bankruptcy and insolvency law — Administration of estate — Administrative officials and appointees — Trustees — Civil liabilities — Actions against — When leave required — Personal liability — Application by the trustee dismissed — The bankrupt commenced a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against the trustee and his insurance company when an RRSP that was purportedly exempt was brought into his estate — The action was ultimately settled on a without costs basis — The trustee sought indemnification from the estate for legal expenses — The court found that the trustees were sued in their personal capacities rather than in their representative capacities, and thus were bound by the terms of the settlement — Concomitantly, the bankrupt was not required to obtain leave to commence the action — Bankruptcy and Insolvency Act, s. 215.</w:t>
      </w:r>
    </w:p>
    <w:p>
      <w:pPr>
        <w:jc w:val="both"/>
        <w:rPr>
          <w:lang w:val="en-US" w:eastAsia="en-US" w:bidi="ar-SA"/>
        </w:rPr>
      </w:pPr>
      <w:bookmarkStart w:id="303" w:name="Legislation Cited_38"/>
      <w:bookmarkEnd w:id="30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81" style="position:absolute;z-index:2517575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Bankruptcy and Insolvency Act, </w:t>
      </w:r>
      <w:hyperlink r:id="rId871" w:history="1">
        <w:r>
          <w:rPr>
            <w:rFonts w:ascii="arial" w:eastAsia="arial" w:hAnsi="arial" w:cs="arial"/>
            <w:i/>
            <w:color w:val="0077CC"/>
            <w:sz w:val="20"/>
            <w:u w:val="single"/>
            <w:shd w:val="clear" w:color="auto" w:fill="FFFFFF"/>
            <w:lang w:val="en-US" w:eastAsia="en-US" w:bidi="ar-SA"/>
          </w:rPr>
          <w:t>R.S.C. 1985, c. B-3, s. 215</w:t>
        </w:r>
      </w:hyperlink>
      <w:r>
        <w:rPr>
          <w:lang w:val="en-US" w:eastAsia="en-US" w:bidi="ar-SA"/>
        </w:rPr>
        <w:cr/>
      </w:r>
    </w:p>
    <w:p>
      <w:pPr>
        <w:keepNext/>
        <w:spacing w:before="240" w:line="340" w:lineRule="atLeast"/>
        <w:rPr>
          <w:lang w:val="en-US" w:eastAsia="en-US" w:bidi="ar-SA"/>
        </w:rPr>
      </w:pPr>
      <w:bookmarkStart w:id="304" w:name="Counsel_46"/>
      <w:bookmarkEnd w:id="304"/>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82" style="position:absolute;z-index:2518087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Applicants: M.R. Davies.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Bankrupt: K. Wedel.</w:t>
      </w:r>
      <w:r>
        <w:rPr>
          <w:lang w:val="en-US" w:eastAsia="en-US" w:bidi="ar-SA"/>
        </w:rPr>
        <w:cr/>
      </w:r>
    </w:p>
    <w:p>
      <w:pPr>
        <w:spacing w:after="240"/>
        <w:rPr>
          <w:lang w:val="en-US" w:eastAsia="en-US" w:bidi="ar-SA"/>
        </w:rPr>
      </w:pPr>
      <w:bookmarkStart w:id="305" w:name="Judgment_46"/>
      <w:bookmarkEnd w:id="305"/>
      <w:r>
        <w:pict>
          <v:line id="_x0000_s1283" style="position:absolute;z-index:25185996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Decision</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06" w:name="MASTER G. TAYLOR_0"/>
            <w:bookmarkEnd w:id="306"/>
            <w:r>
              <w:rPr>
                <w:rFonts w:ascii="arial" w:eastAsia="arial" w:hAnsi="arial" w:cs="arial"/>
                <w:b/>
                <w:color w:val="000000"/>
                <w:sz w:val="30"/>
                <w:lang w:val="en-US" w:eastAsia="en-US" w:bidi="ar-SA"/>
              </w:rPr>
              <w:t>MASTER G. TAYLOR</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E. Sands &amp; Associates Inc. and Dean Gurney brought an application by way of notice of motion seeking indemnification from the estate of Mitchell Bruce Pryde in bankruptcy, on account of legal expenses incurred with respect to an application filed by Mr. Pryde in this proceeding on May 26, 2004 and of the legal action commenced by Mr. Pryde in Vancouver Registry number S044328 on August 3, 2004. The indemnification being sought from Mr. Pryde by E. Sands &amp; Associates and Dean Gurney is the sum of $10,663.54 after taxation thereof. As well E. Sands &amp; Associates Inc. and Dean Gurney seek the costs of this application to be paid by either Mitchell Bruce Pryde and/or the estate of Mitchell Bruce Pryde in bankruptcy.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is interesting to note that Mr. Pryde has been discharged from bankruptcy but the estate remains because the trustee has yet to be discharged.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Factual 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or about June 2002 Mr. Pryde met with Dean Gurney in his capacity as a licensed trustee in bankruptcy with the view to assigning himself into bankruptcy. At that time the bankrupt advised Mr. Gurney that among his assets he held a RRSP annuity account in a segregated fund worth approximately $57,874 and that the RRSP was exempt from seizure by creditors pursuant to the </w:t>
      </w:r>
      <w:r>
        <w:rPr>
          <w:rFonts w:ascii="arial" w:eastAsia="arial" w:hAnsi="arial" w:cs="arial"/>
          <w:b/>
          <w:i/>
          <w:color w:val="000000"/>
          <w:sz w:val="20"/>
          <w:lang w:val="en-US" w:eastAsia="en-US" w:bidi="ar-SA"/>
        </w:rPr>
        <w:t>Insurance Act of British Columbia</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Gurney asserts that he told the bankrupt to confirm with his insurance company that the RRSP was in fact an asset exempt from seizure by creditors pursuant to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The bankrupt consulted his insurance broker, Frank Reid, who confirmed to the bankrupt that the RRSP was in fact exempt from seizure. As well, Sands independently inquired of Reid and was also told that the RRSP was exempt from creditors.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Based upon this information the bankrupt then made an assignment into bankruptcy and declared the RRSP as an exempt asset. E. Sands &amp; Associates Inc. was appointed as the trustee of the bankrupt estate. The bankrupt estate was created as a summary administration since no unusual issues or expenses were anticipated.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Upon receiving advice that the bankrupt had assigned himself into bankruptcy, Clarica Life Insurance Company collapsed the RRSP and forwarded to Sands the sum of $41,847.19 which represented the net proceeds of the RRSP after deduction of withholding tax.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Some time later with this information at hand Gurney discussed with the bankrupt, prior to the bankrupt's second counselling session, the possibility of annulling the bankruptcy.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February, 2003, Sands received a letter from lawyers retained by the bankrupt alleging that Sands was at fault either for the collapse of the RRSP, failing to advise the bankrupt to make a proposal or failing to annul the bankruptcy.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Then on May 27, 2004 the bankrupt filed a motion in the bankruptcy proceedings to apply for leave to file a writ of summons against Sands &amp; Gurney. This application was made pursuant to s. 215 of the </w:t>
      </w:r>
      <w:r>
        <w:rPr>
          <w:rFonts w:ascii="arial" w:eastAsia="arial" w:hAnsi="arial" w:cs="arial"/>
          <w:b/>
          <w:i/>
          <w:color w:val="000000"/>
          <w:sz w:val="20"/>
          <w:lang w:val="en-US" w:eastAsia="en-US" w:bidi="ar-SA"/>
        </w:rPr>
        <w:t>Bankruptcy and Insolvency Act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bankrupt never proceeded with the application pursuant to s. 215 of the </w:t>
      </w:r>
      <w:r>
        <w:rPr>
          <w:rFonts w:ascii="arial" w:eastAsia="arial" w:hAnsi="arial" w:cs="arial"/>
          <w:b/>
          <w:i/>
          <w:color w:val="000000"/>
          <w:sz w:val="20"/>
          <w:lang w:val="en-US" w:eastAsia="en-US" w:bidi="ar-SA"/>
        </w:rPr>
        <w:t>BIA</w:t>
      </w:r>
      <w:r>
        <w:rPr>
          <w:rFonts w:ascii="arial" w:eastAsia="arial" w:hAnsi="arial" w:cs="arial"/>
          <w:color w:val="000000"/>
          <w:sz w:val="20"/>
          <w:lang w:val="en-US" w:eastAsia="en-US" w:bidi="ar-SA"/>
        </w:rPr>
        <w:t xml:space="preserve"> but rather commenced an action against Sands, Gurney and Reid as well as the insurance companies involved with the RRSP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Reid and Gurney and claiming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action commenced by the bankrupt alleged that Gurney was negligent in the course of his professional duties and that Sands was vicariously liable as Gurney's employer. It did not allege that Sands was itself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Sands and Gurney filed a statement of defence completely denying any liability with respect to the allegations of the bankrupt.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matter ultimately resolved when Reid made an offer to pay $15,000 in full settlement of the bankrupt's claims. However the matter was resolved on the payment by Reid of $20,000 to the bankrupt on the condition the bankrupt executed releases in favour of all defendants, dismissing the lawsuit against the defendants, and all parties agreed that the dismissal of the action would be on a "without costs" basis. Sands and Gurney agreed to enter into the settlement on the advice of legal counsel. Sands and Gurney now claim indemnification for the $10,662.54 in legal fees they incurred by having to retain counsel throughout these proceedings.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broad question for the court on this application is whether on the suit by a bankrupt against a trustee and its employee in his personal capacity which is subsequently compromised by payment to the bankrupt by another defendant in the action, the trustee and its employee are entitled to make a claim for indemnity against the estate of the bankrupt.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 secondary issue is whether it would matter if the bankrupt did not obtain leave pursuant to s. 215 of the </w:t>
      </w:r>
      <w:r>
        <w:rPr>
          <w:rFonts w:ascii="arial" w:eastAsia="arial" w:hAnsi="arial" w:cs="arial"/>
          <w:b/>
          <w:i/>
          <w:color w:val="000000"/>
          <w:sz w:val="20"/>
          <w:lang w:val="en-US" w:eastAsia="en-US" w:bidi="ar-SA"/>
        </w:rPr>
        <w:t>Bankruptcy and Insolvency Act</w:t>
      </w:r>
      <w:r>
        <w:rPr>
          <w:rFonts w:ascii="arial" w:eastAsia="arial" w:hAnsi="arial" w:cs="arial"/>
          <w:color w:val="000000"/>
          <w:sz w:val="20"/>
          <w:lang w:val="en-US" w:eastAsia="en-US" w:bidi="ar-SA"/>
        </w:rPr>
        <w:t xml:space="preserve"> to sue the trustee in his personal capacity and, lastly, would it matter if the trustee and its personally named employee settled the claim on a without costs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applicant points out that the statement of claim names Sands as a defendant but the only allegation contained in the statement of claim against Sands is that Sands is vicariously responsible as Gurney's employer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Gurney. This, says the applicant, shows there was no basis for which the bankrupt could initiate the lawsuit without seeking leave of the court pursuant to s. 215 since the lawsuit did not allege that Gurney was acting independently or outside the scope of his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respondent bankrupt however takes the position that while a trustee is entitled to be paid its proper fees and disbursements including legal fees incurred in the administration of the estate and out of the estate, the trustee is not entitled to use the estate as a personal defence fund for litigation that cannot be said to be part of the administration of the estate.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that regard the respondent bankrupt says that a trustee is not entitled to indemnity in respect of the costs of an action brought against him if it is a purely personal action against him and not having relation to the estate except so far as the acts complained of were acts done by him while acting in that capacity: </w:t>
      </w:r>
      <w:r>
        <w:rPr>
          <w:rFonts w:ascii="arial" w:eastAsia="arial" w:hAnsi="arial" w:cs="arial"/>
          <w:b/>
          <w:i/>
          <w:color w:val="000000"/>
          <w:sz w:val="20"/>
          <w:lang w:val="en-US" w:eastAsia="en-US" w:bidi="ar-SA"/>
        </w:rPr>
        <w:t>Re Dunn</w:t>
      </w:r>
      <w:r>
        <w:rPr>
          <w:rFonts w:ascii="arial" w:eastAsia="arial" w:hAnsi="arial" w:cs="arial"/>
          <w:color w:val="000000"/>
          <w:sz w:val="20"/>
          <w:lang w:val="en-US" w:eastAsia="en-US" w:bidi="ar-SA"/>
        </w:rPr>
        <w:t xml:space="preserve">, [1904] 1 Ch. 648 at 655-657. As well the bankrupt cites </w:t>
      </w:r>
      <w:r>
        <w:rPr>
          <w:rFonts w:ascii="arial" w:eastAsia="arial" w:hAnsi="arial" w:cs="arial"/>
          <w:b/>
          <w:i/>
          <w:color w:val="000000"/>
          <w:sz w:val="20"/>
          <w:lang w:val="en-US" w:eastAsia="en-US" w:bidi="ar-SA"/>
        </w:rPr>
        <w:t>Re Nierenberg</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(1979), 30 C.B.R. (N.S.) 267</w:t>
        </w:r>
      </w:hyperlink>
      <w:r>
        <w:rPr>
          <w:rFonts w:ascii="arial" w:eastAsia="arial" w:hAnsi="arial" w:cs="arial"/>
          <w:color w:val="000000"/>
          <w:sz w:val="20"/>
          <w:lang w:val="en-US" w:eastAsia="en-US" w:bidi="ar-SA"/>
        </w:rPr>
        <w:t xml:space="preserve"> (Ont. H.C.J.) at paragraphs 10, 16 and 20, for the proposition that legal fees incurred by a trustee to defend an action brought against it personally and seeking damages cannot be paid out of the estate since it cannot be said that a trustee in defending such an action is in any way administering the estate.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Indeed, says the bankrupt, the proceedings giving rise to the legal fees in question were brought against Sands and Gurney personally and not against the estate or against the trustee in its representative capacity. Accordingly, the bankrupt maintains that the defence of Sands and Gurney in the proceedings was never part of the administration of the estate and points to the statement of claim which does not name the trustee in its representative capacity but seeks only damages from Sands or Gurney personally not any relief against or in respect of the estate. As well, the statement of defence in which Sands and Gurney, recognizing that the action was against them personally pleaded that "The plaintiff's claim should be against the trustee in bankruptcy of the estate".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applicants rely upon the proposition that a trustee is entitled to indemnity out of a trust property for all administrative expenses properly incurred as a first charge on the trust property for all costs incurred in administering the trust property and cite </w:t>
      </w:r>
      <w:r>
        <w:rPr>
          <w:rFonts w:ascii="arial" w:eastAsia="arial" w:hAnsi="arial" w:cs="arial"/>
          <w:b/>
          <w:i/>
          <w:color w:val="000000"/>
          <w:sz w:val="20"/>
          <w:lang w:val="en-US" w:eastAsia="en-US" w:bidi="ar-SA"/>
        </w:rPr>
        <w:t>Re General Fireproofing Company of Canada</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(1936), 17 C.B.R. 371</w:t>
        </w:r>
      </w:hyperlink>
      <w:r>
        <w:rPr>
          <w:rFonts w:ascii="arial" w:eastAsia="arial" w:hAnsi="arial" w:cs="arial"/>
          <w:color w:val="000000"/>
          <w:sz w:val="20"/>
          <w:lang w:val="en-US" w:eastAsia="en-US" w:bidi="ar-SA"/>
        </w:rPr>
        <w:t xml:space="preserve"> (Ont. C.A.) for that proposition. This appears to be trite law however the question is whether in defending the lawsuit against themselves personally, Sands and Gurney were administering the trust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During submissions I asked counsel for the applicant what if any effect the consent dismissal order signed on behalf of the applicants had in relation to the claim for indemnification. Counsel for the applicants responded by submitting that his clients were not seeking costs against Mr. Pryde within the lawsuit commenced by Mr. Pryde but rather indemnification against the bankrupt's estate.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Does s. 215 of the </w:t>
      </w:r>
      <w:r>
        <w:rPr>
          <w:rFonts w:ascii="arial" w:eastAsia="arial" w:hAnsi="arial" w:cs="arial"/>
          <w:b/>
          <w:i/>
          <w:color w:val="000000"/>
          <w:sz w:val="20"/>
          <w:lang w:val="en-US" w:eastAsia="en-US" w:bidi="ar-SA"/>
        </w:rPr>
        <w:t>Bankruptcy and Insolvency Act</w:t>
      </w:r>
      <w:r>
        <w:rPr>
          <w:rFonts w:ascii="arial" w:eastAsia="arial" w:hAnsi="arial" w:cs="arial"/>
          <w:b/>
          <w:color w:val="000000"/>
          <w:sz w:val="20"/>
          <w:lang w:val="en-US" w:eastAsia="en-US" w:bidi="ar-SA"/>
        </w:rPr>
        <w:t xml:space="preserve"> Apply?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Counsel for the applicant submits that the bankrupt should not have brought the suit without first obtaining the court's approval pursuant to s. 215 of the </w:t>
      </w:r>
      <w:r>
        <w:rPr>
          <w:rFonts w:ascii="arial" w:eastAsia="arial" w:hAnsi="arial" w:cs="arial"/>
          <w:b/>
          <w:i/>
          <w:color w:val="000000"/>
          <w:sz w:val="20"/>
          <w:lang w:val="en-US" w:eastAsia="en-US" w:bidi="ar-SA"/>
        </w:rPr>
        <w:t>BIA</w:t>
      </w:r>
      <w:r>
        <w:rPr>
          <w:rFonts w:ascii="arial" w:eastAsia="arial" w:hAnsi="arial" w:cs="arial"/>
          <w:color w:val="000000"/>
          <w:sz w:val="20"/>
          <w:lang w:val="en-US" w:eastAsia="en-US" w:bidi="ar-SA"/>
        </w:rPr>
        <w:t>. Section 215 reads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Except by leave of the court, no action lies against the Superintendent, an official receiver or a trustee with respect to any report made under, or any action taken pursuant to, this 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From the pleadings, it is evident that the trustee was sued in his personal capacity, and not that of a trustee. Accordingly, it is not necessary to obtain the court's leave pursuant to s. 215: </w:t>
      </w:r>
      <w:r>
        <w:rPr>
          <w:rFonts w:ascii="arial" w:eastAsia="arial" w:hAnsi="arial" w:cs="arial"/>
          <w:b/>
          <w:i/>
          <w:color w:val="000000"/>
          <w:sz w:val="20"/>
          <w:lang w:val="en-US" w:eastAsia="en-US" w:bidi="ar-SA"/>
        </w:rPr>
        <w:t>Canadian Glacier Beverage Corp. v. Barnes &amp; Kissack Inc.</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(1999), 6 C.B.R. (4th) 212</w:t>
        </w:r>
      </w:hyperlink>
      <w:r>
        <w:rPr>
          <w:rFonts w:ascii="arial" w:eastAsia="arial" w:hAnsi="arial" w:cs="arial"/>
          <w:color w:val="000000"/>
          <w:sz w:val="20"/>
          <w:lang w:val="en-US" w:eastAsia="en-US" w:bidi="ar-SA"/>
        </w:rPr>
        <w:t xml:space="preserve"> (B.C.S.C.). As well, if the trustee is sued personally for something that has nothing to do with the administration of the bankrupt estate, leave under s. 215 is not required: </w:t>
      </w:r>
      <w:r>
        <w:rPr>
          <w:rFonts w:ascii="arial" w:eastAsia="arial" w:hAnsi="arial" w:cs="arial"/>
          <w:b/>
          <w:i/>
          <w:color w:val="000000"/>
          <w:sz w:val="20"/>
          <w:lang w:val="en-US" w:eastAsia="en-US" w:bidi="ar-SA"/>
        </w:rPr>
        <w:t>Re: Border Drilling &amp; Sanitation Ltd.</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(1983), 45 C.B.R. (N.S.) 252</w:t>
        </w:r>
      </w:hyperlink>
      <w:r>
        <w:rPr>
          <w:rFonts w:ascii="arial" w:eastAsia="arial" w:hAnsi="arial" w:cs="arial"/>
          <w:color w:val="000000"/>
          <w:sz w:val="20"/>
          <w:lang w:val="en-US" w:eastAsia="en-US" w:bidi="ar-SA"/>
        </w:rPr>
        <w:t xml:space="preserve"> (Ont.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my view, Sands and Gurney were sued by the bankrupt in their personal capacities and not in their representative capacities as trustees of the bankrupt's estate. As a result, both Sands and Gurney had the opportunity to seek costs against the bankrupt when this matter was compromised but chose not to do so and instructed counsel to sign a consent dismissal order "without costs". Accordingly, the applicants cannot now make a claim against the estate for indemnification. I therefore dismiss the applicant's notice of motion with costs to the respondent.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MASTER G. TAYLOR</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040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6"/>
          <w:headerReference w:type="default" r:id="rId877"/>
          <w:footerReference w:type="even" r:id="rId878"/>
          <w:footerReference w:type="default" r:id="rId879"/>
          <w:headerReference w:type="first" r:id="rId880"/>
          <w:footerReference w:type="first" r:id="rId8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2" w:history="1">
        <w:r>
          <w:rPr>
            <w:rFonts w:ascii="arial" w:eastAsia="arial" w:hAnsi="arial" w:cs="arial"/>
            <w:b/>
            <w:bCs/>
            <w:i/>
            <w:color w:val="0077CC"/>
            <w:kern w:val="32"/>
            <w:sz w:val="28"/>
            <w:szCs w:val="32"/>
            <w:u w:val="single"/>
            <w:shd w:val="clear" w:color="auto" w:fill="FFFFFF"/>
            <w:lang w:val="en-US" w:eastAsia="en-US" w:bidi="ar-SA"/>
          </w:rPr>
          <w:t>Shaw Estate v. Oldroyd, [2005] B.C.J. No. 2383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31,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04/2109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2383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1532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Lavinia Mary Hann, Executrix and Trustee under the last Will and Testament of May Cree Shaw, deceased; Catherine McLean, Administrator of the Estate of Charles Quentin Wilson, deceased; Judith Banks, Executrix and Trustee under the last Will and Testament of Hilda Ruby Margaret Alton, deceased, plaintiffs, and Jonathan Lewis Oldroyd, Evelyn Laurie Oldroyd, Cody Whyac Corporation, 606532 B.C. Ltd., 606540 B.C. Ltd., B &amp; D Enterprises Ltd., Raincoast Village Inn Ltd., Salt Spring Cinema Central Inc., Ucluelet Lodge Hotel Limited, Skomahl River Lands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85"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7" w:name="Keywords_47"/>
      <w:bookmarkEnd w:id="307"/>
      <w:r>
        <w:rPr>
          <w:rFonts w:ascii="arial" w:eastAsia="arial" w:hAnsi="arial" w:cs="arial"/>
          <w:b/>
          <w:color w:val="000000"/>
          <w:sz w:val="20"/>
          <w:lang w:val="en-US" w:eastAsia="en-US" w:bidi="ar-SA"/>
        </w:rPr>
        <w:t>Civil procedure — Pleadings — Amendment of — Statement of defence — Reply and subsequent pleadings — The defendants found liable and B &amp; D Enterprises were granted leave to amend their statement of defence — The plaintiffs were granted leave to file a reply in response to the 2005 statement of defence. Wills, estates &amp; trusts law — Executors and administrators — Powers — Power of sale of assets — The plaintiffs' application for sale of the properties was granted as there was no principled distinction between the sale of the properties registered in the names of the numbered companies and B &amp; D Enterprises Ltd., which it is agreed should be sold, and those registered in the name of Cody Whynac or other corporate defendants.</w:t>
      </w:r>
    </w:p>
    <w:p>
      <w:pPr>
        <w:jc w:val="both"/>
        <w:rPr>
          <w:rFonts w:ascii="arial" w:eastAsia="arial" w:hAnsi="arial" w:cs="arial"/>
          <w:sz w:val="20"/>
          <w:lang w:val="en-US" w:eastAsia="en-US" w:bidi="ar-SA"/>
        </w:rPr>
      </w:pPr>
      <w:bookmarkStart w:id="308" w:name="Legislation Cited_39"/>
      <w:bookmarkEnd w:id="3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86"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24(1)(a), Rule 43(1)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Trustee Act, </w:t>
      </w:r>
      <w:r>
        <w:rPr>
          <w:rFonts w:ascii="arial" w:eastAsia="arial" w:hAnsi="arial" w:cs="arial"/>
          <w:i/>
          <w:color w:val="000000"/>
          <w:sz w:val="20"/>
          <w:lang w:val="en-US" w:eastAsia="en-US" w:bidi="ar-SA"/>
        </w:rPr>
        <w:t>R.S.B.C. 1996, c. 464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9" w:name="Counsel_47"/>
      <w:bookmarkEnd w:id="3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87"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N.W. Lott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Evelyn Laurie Oldroyd: T.L. Brown,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Other Defendants: R.S. Margetts,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0" w:name="Judgment_47"/>
      <w:bookmarkEnd w:id="310"/>
      <w:r>
        <w:pict>
          <v:line id="_x0000_s1288" style="position:absolute;z-index:2518609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1" w:name="E.R.A. EDWARDS J._0"/>
            <w:bookmarkEnd w:id="311"/>
            <w:r>
              <w:rPr>
                <w:rFonts w:ascii="arial" w:eastAsia="arial" w:hAnsi="arial" w:cs="arial"/>
                <w:b/>
                <w:color w:val="000000"/>
                <w:sz w:val="30"/>
                <w:lang w:val="en-US" w:eastAsia="en-US" w:bidi="ar-SA"/>
              </w:rPr>
              <w:t>E.R.A. EDWARDS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All defendants but Evelyn Oldroyd apply to amend their Statement of Defence. The plaintiffs apply for an order for sale of real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original Statement of Claim was filed May 12, 2004. A Statement of Defence was filed on behalf of Jonathan Oldroyd ("Oldroyd") only on May 28, 2004. It contained only a simple denial of the substantive allegations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An Amended Statement of Claim was filed July 30, 2004. An amended Statement of Defence was filed August 19, 2004, on behalf of all defendants but Evelyn Oldroyd. It too contained only a simple denial of the substantive allegations in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July 22, 2005, I granted orders permitting the plaintiffs to add the last four parties named in the current style of cause as defendants and to substantively further amend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also granted judgment against four of the six original defendants, namely, Oldroyd, Cody Whyac Corporation ("Cody Whyac"), 606532 B.C. Ltd. and 606540 B.C. Ltd. (together "the numbered companies") and adjourned the issue of quantum of that judgment for hearing August 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refer to those four defendants hereafter as "the defendants found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order of July 22, 2005 was entered and the resulting Amended Amended Statement of Claim was filed on July 28,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August 8, 2005, the hearing scheduled for August 9, 2005, to determine quantum, was adjourned by consent to August 25 and 26,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August 22, 2005, a Notice of Appeal was filed on behalf of the defendants found liable against the order of July 22, 2005, granting judgment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August 23, 2005, a Statement of Defence ("2005 Statement of Defence") was filed on behalf of all defendants except Evelyn Oldroyd, in response to the Amended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outset of the hearing on quantum the plaintiffs' counsel, Mr. Lott, took the position that the defendants found liable were precluded on the basis of issue estoppel from filing a Statement of Defence which raised defences as to their liability. I reserved judgment on that question for further submissions. The quantum hearing did not conclude and is scheduled to continue in November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DEFENDANTS' APPLICATION TO AMEND THE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Margetts filed a Notice of Motion October 24, 2005, seeking leave to amend the Statement of Defence of all current defendants except Evelyn Oldroyd to conform to the 2005 Statement of Defence filed on behalf of the four defendants found liable, B &amp; D Enterprises Ltd. and the four corporate defendants added by the order of July 22,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Paragraphs 2(a), 3 and 9 of the 2005 Statement of Defence respond to amendments to paragraphs 11, 25(b), (c) and (d) of the Amended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Paragraph 4 of the 2005 Statement of Defence asserts that Oldroyd and "the various corporate Defendants" "acted in or within the provisions of testamentary instruments in administering the Estates or acting as Trustee and solicitor therefore". This responds to paragraph 25(a) of the Amended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Paragraphs 5 and 6 of the 2005 Statement of Defence assert that Oldroyd "advanced monies in accord with the testamentary instruments" and that he "pleads and relies" on provisions of the Trustee Act, </w:t>
      </w:r>
      <w:r>
        <w:rPr>
          <w:rFonts w:ascii="arial" w:eastAsia="arial" w:hAnsi="arial" w:cs="arial"/>
          <w:i/>
          <w:color w:val="000000"/>
          <w:sz w:val="20"/>
          <w:lang w:val="en-US" w:eastAsia="en-US" w:bidi="ar-SA"/>
        </w:rPr>
        <w:t>R.S.B.C. 1996, c. 464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Paragraphs 7 and 8 of the 2005 Statement of Defence assert that the plaintiffs Judith Banks and Lavinia Hann as Oldroyd's co-executors "owed a duty and obligations" to "monitor, participate or otherwise engage in the administration of the Estates" and by failing to do so thereby "caused or contributed to the losses suffered by the Estates" so as to engage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Paragraph 11 of the 2005 Statement of Defence responds to the plaintiffs' allegations of fraudulent preference or fraudulent conveyance of Oldroyd's interest in his home to Evelyn Oldroyd. That issue was not determined by the order of July 22, 2005. Mr. Lott did not object to this paragraph of the 2005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Paragraph 12 of the 2005 Statement of Defence asserts, in response to the plaintiffs' allegation that Oldroyd's fraudulent conversion, breach of trust and breach of fiduciary duty resulted in a loss to the plaintiffs in the amount of improperly charged fees, that all of Oldroyd's fees were approved by "the Estates or their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Because the Notice of Trial was not filed until September 29, 2005, Mr. Margetts submits that the 2005 Statement of Defence was properly filed on August 23, 2005, as of right pursuant to Rule 24(1)(a)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party may amend [a] ... pleading ... at any time, with leave of the court, and</w:t>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without leave of the court, at any time before the delivery of the notice of trial or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Notice of hearing on the liability issue was filed before July 22, 2005, and the August 8, 2005, consent adjournment of the hearing on quantum which was ordered on July 22, 2005, to commence August 9, 2005, served as notice of hearing on that issue. There was no suggestion that the quantum hearing could not proceed on August 26, 2005, for want of a Notice of Trial, and it did proceed, although it did not conclude.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Despite the fact the 2005 Statement of Defence was filed before the Notice of Trial, this is not a case where it the could be filed under Rule 24(1)(a) without leave of the court, because the notices of hearing of both the liability and quantum aspects of the case had been filed before the 2005 Statement of Defence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next turn to the question of whether leave of the court should be granted to file the 2005 Statement of Defence on behalf of the four defendants found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Margetts acknowledges that on the evidence to date it is inconceivable those four defendants will not be liable in some quantum, even if they are permitted to rely on the defences pleaded in the 2005 Statement of Defence and those defences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Margetts argues those defences go to the issue of the extent of their liability or quantum and in order that they may fully answer the plaintiffs' case, the defendants found liable should be allowed to rely on the substantive defences asserted in the 2005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Brown advised she would be seeking to amend the Statement of Defence filed on behalf of Evelyn Oldroyd, against whom judgment has not been granted or entered, to echo the substantive defences in the 2005 Statement of Defence. Ms. Brown supported Mr. Margetts'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Lott advised he would be applying to strike Evelyn Oldroyd's Statement of Defence. Presumably he will oppose her application to amend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Lott acknowledged that the defendants found liable could, with leave, amend their Statement of Defence to raise issues in respect of the so far undetermined issue of quantum, for example, whether their conduct was such as to warrant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Lott's primary submission rests on the contention that because the Statement of Claim alleged fraudulent conversion, breach of trust and breach of fiduciary duty as the bases for liability the judgment entered must be deemed to imply that the Court has found those grounds for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follows, Mr. Lott argues, that assertions in the 2005 Statement of Defence to the effect that the defendants did not convert trust monies and were not in breach of trust or breach of fiduciary duty contradict this determination by the court, so issue estoppel precludes the four defendants found liable from raising defences in the 2005 Statement of Defence which contradict the bases of that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Haley v. Brown </w:t>
      </w:r>
      <w:hyperlink r:id="rId883" w:history="1">
        <w:r>
          <w:rPr>
            <w:rFonts w:ascii="arial" w:eastAsia="arial" w:hAnsi="arial" w:cs="arial"/>
            <w:i/>
            <w:color w:val="0077CC"/>
            <w:sz w:val="20"/>
            <w:u w:val="single"/>
            <w:shd w:val="clear" w:color="auto" w:fill="FFFFFF"/>
            <w:lang w:val="en-US" w:eastAsia="en-US" w:bidi="ar-SA"/>
          </w:rPr>
          <w:t>(1990), 44 B.C.L.R. (2d) 134</w:t>
        </w:r>
      </w:hyperlink>
      <w:r>
        <w:rPr>
          <w:rFonts w:ascii="arial" w:eastAsia="arial" w:hAnsi="arial" w:cs="arial"/>
          <w:color w:val="000000"/>
          <w:sz w:val="20"/>
          <w:lang w:val="en-US" w:eastAsia="en-US" w:bidi="ar-SA"/>
        </w:rPr>
        <w:t xml:space="preserve"> (B.C.S.C.), Mr. Justice Coultas refused an application by the defendant to plead novus actus interveniens by third parties after the defendant had been found 100% liable at trial. He did so on the basis issue estoppel precluded a reopening of the question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That case was followed in Ingenhaag v. Burdock, </w:t>
      </w:r>
      <w:hyperlink r:id="rId884" w:history="1">
        <w:r>
          <w:rPr>
            <w:rFonts w:ascii="arial" w:eastAsia="arial" w:hAnsi="arial" w:cs="arial"/>
            <w:i/>
            <w:color w:val="0077CC"/>
            <w:sz w:val="20"/>
            <w:u w:val="single"/>
            <w:shd w:val="clear" w:color="auto" w:fill="FFFFFF"/>
            <w:lang w:val="en-US" w:eastAsia="en-US" w:bidi="ar-SA"/>
          </w:rPr>
          <w:t>[1991] B.C.J. No. 995</w:t>
        </w:r>
      </w:hyperlink>
      <w:r>
        <w:rPr>
          <w:rFonts w:ascii="arial" w:eastAsia="arial" w:hAnsi="arial" w:cs="arial"/>
          <w:color w:val="000000"/>
          <w:sz w:val="20"/>
          <w:lang w:val="en-US" w:eastAsia="en-US" w:bidi="ar-SA"/>
        </w:rPr>
        <w:t xml:space="preserve"> (B.C.S.C.). Master Patterson denied an application by the defendant against whom liability had been found to add new defences of volenti non fit injuria, ex turpi causa oritur actio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both these cases the amendments, if allowed, could have reduced the quantum of, or conceivably eliminated, the defendants' liability. In both cases the amendments were refused even though quantum remained to be determined. The bifurcated nature of the proceedings did not overcome the principle which I conclude underlies these cases. It is that a defendant's opportunity to amend a Statement of Defence so as to reduce liability by apportioning it to another party ends with a finding of liability against that defendant, where such a pleading will prejudice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authorities relied on by Mr. Margetts are distinguishable. In Andreas Pizza Mill Ltd. v. Sovereign General Insurance Co. </w:t>
      </w:r>
      <w:hyperlink r:id="rId885" w:history="1">
        <w:r>
          <w:rPr>
            <w:rFonts w:ascii="arial" w:eastAsia="arial" w:hAnsi="arial" w:cs="arial"/>
            <w:i/>
            <w:color w:val="0077CC"/>
            <w:sz w:val="20"/>
            <w:u w:val="single"/>
            <w:shd w:val="clear" w:color="auto" w:fill="FFFFFF"/>
            <w:lang w:val="en-US" w:eastAsia="en-US" w:bidi="ar-SA"/>
          </w:rPr>
          <w:t>(1996), 28 B.C.L.R. (3d) 175</w:t>
        </w:r>
      </w:hyperlink>
      <w:r>
        <w:rPr>
          <w:rFonts w:ascii="arial" w:eastAsia="arial" w:hAnsi="arial" w:cs="arial"/>
          <w:color w:val="000000"/>
          <w:sz w:val="20"/>
          <w:lang w:val="en-US" w:eastAsia="en-US" w:bidi="ar-SA"/>
        </w:rPr>
        <w:t>, Madam Justice Morrison declined to strike out amendments to a Statement of Defence filed without leave after the issue of the meaning of the word "connected" in a burglar alarm warranty had been determined under Rule 18A. Andreas is not a case where, as here, the defendant's liability had been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McGowan v. 2829119 Manitoba Ltd., </w:t>
      </w:r>
      <w:hyperlink r:id="rId886" w:history="1">
        <w:r>
          <w:rPr>
            <w:rFonts w:ascii="arial" w:eastAsia="arial" w:hAnsi="arial" w:cs="arial"/>
            <w:i/>
            <w:color w:val="0077CC"/>
            <w:sz w:val="20"/>
            <w:u w:val="single"/>
            <w:shd w:val="clear" w:color="auto" w:fill="FFFFFF"/>
            <w:lang w:val="en-US" w:eastAsia="en-US" w:bidi="ar-SA"/>
          </w:rPr>
          <w:t>[1997] M.J. No. 453</w:t>
        </w:r>
      </w:hyperlink>
      <w:r>
        <w:rPr>
          <w:rFonts w:ascii="arial" w:eastAsia="arial" w:hAnsi="arial" w:cs="arial"/>
          <w:color w:val="000000"/>
          <w:sz w:val="20"/>
          <w:lang w:val="en-US" w:eastAsia="en-US" w:bidi="ar-SA"/>
        </w:rPr>
        <w:t xml:space="preserve"> (Man. C.A.), is a case where the Court of Appeal allowed an appeal on the basis that the appellant (defendant) could raise a defence not pleaded in the trial court on a retrial. The finding of liability was set aside to permit the new defence to be raised at a new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McGowan does not address the issue of a trial court permitting new defences after a finding of liability. If anything, it supports the proposition that once an order has been entered in a trial court determining liability only the Court of Appeal can amend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That was the conclusion reached by Mr. Justice MacDonald in Transco Mills Ltd. v. Louie, </w:t>
      </w:r>
      <w:hyperlink r:id="rId887" w:history="1">
        <w:r>
          <w:rPr>
            <w:rFonts w:ascii="arial" w:eastAsia="arial" w:hAnsi="arial" w:cs="arial"/>
            <w:i/>
            <w:color w:val="0077CC"/>
            <w:sz w:val="20"/>
            <w:u w:val="single"/>
            <w:shd w:val="clear" w:color="auto" w:fill="FFFFFF"/>
            <w:lang w:val="en-US" w:eastAsia="en-US" w:bidi="ar-SA"/>
          </w:rPr>
          <w:t>[1976] B.C.J. No. 156</w:t>
        </w:r>
      </w:hyperlink>
      <w:r>
        <w:rPr>
          <w:rFonts w:ascii="arial" w:eastAsia="arial" w:hAnsi="arial" w:cs="arial"/>
          <w:color w:val="000000"/>
          <w:sz w:val="20"/>
          <w:lang w:val="en-US" w:eastAsia="en-US" w:bidi="ar-SA"/>
        </w:rPr>
        <w:t xml:space="preserve"> (B.C.S.C.). At trial, the defendant applied to amend his Statement of Defence to include the Statute of Frauds. The plaintiff opposed the amendment and MacDonald J. reserved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MacDonald J. gave effect to a defence based on the Statute of Frauds, effectively granting the amendment, but dismissed the action without expressly ruling on the application to amend. MacDonald J. was later asked to amend or vary the final judgment to reflect his decision to grant leave to amend the Statement of Defence, that is "to make now an order I intended to make", as he put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Even though the order sought would not alter the judgment in any way, MacDonald J. held that in light of the entry of the final order he was functus officio and that the Court of Appeal on the pending appeal had power to grant leave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present case, unlike Transco, the trial has not concluded and this court is not yet functus officio.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noted above, paragraphs 2(a), 3, 4 and 9 of the 2005 Statement of Defence respond to amendments in the Amended Amended Statement of Claim added by the order of July 22, 2005. Those in paragraphs 7, 8 and 12 do not, and arguably conflict with the principle reflected in the Haley and Ingenhaag cases. That is, they would permit the defendants found liable to argue some apportionment of liability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However, Mr. Lott does not assert the plaintiffs will be prejudiced if the 2005 Statement of Defence is allowed to stand in respect of the four defendants against whom judgment has been entered.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I understand Mr. Lott's position, he does not oppose the 2005 Statement of Defence constituting the Statement of Defence of the defendants added by the order of July 22,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would be anomalous if the defendants added by the order of July 22, 2005 could rely on the 2005 Statement of Defence and the defendants found liable could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grant leave to the defendants found liable and B &amp; D Enterprises Ltd. to amend their Statement of Defence filed August 19, 2004 to conform with the 2005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2005 Statement of Defence also stands as that of the defendants added by the order of July 22,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grant the plaintiffs leave to file a Reply in response to the 2005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APPLICATION FOR AN ORDER TO SELL FURTHER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not disputed that money Oldroyd held in trust for the plaintiffs was used by him to acquire real property owned by him through the defendant companies he controlled or to pay property taxes or mortgages on those properties. The effect of the entry of judgment against Oldroyd, Cody Whyac and the numbered companies was to give the plaintiffs standing as judgment creditors to apply to sell properties registered in their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Although judgment has not been entered against the defendant B &amp; D Enterprises Ltd., the property registered in its name has, by agreement, been listed for sale. Mr. Margetts, as counsel for the numbered companies, does not object to an order for the sale of the properties registered in their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Agreement that these properties be sold under court order in these proceedings indicates that the defendants recognize sale of these properties is inevitable to satisfy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Lott applies under Rule 43(1) for an order for the sale of the remaining Ucluelet properties mentioned in the Statement of Claim, to be conducted by him and Ms. Brown, on the basis such sales are both "necessary and expedient".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three most valuable properties, together worth perhaps $1 million, are waterfront lots in Ucluelet registered in the name of Cody Whyac which is owned 45% each by the two Oldroyd defendants, and the balance by their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Oldroyd used money from the Wilson estate to purchase the Ucluelet hotel registered in the name of B &amp; D Enterprises Ltd., then mortgaged the hotel and used the mortgage proceeds to pay off mortgages on the three Cody Whyac properties which were under foreclosure.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Lott argues that the Wilson estate will recover its money from these properties as it will from the sale proceeds of the hotel and that it is inconceivable that the three properties will remain in the name of Cody Whyac in trust for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Brown argued it is possible Evelyn Oldroyd might be able to pay her portion of liability as a Cody Whyac shareholder in respect of these three properties without sale of the properties. That does not fully answer Mr. Lott's point that the Wilson estate will recover at least part of its money, which is traceable into the Cody Whyac properties, only from a sale of those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Margetts argued there could be tax consequences for Cody Whyac on the sale of these properties which could reduce the prospective recovery of the plaintiffs and ought to be considered before a sale is ordered. He argues further there will be no prejudice to the plaintiffs if an order for sale is postponed in what appears to be a rising market in Ucluelet.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If Mr. Margetts can persuade the plaintiffs either of these points have merit, then presumably they will not proceed with the sale, even if granted an order for sale of the Cody Whyac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court will have to approve any sale. If any offer to purchase is low in light of market conditions, or inopportune because of tax consequences, the issue of the appropriateness of the offer can be addressed when court approval of sale is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Liability has been determined. There has been no assertion by counsel at any of the numerous case management conferences that Oldroyd or the corporate defendants he controls can meet that liability without sale of the properties which received trust funds. The expeditious resolution of this litigation will be best served if the process of sale of these properties is begun now and not later once the quantum aspect of the case is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see no principled distinction between the sale of the properties registered in the names of the numbered companies and B &amp; D Enterprises Ltd., which it is agreed should be sold, and those registered in the name of Cody Whyac or other corporate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therefore grant the plaintiffs' application for sale of the properties listed in paragraph 5(a) to (k) of their Notice of Motion dated September 15, 2005, on the terms proposed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E.R.A. EDWARDS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89" style="position:absolute;z-index:2519050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8"/>
          <w:headerReference w:type="default" r:id="rId889"/>
          <w:footerReference w:type="even" r:id="rId890"/>
          <w:footerReference w:type="default" r:id="rId891"/>
          <w:headerReference w:type="first" r:id="rId892"/>
          <w:footerReference w:type="first" r:id="rId8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4" w:history="1">
        <w:r>
          <w:rPr>
            <w:rFonts w:ascii="arial" w:eastAsia="arial" w:hAnsi="arial" w:cs="arial"/>
            <w:b/>
            <w:bCs/>
            <w:i/>
            <w:color w:val="0077CC"/>
            <w:kern w:val="32"/>
            <w:sz w:val="28"/>
            <w:szCs w:val="32"/>
            <w:u w:val="single"/>
            <w:shd w:val="clear" w:color="auto" w:fill="FFFFFF"/>
            <w:lang w:val="en-US" w:eastAsia="en-US" w:bidi="ar-SA"/>
          </w:rPr>
          <w:t>Sofiak v. British Columbia (Workers' Compensation Board), [2001] B.C.J. No. 2313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Beames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53426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2313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1511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A.C.W.S. (3d) 542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Thomas William Sofiak and Laudalina Dejesus Sofiak, plaintiffs, and Workers' Compensation Board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90"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2" w:name="Keywords_48"/>
      <w:bookmarkEnd w:id="312"/>
      <w:r>
        <w:rPr>
          <w:rFonts w:ascii="arial" w:eastAsia="arial" w:hAnsi="arial" w:cs="arial"/>
          <w:b/>
          <w:color w:val="000000"/>
          <w:sz w:val="20"/>
          <w:lang w:val="en-US" w:eastAsia="en-US" w:bidi="ar-SA"/>
        </w:rPr>
        <w:t>Workers' compensation — Practice — Appeals to the courts — Privative clauses — Pleadings — Striking out pleadings — Grounds, failure to disclose a cause of action or defence — With leave to amend.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3" w:name="Case Summary_36"/>
            <w:bookmarkEnd w:id="3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British Columbia Workers' Compensation Board for an order striking out the statement of claim of Sofiak because it did not disclose a reasonable cause of action. Sofiak commenced this action to challenge the Board's decision regarding his claim for benefits. He prepared the statement of claim himself because he could not afford a lawyer. The Board acknowledged that Sofiak had the right to review its decision. However, this review had to be initiated pursuant to the Judicial Review Procedure Act. The Act also applied because of the privative clause in the Workers' Compensation Act. The Board also argued that Sofiak could not make a claim for damages in relation to the Board's exercise of its powers.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4" w:name="Holdings of Court_31"/>
            <w:bookmarkEnd w:id="314"/>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statement of claim had to be amended because of the Board's submissions. Sofiak was given 30 days to amend the statement of claim to bring it within the Act. The amendments had to reflect his true claim against the Board that emerged from his reply and oral submissions.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5" w:name="Legislation Cited_40"/>
      <w:bookmarkEnd w:id="3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91"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2(3), 19(1), 19(24),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R.S.B.C. 1996, c. 492, s. 96.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6" w:name="Counsel_48"/>
      <w:bookmarkEnd w:id="3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92"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 Blanchette, for the plaintiffs, T.W. Sofiak and L.D. Sofiak. S.A. Nielsen, for the defendant, Workers' Compensation Board.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7" w:name="Judgment_48"/>
      <w:bookmarkEnd w:id="317"/>
      <w:r>
        <w:pict>
          <v:line id="_x0000_s1293" style="position:absolute;z-index:2518620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8" w:name="BEAMES J."/>
            <w:bookmarkEnd w:id="318"/>
            <w:r>
              <w:rPr>
                <w:rFonts w:ascii="arial" w:eastAsia="arial" w:hAnsi="arial" w:cs="arial"/>
                <w:b/>
                <w:color w:val="000000"/>
                <w:sz w:val="30"/>
                <w:lang w:val="en-US" w:eastAsia="en-US" w:bidi="ar-SA"/>
              </w:rPr>
              <w:t>BEAMES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Workers' Compensation Board of British Columbia, has applied for an order that the plaintiffs' Statement of Claim be struck out on the grounds that it discloses no reasonable claim, pursuant to Rule 19(24)(a). The defendant's position is that the plaintiffs seek to challenge decisions made by the defendant concerning the claims of Mr. Sofiak to compensation benefits, and also seek to challenge the process by which the decisions were made. The defendant acknowledges that the plaintiffs do have a right to have the defendant's decisions and actions reviewed by this court, but says that such a review must be initiated pursuant to the Judicial Review Procedure Act,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The defendant also alleges that the plaintiffs cannot maintain an action for damages against it in relation to its exercise of judicial or quasi-judicial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oppose the defendant's application to have the Statement of Claim struck. Mr. Blanchette, who I understand is not a lawyer nor legally trained, submitted on behalf of the plaintiffs that the Statement of Claim should not be struck merely on the grounds that the application should have been brought in the form of a petition rather than a writ and statement of claim, relying on Rule 2(3), and further submitted that a judicial review would be inadequate to address all of the remedies sought by the plaintiffs. As framed by Mr. Blanchette in his written submission, the entirety of which I have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judicial review is limited to challenging the exercise of statutory powers. This action seeks remedy beyond the Board's right of authority. This proceeding questions the intent behind the conduct of the Board and the legality of such actions. We are asking this court to determine whether;</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fulfilled its mandate under the Act?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made consistent with the Act?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Elements of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duty exist?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error of law can be established?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element of "bad faith" can be established?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Sofiak was wrongfully denied benefits?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this could have been prevented and has additional injury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Cooper v. the Board of Works (1863), 14 CBNS 180 the courts establish that a judicial review is part of an action for damages. Cause of action and a right to damages can be sought if the plaintiff can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intentional wrongdoing or a failure to perform ones duties.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being a failure to exercise the care towards others which a reasonable or prudent person would do in the same circumstances.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must establish that the Board had a duty to the injured party and the actions or failure to act caused ("or proximately caused") foreseeable damages onto the plaintiffs. The Board is negligent and the consequences were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Returning specifically to the Statement of Claim, the allegations set out in the Statement of Claim are clearly related to issues concerning Mr. Sofiak's entitlement to Workers' Compensation benefits. Consequently, given the privative clause contained in the Workers' Compensation Act, R.S.B.C. 1996, c. 492, s. 96, any challenge must be brought within the provisions of the Judicial Review Procedure Act. Pursuant to the provisions of that Act, an application for judicial review must be brought by petition, and the petition must be supported by an affidavit setting out all of the facts relied upon. The grounds for the application for judicial review must also be stated. Mr. Sofiak is not out of time, and is not in any other way barred from commencing a proper judicial review proceeding. With respect to the matters alleged in the Statement of Claim, if Mr. Sofiak wishes to pursue a review of the defendant's decisions and actions, he must bring an action pursuant to the Judicial Review Procedure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Through their advocate, Mr. Blanchette, the plaintiffs submit that they have a claim against the defendant which goes beyond a judicial review. None of the allegations in the present Statement of Claim would support those submissions. However, there are particulars contained in the material prepared by Mr. Blanchette and allegations contained in the reply which was filed by the plaintiffs, which may support a cause of action independent of the application for judicial review. The types of allegations being made are in the nature of torts, including breach of a duty of care,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something that might be described as abuse of public office. If the plaintiffs intend to make such claims against the defendant, the pleadings must clearly set out the claims and, as required in Rule 19(1), must contain a statement in summary form of the material facts on which the party relies to support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Having reviewed all of the submissions and documents filed on behalf of the plaintiffs in this matter, I have concluded that the Statement of Claim cannot stand as presently drafted. The allegations which may support the cause of action asserted by the plaintiffs set out in the reply cannot be read into the Statement of Claim so as to enable the Statement of Claim to withstand the defendant's motion to have the Statement of Claim struck out. However, I accept that the plaintiffs are in difficult financial straits and that they have proceeded thus far, unfortunately, without the assistance of a lawyer. Under all of the circumstances of this case, I have determined that the plaintiffs should be given an opportunity to amend the Statement of Claim, to more properly set out what they say, in their reply and in the course of oral submissions, is the true nature of their claim against the defendant. They have 30 days to make that amendment. If no amendment has been made to the Statement of Claim within 30 days of today's date, the Statement of Claim will be struck out and the action dismissed. If the plaintiffs do file an amended Statement of Claim, the defendant is, of course, at liberty to apply again under Rule 19(24) if the amended Statement of Claim does not disclose a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clarity, if Mr. Sofiak wishes to challenge the decisions of the defendant with respect to his entitlement to compensation benefits, he must bring a separate action pursuant to the Judicial Review Procedure Act, and in compliance with that Act and the Rules. The within action will not be dismissed for a period of 30 days to permit the plaintiffs to amend the Statement of Claim, if they choose to do so, to properly claim other causes of action against the defendant. If they make no such amendments within 30 days from today's date, the plaintiffs' claim will be struck. If the plaintiffs do amend the Statement of Claim within the 30 days, the defendant is at liberty to apply to have the action struck if it takes the position that the amendments do not disclose a reasonable cause of action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will be entitled to its costs on Scale 3, excluding any disbursements related to having its counsel travel to Kelowna for the purpose of the hearing, payable as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BEAMES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94" style="position:absolute;z-index:25190604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McCartney v. Rawlins, [2000] B.C.J. No. 1340</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Modern Plastics Ltd. v. Stelmark Products Ltd., [2000] B.C.J. No. 780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Monaco v. Coquitlam (City), [2015] B.C.J. No. 2838</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MWH International, Inc. v. Lumbermens Mutual Casualty Co., [2006] B.C.J. No. 319</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Holdings Ltd. v. Canadian Imperial Bank of Commerce, [2005] B.C.J. No. 560</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Okihiro v. 572412 B.C. Ltd. (c.o.b. Hyde Mountain Golf Course), [2008] B.C.J. No. 1637</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Oxford Holdings Ltd. v. Peoples Trust Co., [2002] B.C.J. No. 1470</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Parkland Industries Ltd. v. Smart Gas and Auto Detailing Ltd., [2013] B.C.J. No. 1266</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Parmar Estate v. British Columbia, [2017] B.C.J. No. 262</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Patzer v. Hastings Entertainment Inc., [2010] B.C.J. No. 568</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Pope &amp; Talbot Ltd. v. British Columbia, [2009] B.C.J. No. 2492</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Richardson v. Vancouver (City), [2005] B.C.J. No. 738</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Royal Bank of Canada v. B.M.P. Global Distribution Inc., [2007] B.C.J. No. 2112</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Selaive v. Meyer Estate, [2005] B.C.J. No. 1210</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Sohal Estate v. Argitos, [2010] B.C.J. No. 1288</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3851 v. Homer Street Developments Limited Partnership, [2008] B.C.J. No. 2207</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Strohmaier v. British Columbia (Attorney General), [2018] B.C.J. No. 3239</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Stuart v. British Columbia College of Teachers, [2005] B.C.J. No. 989</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Ward v. W.S. Leasing Ltd., [2007] B.C.J. No. 1323</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Willson v. Angela Gibson Law Corp., [2008] B.C.J. No. 1514</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Zanetti v. Bonniehon Enterprises Ltd., [2002] B.C.J. No. 1906</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Asselin v. Petter, [2008] B.C.J. No. 2099</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Bader v. British Columbia (Minister of Public Safety), [2015] B.C.J. No. 885</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Bains v. Chatakanonda, [2018] B.C.J. No. 7101</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Bain v. Nanji, [2000] B.C.J. No. 429</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Bartley v. Buckley, [2005] B.C.J. No. 2903</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Bengtson v. Burnaby (City), [2000] B.C.J. No. 2910</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Bonavista Management Inc. v. Absolute Star Design Ltd., [2015] B.C.J. No. 1226</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B.P.D. v. Canada (Minister of Indian Affairs), [2004] B.C.J. No. 2087</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Brown v. Lolly, [2002] B.C.J. No. 2762</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Cardozo v. Becton, Dickinson and Co., [2005] B.C.J. No. 2683</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Clark v. Royal Oak Holdings Ltd., [2003] B.C.J. No. 468</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Cliff v. Dahl, [2012] B.C.J. No. 501</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Cosway v. Boorman's Investment Co. Ltd., Owen-Flood, Ge and Ge, 2008 BREG para. 50,524</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Davidson v. Kokanee Park Marine Ltd., [2001] B.C.J. No. 633</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Gamble v. Canada (Attorney General), [2011] B.C.J. No. 2382</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Gemex Developments Corp. v. Sekora, [2011] B.C.J. No. 440</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Grant v. Warman, [2008] B.C.J. No. 2360</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Ilyas v. Luu, [2007] B.C.J. No. 2857</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Kent v. Oliver, [2000] B.C.J. No. 1558</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Krushel (Guardian ad litem of) v. Ward, [2000] B.C.J. No. 1440</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Lavalee v. Bristol Management, [2005] B.C.J. No. 2601</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Lee Estate v. Royal Pacific Realty Corp., [2003] B.C.J. No. 1393</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Lehtonen v. Marasco, [2008] B.C.J. No. 2592</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MacMillan v. Kaiser Equipment Ltd., [2003] B.C.J. No. 1006</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Owimar v. Warnett, [2018] B.C.J. No. 7007</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Parsons v. Finch, [2007] B.C.J. No. 68</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Pryde (Re), [2008] B.C.J. No. 2001</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Shaw Estate v. Oldroyd, [2005] B.C.J. No. 2383</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Sofiak v. British Columbia (Workers' Compensation Board), [2001] B.C.J. No. 2313</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2"/>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0"/>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4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v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v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6"/>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7"/>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8"/>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0"/>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1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16"/>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17"/>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1"/>
      <w:numFmt w:val="lowerRoman"/>
      <w:lvlText w:val="(%1)"/>
      <w:lvlJc w:val="left"/>
      <w:pPr>
        <w:tabs>
          <w:tab w:val="num" w:pos="1480"/>
        </w:tabs>
        <w:ind w:left="148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5"/>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1"/>
      <w:numFmt w:val="decimal"/>
      <w:lvlText w:val="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1"/>
      <w:numFmt w:val="decimal"/>
      <w:lvlText w:val="v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1"/>
      <w:numFmt w:val="decimal"/>
      <w:lvlText w:val="v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1"/>
      <w:numFmt w:val="decimal"/>
      <w:lvlText w:val="v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1"/>
      <w:numFmt w:val="decimal"/>
      <w:lvlText w:val="ix."/>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4EF60F"/>
    <w:multiLevelType w:val="multilevel"/>
    <w:tmpl w:val="00000001"/>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25981B2"/>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9BC62F2"/>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1F492499"/>
    <w:multiLevelType w:val="multilevel"/>
    <w:tmpl w:val="00000001"/>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233FC5E6"/>
    <w:multiLevelType w:val="multilevel"/>
    <w:tmpl w:val="00000001"/>
    <w:lvl w:ilvl="0">
      <w:start w:val="1"/>
      <w:numFmt w:val="decimal"/>
      <w:lvlText w:val="(29.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2CD41C3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2FE7B13B"/>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31F02B3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326A0991"/>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342358FD"/>
    <w:multiLevelType w:val="multilevel"/>
    <w:tmpl w:val="00000001"/>
    <w:lvl w:ilvl="0">
      <w:start w:val="7"/>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3ABBC8EE"/>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3FED4A9F"/>
    <w:multiLevelType w:val="multilevel"/>
    <w:tmpl w:val="00000001"/>
    <w:lvl w:ilvl="0">
      <w:start w:val="17"/>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4159A0D1"/>
    <w:multiLevelType w:val="multilevel"/>
    <w:tmpl w:val="0000000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41685BA1"/>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4477510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4615CA0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47723350"/>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49E8140E"/>
    <w:multiLevelType w:val="multilevel"/>
    <w:tmpl w:val="00000001"/>
    <w:lvl w:ilvl="0">
      <w:start w:val="1"/>
      <w:numFmt w:val="upp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49F92010"/>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4C7C4A4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517104BD"/>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52B5BA3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5BC1A2D4"/>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5EAB016D"/>
    <w:multiLevelType w:val="multilevel"/>
    <w:tmpl w:val="00000001"/>
    <w:lvl w:ilvl="0">
      <w:start w:val="1"/>
      <w:numFmt w:val="decimal"/>
      <w:lvlText w:val="3(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614801E0"/>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669F9F7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671D5EB7"/>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67ABD8C4"/>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6D884593"/>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6FE98737"/>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717830FC"/>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72961CD0"/>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79623E3F"/>
    <w:multiLevelType w:val="multilevel"/>
    <w:tmpl w:val="00000001"/>
    <w:lvl w:ilvl="0">
      <w:start w:val="1"/>
      <w:numFmt w:val="decimal"/>
      <w:lvlText w:val="5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7985A2BB"/>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7D3F8AAC"/>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7DA8CDD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78"/>
  </w:num>
  <w:num w:numId="166">
    <w:abstractNumId w:val="177"/>
  </w:num>
  <w:num w:numId="167">
    <w:abstractNumId w:val="189"/>
  </w:num>
  <w:num w:numId="168">
    <w:abstractNumId w:val="181"/>
  </w:num>
  <w:num w:numId="169">
    <w:abstractNumId w:val="166"/>
  </w:num>
  <w:num w:numId="170">
    <w:abstractNumId w:val="188"/>
  </w:num>
  <w:num w:numId="171">
    <w:abstractNumId w:val="167"/>
  </w:num>
  <w:num w:numId="172">
    <w:abstractNumId w:val="194"/>
  </w:num>
  <w:num w:numId="173">
    <w:abstractNumId w:val="198"/>
  </w:num>
  <w:num w:numId="174">
    <w:abstractNumId w:val="175"/>
  </w:num>
  <w:num w:numId="175">
    <w:abstractNumId w:val="179"/>
  </w:num>
  <w:num w:numId="176">
    <w:abstractNumId w:val="171"/>
  </w:num>
  <w:num w:numId="177">
    <w:abstractNumId w:val="191"/>
  </w:num>
  <w:num w:numId="178">
    <w:abstractNumId w:val="190"/>
  </w:num>
  <w:num w:numId="179">
    <w:abstractNumId w:val="176"/>
  </w:num>
  <w:num w:numId="180">
    <w:abstractNumId w:val="193"/>
  </w:num>
  <w:num w:numId="181">
    <w:abstractNumId w:val="173"/>
  </w:num>
  <w:num w:numId="182">
    <w:abstractNumId w:val="168"/>
  </w:num>
  <w:num w:numId="183">
    <w:abstractNumId w:val="187"/>
  </w:num>
  <w:num w:numId="184">
    <w:abstractNumId w:val="170"/>
  </w:num>
  <w:num w:numId="185">
    <w:abstractNumId w:val="165"/>
  </w:num>
  <w:num w:numId="186">
    <w:abstractNumId w:val="185"/>
  </w:num>
  <w:num w:numId="187">
    <w:abstractNumId w:val="197"/>
  </w:num>
  <w:num w:numId="188">
    <w:abstractNumId w:val="164"/>
  </w:num>
  <w:num w:numId="189">
    <w:abstractNumId w:val="174"/>
  </w:num>
  <w:num w:numId="190">
    <w:abstractNumId w:val="196"/>
  </w:num>
  <w:num w:numId="191">
    <w:abstractNumId w:val="183"/>
  </w:num>
  <w:num w:numId="192">
    <w:abstractNumId w:val="172"/>
  </w:num>
  <w:num w:numId="193">
    <w:abstractNumId w:val="169"/>
  </w:num>
  <w:num w:numId="194">
    <w:abstractNumId w:val="199"/>
  </w:num>
  <w:num w:numId="195">
    <w:abstractNumId w:val="184"/>
  </w:num>
  <w:num w:numId="196">
    <w:abstractNumId w:val="195"/>
  </w:num>
  <w:num w:numId="197">
    <w:abstractNumId w:val="192"/>
  </w:num>
  <w:num w:numId="198">
    <w:abstractNumId w:val="186"/>
  </w:num>
  <w:num w:numId="199">
    <w:abstractNumId w:val="182"/>
  </w:num>
  <w:num w:numId="200">
    <w:abstractNumId w:val="18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71-F81W-22BW-00000-00&amp;context=" TargetMode="External" /><Relationship Id="rId100" Type="http://schemas.openxmlformats.org/officeDocument/2006/relationships/hyperlink" Target="https://advance.lexis.com/api/document?collection=cases-ca&amp;id=urn:contentItem:5F8T-N3V1-FC1F-M44Y-00000-00&amp;context=" TargetMode="External" /><Relationship Id="rId101" Type="http://schemas.openxmlformats.org/officeDocument/2006/relationships/hyperlink" Target="https://advance.lexis.com/api/document?collection=cases-ca&amp;id=urn:contentItem:5F8T-N3T1-JGHR-M1TY-00000-00&amp;context=" TargetMode="External" /><Relationship Id="rId102" Type="http://schemas.openxmlformats.org/officeDocument/2006/relationships/header" Target="header13.xml" /><Relationship Id="rId103" Type="http://schemas.openxmlformats.org/officeDocument/2006/relationships/header" Target="header14.xml" /><Relationship Id="rId104" Type="http://schemas.openxmlformats.org/officeDocument/2006/relationships/footer" Target="footer13.xml" /><Relationship Id="rId105" Type="http://schemas.openxmlformats.org/officeDocument/2006/relationships/footer" Target="footer14.xml" /><Relationship Id="rId106" Type="http://schemas.openxmlformats.org/officeDocument/2006/relationships/header" Target="header15.xml" /><Relationship Id="rId107" Type="http://schemas.openxmlformats.org/officeDocument/2006/relationships/footer" Target="footer15.xml" /><Relationship Id="rId108" Type="http://schemas.openxmlformats.org/officeDocument/2006/relationships/hyperlink" Target="https://advance.lexis.com/api/document?collection=cases-ca&amp;id=urn:contentItem:5F7T-S7D1-DY89-M47F-00000-00&amp;context=" TargetMode="External" /><Relationship Id="rId109" Type="http://schemas.openxmlformats.org/officeDocument/2006/relationships/hyperlink" Target="https://advance.lexis.com/api/document?collection=cases-ca&amp;id=urn:contentItem:5F8T-N3V1-JF75-M3SJ-00000-00&amp;context=" TargetMode="External" /><Relationship Id="rId11" Type="http://schemas.openxmlformats.org/officeDocument/2006/relationships/hyperlink" Target="https://advance.lexis.com/api/document?collection=legislation-ca&amp;id=urn:contentItem:5F41-1FH1-F361-M0GS-00000-00&amp;context=" TargetMode="External" /><Relationship Id="rId110" Type="http://schemas.openxmlformats.org/officeDocument/2006/relationships/hyperlink" Target="https://advance.lexis.com/api/document?collection=cases-ca&amp;id=urn:contentItem:5F7T-S751-JBM1-M2J0-00000-00&amp;context=" TargetMode="External" /><Relationship Id="rId111" Type="http://schemas.openxmlformats.org/officeDocument/2006/relationships/hyperlink" Target="https://advance.lexis.com/api/document?collection=cases-ca&amp;id=urn:contentItem:5F8T-N3P1-FC6N-X189-00000-00&amp;context=" TargetMode="External" /><Relationship Id="rId112" Type="http://schemas.openxmlformats.org/officeDocument/2006/relationships/hyperlink" Target="https://advance.lexis.com/api/document?collection=cases-ca&amp;id=urn:contentItem:5F7T-S7H1-JFKM-626B-00000-00&amp;context=" TargetMode="External" /><Relationship Id="rId113" Type="http://schemas.openxmlformats.org/officeDocument/2006/relationships/hyperlink" Target="https://advance.lexis.com/api/document?collection=cases-ca&amp;id=urn:contentItem:5F8T-N3S1-JBDT-B02N-00000-00&amp;context=" TargetMode="External" /><Relationship Id="rId114" Type="http://schemas.openxmlformats.org/officeDocument/2006/relationships/hyperlink" Target="https://advance.lexis.com/api/document?collection=cases-ca&amp;id=urn:contentItem:5F81-VJV1-F8D9-M0GP-00000-00&amp;context=" TargetMode="External" /><Relationship Id="rId115" Type="http://schemas.openxmlformats.org/officeDocument/2006/relationships/hyperlink" Target="https://advance.lexis.com/api/document?collection=cases-ca&amp;id=urn:contentItem:5F8T-N3R1-JJSF-22Y3-00000-00&amp;context=" TargetMode="External" /><Relationship Id="rId116" Type="http://schemas.openxmlformats.org/officeDocument/2006/relationships/header" Target="header16.xml" /><Relationship Id="rId117" Type="http://schemas.openxmlformats.org/officeDocument/2006/relationships/header" Target="header17.xml" /><Relationship Id="rId118" Type="http://schemas.openxmlformats.org/officeDocument/2006/relationships/footer" Target="footer16.xml" /><Relationship Id="rId119" Type="http://schemas.openxmlformats.org/officeDocument/2006/relationships/footer" Target="footer17.xml" /><Relationship Id="rId12" Type="http://schemas.openxmlformats.org/officeDocument/2006/relationships/hyperlink" Target="https://advance.lexis.com/api/document?collection=cases-ca&amp;id=urn:contentItem:5F7T-S741-F1H1-21CC-00000-00&amp;context=" TargetMode="External" /><Relationship Id="rId120" Type="http://schemas.openxmlformats.org/officeDocument/2006/relationships/header" Target="header18.xml" /><Relationship Id="rId121" Type="http://schemas.openxmlformats.org/officeDocument/2006/relationships/footer" Target="footer18.xml" /><Relationship Id="rId122" Type="http://schemas.openxmlformats.org/officeDocument/2006/relationships/hyperlink" Target="https://advance.lexis.com/api/document?collection=cases-ca&amp;id=urn:contentItem:5F7T-S7H1-F4GK-M395-00000-00&amp;context=" TargetMode="External" /><Relationship Id="rId123" Type="http://schemas.openxmlformats.org/officeDocument/2006/relationships/hyperlink" Target="https://advance.lexis.com/api/document?collection=legislation-ca&amp;id=urn:contentItem:5F41-1FJ1-JKPJ-G0P9-00000-00&amp;context=" TargetMode="External" /><Relationship Id="rId124" Type="http://schemas.openxmlformats.org/officeDocument/2006/relationships/hyperlink" Target="https://advance.lexis.com/api/document?collection=cases-ca&amp;id=urn:contentItem:5F7T-S6Y1-JTNR-M4B7-00000-00&amp;context=" TargetMode="External" /><Relationship Id="rId125" Type="http://schemas.openxmlformats.org/officeDocument/2006/relationships/header" Target="header19.xml" /><Relationship Id="rId126" Type="http://schemas.openxmlformats.org/officeDocument/2006/relationships/header" Target="header20.xml" /><Relationship Id="rId127" Type="http://schemas.openxmlformats.org/officeDocument/2006/relationships/footer" Target="footer19.xml" /><Relationship Id="rId128" Type="http://schemas.openxmlformats.org/officeDocument/2006/relationships/footer" Target="footer20.xml" /><Relationship Id="rId129" Type="http://schemas.openxmlformats.org/officeDocument/2006/relationships/header" Target="header21.xml" /><Relationship Id="rId13" Type="http://schemas.openxmlformats.org/officeDocument/2006/relationships/header" Target="header4.xml" /><Relationship Id="rId130" Type="http://schemas.openxmlformats.org/officeDocument/2006/relationships/footer" Target="footer21.xml" /><Relationship Id="rId131" Type="http://schemas.openxmlformats.org/officeDocument/2006/relationships/hyperlink" Target="https://advance.lexis.com/api/document?collection=cases-ca&amp;id=urn:contentItem:5F7T-S791-FJTD-G300-00000-00&amp;context=" TargetMode="External" /><Relationship Id="rId132" Type="http://schemas.openxmlformats.org/officeDocument/2006/relationships/hyperlink" Target="https://advance.lexis.com/api/document?collection=legislation-ca&amp;id=urn:contentItem:5F41-1FM1-FJM6-61MX-00000-00&amp;context=" TargetMode="External" /><Relationship Id="rId133" Type="http://schemas.openxmlformats.org/officeDocument/2006/relationships/header" Target="header22.xml" /><Relationship Id="rId134" Type="http://schemas.openxmlformats.org/officeDocument/2006/relationships/header" Target="header23.xml" /><Relationship Id="rId135" Type="http://schemas.openxmlformats.org/officeDocument/2006/relationships/footer" Target="footer22.xml" /><Relationship Id="rId136" Type="http://schemas.openxmlformats.org/officeDocument/2006/relationships/footer" Target="footer23.xml" /><Relationship Id="rId137" Type="http://schemas.openxmlformats.org/officeDocument/2006/relationships/header" Target="header24.xml" /><Relationship Id="rId138" Type="http://schemas.openxmlformats.org/officeDocument/2006/relationships/footer" Target="footer24.xml" /><Relationship Id="rId139" Type="http://schemas.openxmlformats.org/officeDocument/2006/relationships/hyperlink" Target="https://advance.lexis.com/api/document?collection=cases-ca&amp;id=urn:contentItem:5F7T-S7N1-JW09-M0X2-00000-00&amp;context=" TargetMode="External" /><Relationship Id="rId14" Type="http://schemas.openxmlformats.org/officeDocument/2006/relationships/header" Target="header5.xml" /><Relationship Id="rId140" Type="http://schemas.openxmlformats.org/officeDocument/2006/relationships/hyperlink" Target="https://advance.lexis.com/api/document?collection=cases-ca&amp;id=urn:contentItem:5F7T-S7N1-JGHR-M38N-00000-00&amp;context=" TargetMode="External" /><Relationship Id="rId141" Type="http://schemas.openxmlformats.org/officeDocument/2006/relationships/hyperlink" Target="https://advance.lexis.com/api/document?collection=cases-ca&amp;id=urn:contentItem:5F7T-S6Y1-FJDY-X23K-00000-00&amp;context=" TargetMode="External" /><Relationship Id="rId142" Type="http://schemas.openxmlformats.org/officeDocument/2006/relationships/hyperlink" Target="https://advance.lexis.com/api/document?collection=cases-ca&amp;id=urn:contentItem:5F7T-S7D1-FFFC-B1DT-00000-00&amp;context=" TargetMode="External" /><Relationship Id="rId143" Type="http://schemas.openxmlformats.org/officeDocument/2006/relationships/hyperlink" Target="https://advance.lexis.com/api/document?collection=cases-ca&amp;id=urn:contentItem:5F7T-S7F1-FJTD-G3D8-00000-00&amp;context=" TargetMode="External" /><Relationship Id="rId144" Type="http://schemas.openxmlformats.org/officeDocument/2006/relationships/hyperlink" Target="https://advance.lexis.com/api/document?collection=cases-ca&amp;id=urn:contentItem:5F7T-S7D1-JG02-S2M6-00000-00&amp;context=" TargetMode="External" /><Relationship Id="rId145" Type="http://schemas.openxmlformats.org/officeDocument/2006/relationships/hyperlink" Target="https://advance.lexis.com/api/document?collection=cases-ca&amp;id=urn:contentItem:5F7T-S7M1-F4W2-61YR-00000-00&amp;context=" TargetMode="External" /><Relationship Id="rId146" Type="http://schemas.openxmlformats.org/officeDocument/2006/relationships/hyperlink" Target="https://advance.lexis.com/api/document?collection=cases-ca&amp;id=urn:contentItem:5F8T-N3T1-JJSF-23N5-00000-00&amp;context=" TargetMode="External" /><Relationship Id="rId147" Type="http://schemas.openxmlformats.org/officeDocument/2006/relationships/hyperlink" Target="https://advance.lexis.com/api/document?collection=cases-ca&amp;id=urn:contentItem:5F7T-S781-F06F-2408-00000-00&amp;context=" TargetMode="External" /><Relationship Id="rId148" Type="http://schemas.openxmlformats.org/officeDocument/2006/relationships/hyperlink" Target="https://advance.lexis.com/api/document?collection=cases-ca&amp;id=urn:contentItem:5F8T-N3V1-JFKM-6027-00000-00&amp;context=" TargetMode="External" /><Relationship Id="rId149" Type="http://schemas.openxmlformats.org/officeDocument/2006/relationships/hyperlink" Target="https://advance.lexis.com/api/document?collection=cases-ca&amp;id=urn:contentItem:5F7T-S7G1-JBT7-X46W-00000-00&amp;context=" TargetMode="External" /><Relationship Id="rId15" Type="http://schemas.openxmlformats.org/officeDocument/2006/relationships/footer" Target="footer4.xml" /><Relationship Id="rId150" Type="http://schemas.openxmlformats.org/officeDocument/2006/relationships/hyperlink" Target="https://advance.lexis.com/api/document?collection=cases-ca&amp;id=urn:contentItem:5F8T-N3V1-FC1F-M45T-00000-00&amp;context=" TargetMode="External" /><Relationship Id="rId151" Type="http://schemas.openxmlformats.org/officeDocument/2006/relationships/hyperlink" Target="https://advance.lexis.com/api/document?collection=cases-ca&amp;id=urn:contentItem:5F8T-N3V1-JF75-M3BN-00000-00&amp;context=" TargetMode="External" /><Relationship Id="rId152" Type="http://schemas.openxmlformats.org/officeDocument/2006/relationships/hyperlink" Target="https://advance.lexis.com/api/document?collection=cases-ca&amp;id=urn:contentItem:5F7T-S7J1-DXWW-255W-00000-00&amp;context=" TargetMode="External" /><Relationship Id="rId153" Type="http://schemas.openxmlformats.org/officeDocument/2006/relationships/hyperlink" Target="https://advance.lexis.com/api/document?collection=cases-ca&amp;id=urn:contentItem:5F7T-S781-JC5P-G1HX-00000-00&amp;context=" TargetMode="External" /><Relationship Id="rId154" Type="http://schemas.openxmlformats.org/officeDocument/2006/relationships/hyperlink" Target="https://advance.lexis.com/api/document?collection=cases-ca&amp;id=urn:contentItem:5F7T-S7J1-JGBH-B27Y-00000-00&amp;context=" TargetMode="External" /><Relationship Id="rId155" Type="http://schemas.openxmlformats.org/officeDocument/2006/relationships/hyperlink" Target="https://advance.lexis.com/api/document?collection=cases-ca&amp;id=urn:contentItem:5F7T-S781-F27X-61JT-00000-00&amp;context=" TargetMode="External" /><Relationship Id="rId156" Type="http://schemas.openxmlformats.org/officeDocument/2006/relationships/header" Target="header25.xml" /><Relationship Id="rId157" Type="http://schemas.openxmlformats.org/officeDocument/2006/relationships/header" Target="header26.xml" /><Relationship Id="rId158" Type="http://schemas.openxmlformats.org/officeDocument/2006/relationships/footer" Target="footer25.xml" /><Relationship Id="rId159" Type="http://schemas.openxmlformats.org/officeDocument/2006/relationships/footer" Target="footer26.xml" /><Relationship Id="rId16" Type="http://schemas.openxmlformats.org/officeDocument/2006/relationships/footer" Target="footer5.xml" /><Relationship Id="rId160" Type="http://schemas.openxmlformats.org/officeDocument/2006/relationships/header" Target="header27.xml" /><Relationship Id="rId161" Type="http://schemas.openxmlformats.org/officeDocument/2006/relationships/footer" Target="footer27.xml" /><Relationship Id="rId162" Type="http://schemas.openxmlformats.org/officeDocument/2006/relationships/hyperlink" Target="https://advance.lexis.com/api/document?collection=cases-ca&amp;id=urn:contentItem:5MXP-54B1-JJD0-G4BT-00000-00&amp;context=" TargetMode="External" /><Relationship Id="rId163" Type="http://schemas.openxmlformats.org/officeDocument/2006/relationships/hyperlink" Target="https://advance.lexis.com/api/document?collection=legislation-ca&amp;id=urn:contentItem:5VYK-47Y1-F06F-21ND-00000-00&amp;context=" TargetMode="External" /><Relationship Id="rId164" Type="http://schemas.openxmlformats.org/officeDocument/2006/relationships/hyperlink" Target="https://advance.lexis.com/api/document?collection=cases-ca&amp;id=urn:contentItem:5F7T-S6Y1-JF75-M3R7-00000-00&amp;context=" TargetMode="External" /><Relationship Id="rId165" Type="http://schemas.openxmlformats.org/officeDocument/2006/relationships/hyperlink" Target="https://advance.lexis.com/api/document?collection=cases-ca&amp;id=urn:contentItem:5F7T-S7K1-JWXF-210Y-00000-00&amp;context=" TargetMode="External" /><Relationship Id="rId166" Type="http://schemas.openxmlformats.org/officeDocument/2006/relationships/hyperlink" Target="https://advance.lexis.com/api/document?collection=cases-ca&amp;id=urn:contentItem:5F7T-S6W1-JB7K-21KC-00000-00&amp;context="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eader" Target="header6.xm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cases-ca&amp;id=urn:contentItem:5F7T-S7K1-JKHB-62MB-00000-00&amp;context=" TargetMode="External" /><Relationship Id="rId174" Type="http://schemas.openxmlformats.org/officeDocument/2006/relationships/hyperlink" Target="https://advance.lexis.com/api/document?collection=cases-ca&amp;id=urn:contentItem:5F7T-S7C1-F30T-B2GP-00000-00&amp;context=" TargetMode="External" /><Relationship Id="rId175" Type="http://schemas.openxmlformats.org/officeDocument/2006/relationships/hyperlink" Target="https://advance.lexis.com/api/document?collection=cases-ca&amp;id=urn:contentItem:5F8P-SCH1-FCK4-G3YS-00000-00&amp;context=" TargetMode="External" /><Relationship Id="rId176" Type="http://schemas.openxmlformats.org/officeDocument/2006/relationships/hyperlink" Target="https://advance.lexis.com/api/document?collection=cases-ca&amp;id=urn:contentItem:5F8T-N3V1-JTGH-B1F8-00000-00&amp;context=" TargetMode="External" /><Relationship Id="rId177" Type="http://schemas.openxmlformats.org/officeDocument/2006/relationships/hyperlink" Target="https://advance.lexis.com/api/document?collection=cases-ca&amp;id=urn:contentItem:5F16-9361-FK0M-S30R-00000-00&amp;context=" TargetMode="External" /><Relationship Id="rId178" Type="http://schemas.openxmlformats.org/officeDocument/2006/relationships/hyperlink" Target="https://advance.lexis.com/api/document?collection=cases-ca&amp;id=urn:contentItem:5F8P-SD81-JX8W-M4WP-00000-00&amp;context=" TargetMode="External" /><Relationship Id="rId179" Type="http://schemas.openxmlformats.org/officeDocument/2006/relationships/hyperlink" Target="https://advance.lexis.com/api/document?collection=cases-ca&amp;id=urn:contentItem:5F8T-N3N1-JWXF-24ST-00000-00&amp;context=" TargetMode="External" /><Relationship Id="rId18" Type="http://schemas.openxmlformats.org/officeDocument/2006/relationships/footer" Target="footer6.xml" /><Relationship Id="rId180" Type="http://schemas.openxmlformats.org/officeDocument/2006/relationships/hyperlink" Target="https://advance.lexis.com/api/document?collection=cases-ca&amp;id=urn:contentItem:5F16-93C1-JKHB-63S3-00000-00&amp;context=" TargetMode="External" /><Relationship Id="rId181" Type="http://schemas.openxmlformats.org/officeDocument/2006/relationships/hyperlink" Target="https://advance.lexis.com/api/document?collection=cases-ca&amp;id=urn:contentItem:5F7T-S751-JG02-S29T-00000-00&amp;context=" TargetMode="External" /><Relationship Id="rId182" Type="http://schemas.openxmlformats.org/officeDocument/2006/relationships/hyperlink" Target="https://advance.lexis.com/api/document?collection=cases-ca&amp;id=urn:contentItem:5F7T-S751-F361-M14J-00000-00&amp;context=" TargetMode="External" /><Relationship Id="rId183" Type="http://schemas.openxmlformats.org/officeDocument/2006/relationships/hyperlink" Target="https://advance.lexis.com/api/document?collection=cases-ca&amp;id=urn:contentItem:5F7T-S7H1-JS5Y-B2TC-00000-00&amp;context=" TargetMode="External" /><Relationship Id="rId184" Type="http://schemas.openxmlformats.org/officeDocument/2006/relationships/hyperlink" Target="https://advance.lexis.com/api/document?collection=cases-ca&amp;id=urn:contentItem:5F7T-S761-JS5Y-B1KW-00000-00&amp;context=" TargetMode="External" /><Relationship Id="rId185" Type="http://schemas.openxmlformats.org/officeDocument/2006/relationships/hyperlink" Target="https://advance.lexis.com/api/document?collection=cases-ca&amp;id=urn:contentItem:5F7T-S731-JNJT-B26G-00000-00&amp;context=" TargetMode="External" /><Relationship Id="rId186" Type="http://schemas.openxmlformats.org/officeDocument/2006/relationships/hyperlink" Target="https://advance.lexis.com/api/document?collection=cases-ca&amp;id=urn:contentItem:5F82-1SD1-FCK4-G356-00000-00&amp;context=" TargetMode="External" /><Relationship Id="rId187" Type="http://schemas.openxmlformats.org/officeDocument/2006/relationships/hyperlink" Target="https://advance.lexis.com/api/document?collection=cases-ca&amp;id=urn:contentItem:5F7T-S7G1-JWR6-S1RD-00000-00&amp;context=" TargetMode="External" /><Relationship Id="rId188" Type="http://schemas.openxmlformats.org/officeDocument/2006/relationships/header" Target="header31.xml" /><Relationship Id="rId189" Type="http://schemas.openxmlformats.org/officeDocument/2006/relationships/header" Target="header32.xml" /><Relationship Id="rId19" Type="http://schemas.openxmlformats.org/officeDocument/2006/relationships/hyperlink" Target="https://advance.lexis.com/api/document?collection=cases-ca&amp;id=urn:contentItem:5F7T-S771-JSJC-X0JY-00000-00&amp;context=" TargetMode="External" /><Relationship Id="rId190" Type="http://schemas.openxmlformats.org/officeDocument/2006/relationships/footer" Target="footer31.xml" /><Relationship Id="rId191" Type="http://schemas.openxmlformats.org/officeDocument/2006/relationships/footer" Target="footer32.xml" /><Relationship Id="rId192" Type="http://schemas.openxmlformats.org/officeDocument/2006/relationships/header" Target="header33.xml" /><Relationship Id="rId193" Type="http://schemas.openxmlformats.org/officeDocument/2006/relationships/footer" Target="footer33.xml" /><Relationship Id="rId194" Type="http://schemas.openxmlformats.org/officeDocument/2006/relationships/hyperlink" Target="https://advance.lexis.com/api/document?collection=cases-ca&amp;id=urn:contentItem:5F7T-S7J1-DXWW-24S4-00000-00&amp;context=" TargetMode="External" /><Relationship Id="rId195" Type="http://schemas.openxmlformats.org/officeDocument/2006/relationships/hyperlink" Target="https://advance.lexis.com/api/document?collection=legislation-ca&amp;id=urn:contentItem:5F41-1FN1-JB7K-21TF-00000-00&amp;context=" TargetMode="External" /><Relationship Id="rId196" Type="http://schemas.openxmlformats.org/officeDocument/2006/relationships/hyperlink" Target="https://advance.lexis.com/api/document?collection=legislation-ca&amp;id=urn:contentItem:5F41-1FN1-F5DR-20W8-00000-00&amp;context=" TargetMode="External" /><Relationship Id="rId197" Type="http://schemas.openxmlformats.org/officeDocument/2006/relationships/hyperlink" Target="https://advance.lexis.com/api/document?collection=cases-ca&amp;id=urn:contentItem:5F8T-N3S1-JT99-2530-00000-00&amp;context=" TargetMode="External" /><Relationship Id="rId198" Type="http://schemas.openxmlformats.org/officeDocument/2006/relationships/hyperlink" Target="https://advance.lexis.com/api/document?collection=cases-ca&amp;id=urn:contentItem:5F7T-S7B1-JSRM-602Y-00000-00&amp;context=" TargetMode="External" /><Relationship Id="rId199" Type="http://schemas.openxmlformats.org/officeDocument/2006/relationships/hyperlink" Target="https://advance.lexis.com/api/document?collection=cases-ca&amp;id=urn:contentItem:5F8T-N3V1-JTGH-B1BH-00000-00&amp;context=" TargetMode="Externa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hyperlink" Target="https://advance.lexis.com/api/document?collection=cases-ca&amp;id=urn:contentItem:5F8T-N3T1-JFKM-650S-00000-00&amp;context=" TargetMode="External" /><Relationship Id="rId201" Type="http://schemas.openxmlformats.org/officeDocument/2006/relationships/hyperlink" Target="https://advance.lexis.com/api/document?collection=cases-ca&amp;id=urn:contentItem:5F8T-N3V1-JF75-M3DS-00000-00&amp;context=" TargetMode="External" /><Relationship Id="rId202" Type="http://schemas.openxmlformats.org/officeDocument/2006/relationships/hyperlink" Target="https://advance.lexis.com/api/document?collection=cases-ca&amp;id=urn:contentItem:5F8T-N3V1-JF75-M3SR-00000-00&amp;context=" TargetMode="External" /><Relationship Id="rId203" Type="http://schemas.openxmlformats.org/officeDocument/2006/relationships/hyperlink" Target="https://advance.lexis.com/api/document?collection=cases-ca&amp;id=urn:contentItem:5F8T-N3V1-FC1F-M4FW-00000-00&amp;context=" TargetMode="External" /><Relationship Id="rId204" Type="http://schemas.openxmlformats.org/officeDocument/2006/relationships/hyperlink" Target="https://advance.lexis.com/api/document?collection=cases-ca&amp;id=urn:contentItem:5F8T-N3V1-FC1F-M3YP-00000-00&amp;context=" TargetMode="External" /><Relationship Id="rId205" Type="http://schemas.openxmlformats.org/officeDocument/2006/relationships/hyperlink" Target="https://advance.lexis.com/api/document?collection=cases-ca&amp;id=urn:contentItem:5F8T-N3V1-JTGH-B1F5-00000-00&amp;context=" TargetMode="External" /><Relationship Id="rId206" Type="http://schemas.openxmlformats.org/officeDocument/2006/relationships/hyperlink" Target="https://advance.lexis.com/api/document?collection=cases-ca&amp;id=urn:contentItem:5F8T-N3V1-JF75-M3GW-00000-00&amp;context=" TargetMode="External" /><Relationship Id="rId207" Type="http://schemas.openxmlformats.org/officeDocument/2006/relationships/hyperlink" Target="https://advance.lexis.com/api/document?collection=cases-ca&amp;id=urn:contentItem:5F8T-N3V1-JF75-M3TY-00000-00&amp;context=" TargetMode="External" /><Relationship Id="rId208" Type="http://schemas.openxmlformats.org/officeDocument/2006/relationships/hyperlink" Target="https://advance.lexis.com/api/document?collection=cases-ca&amp;id=urn:contentItem:5F8T-N3V1-JTGH-B0YP-00000-00&amp;context=" TargetMode="External" /><Relationship Id="rId209" Type="http://schemas.openxmlformats.org/officeDocument/2006/relationships/hyperlink" Target="https://advance.lexis.com/api/document?collection=cases-ca&amp;id=urn:contentItem:5F8T-N3S1-JBDT-B0B2-00000-00&amp;context=" TargetMode="External" /><Relationship Id="rId21" Type="http://schemas.openxmlformats.org/officeDocument/2006/relationships/header" Target="header8.xml" /><Relationship Id="rId210" Type="http://schemas.openxmlformats.org/officeDocument/2006/relationships/hyperlink" Target="https://advance.lexis.com/api/document?collection=cases-ca&amp;id=urn:contentItem:5F7T-S761-FGJR-22T3-00000-00&amp;context=" TargetMode="External" /><Relationship Id="rId211" Type="http://schemas.openxmlformats.org/officeDocument/2006/relationships/hyperlink" Target="https://advance.lexis.com/api/document?collection=cases-ca&amp;id=urn:contentItem:5F7T-S7J1-JYYX-6213-00000-00&amp;context=" TargetMode="External" /><Relationship Id="rId212" Type="http://schemas.openxmlformats.org/officeDocument/2006/relationships/hyperlink" Target="https://advance.lexis.com/api/document?collection=cases-ca&amp;id=urn:contentItem:5F7T-S7J1-FGCG-S09G-00000-00&amp;context=" TargetMode="External" /><Relationship Id="rId213" Type="http://schemas.openxmlformats.org/officeDocument/2006/relationships/hyperlink" Target="https://advance.lexis.com/api/document?collection=cases-ca&amp;id=urn:contentItem:5F7T-S7J1-JGBH-B2FT-00000-00&amp;context=" TargetMode="External" /><Relationship Id="rId214" Type="http://schemas.openxmlformats.org/officeDocument/2006/relationships/hyperlink" Target="https://advance.lexis.com/api/document?collection=cases-ca&amp;id=urn:contentItem:5F81-VJX1-JYYX-60C6-00000-00&amp;context=" TargetMode="External" /><Relationship Id="rId215" Type="http://schemas.openxmlformats.org/officeDocument/2006/relationships/hyperlink" Target="https://advance.lexis.com/api/document?collection=cases-ca&amp;id=urn:contentItem:5F7T-S7H1-JS5Y-B2YT-00000-00&amp;context=" TargetMode="External" /><Relationship Id="rId216" Type="http://schemas.openxmlformats.org/officeDocument/2006/relationships/hyperlink" Target="https://advance.lexis.com/api/document?collection=cases-ca&amp;id=urn:contentItem:5F81-VJX1-FGY5-M3CT-00000-00&amp;context=" TargetMode="External" /><Relationship Id="rId217" Type="http://schemas.openxmlformats.org/officeDocument/2006/relationships/hyperlink" Target="https://advance.lexis.com/api/document?collection=cases-ca&amp;id=urn:contentItem:5F7T-S711-F27X-60JJ-00000-00&amp;context=" TargetMode="External" /><Relationship Id="rId218" Type="http://schemas.openxmlformats.org/officeDocument/2006/relationships/hyperlink" Target="https://advance.lexis.com/api/document?collection=cases-ca&amp;id=urn:contentItem:5F7T-S791-JCJ5-24YK-00000-00&amp;context=" TargetMode="External" /><Relationship Id="rId219" Type="http://schemas.openxmlformats.org/officeDocument/2006/relationships/hyperlink" Target="https://advance.lexis.com/api/document?collection=cases-ca&amp;id=urn:contentItem:5F7T-S7H1-JFSV-G378-00000-00&amp;context=" TargetMode="External" /><Relationship Id="rId22" Type="http://schemas.openxmlformats.org/officeDocument/2006/relationships/footer" Target="footer7.xml" /><Relationship Id="rId220" Type="http://schemas.openxmlformats.org/officeDocument/2006/relationships/hyperlink" Target="https://advance.lexis.com/api/document?collection=cases-ca&amp;id=urn:contentItem:5F7T-S781-JSC5-M4FJ-00000-00&amp;context=" TargetMode="External" /><Relationship Id="rId221" Type="http://schemas.openxmlformats.org/officeDocument/2006/relationships/header" Target="header34.xml" /><Relationship Id="rId222" Type="http://schemas.openxmlformats.org/officeDocument/2006/relationships/header" Target="header35.xml" /><Relationship Id="rId223" Type="http://schemas.openxmlformats.org/officeDocument/2006/relationships/footer" Target="footer34.xml" /><Relationship Id="rId224" Type="http://schemas.openxmlformats.org/officeDocument/2006/relationships/footer" Target="footer35.xml" /><Relationship Id="rId225" Type="http://schemas.openxmlformats.org/officeDocument/2006/relationships/header" Target="header36.xml" /><Relationship Id="rId226" Type="http://schemas.openxmlformats.org/officeDocument/2006/relationships/footer" Target="footer36.xml" /><Relationship Id="rId227" Type="http://schemas.openxmlformats.org/officeDocument/2006/relationships/hyperlink" Target="https://advance.lexis.com/api/document?collection=cases-ca&amp;id=urn:contentItem:5F7T-S7D1-FC6N-X0DY-00000-00&amp;context=" TargetMode="External" /><Relationship Id="rId228" Type="http://schemas.openxmlformats.org/officeDocument/2006/relationships/hyperlink" Target="https://advance.lexis.com/api/document?collection=cases-ca&amp;id=urn:contentItem:5F7T-S761-JGHR-M2F2-00000-00&amp;context=" TargetMode="External" /><Relationship Id="rId229" Type="http://schemas.openxmlformats.org/officeDocument/2006/relationships/hyperlink" Target="https://advance.lexis.com/api/document?collection=cases-ca&amp;id=urn:contentItem:5F8T-N3T1-JGHR-M27N-00000-00&amp;context=" TargetMode="External" /><Relationship Id="rId23" Type="http://schemas.openxmlformats.org/officeDocument/2006/relationships/footer" Target="footer8.xml" /><Relationship Id="rId230" Type="http://schemas.openxmlformats.org/officeDocument/2006/relationships/hyperlink" Target="https://advance.lexis.com/api/document?collection=cases-ca&amp;id=urn:contentItem:5F8T-N3S1-JT99-24KY-00000-00&amp;context=" TargetMode="External" /><Relationship Id="rId231" Type="http://schemas.openxmlformats.org/officeDocument/2006/relationships/hyperlink" Target="https://advance.lexis.com/api/document?collection=cases-ca&amp;id=urn:contentItem:5F7T-S741-F1H1-21PF-00000-00&amp;context=" TargetMode="External" /><Relationship Id="rId232" Type="http://schemas.openxmlformats.org/officeDocument/2006/relationships/hyperlink" Target="https://advance.lexis.com/api/document?collection=cases-ca&amp;id=urn:contentItem:5F7T-S741-F528-G29H-00000-00&amp;context=" TargetMode="External" /><Relationship Id="rId233" Type="http://schemas.openxmlformats.org/officeDocument/2006/relationships/hyperlink" Target="https://advance.lexis.com/api/document?collection=cases-ca&amp;id=urn:contentItem:5F8T-N3S1-JBDT-B067-00000-00&amp;context=" TargetMode="External" /><Relationship Id="rId234" Type="http://schemas.openxmlformats.org/officeDocument/2006/relationships/hyperlink" Target="https://advance.lexis.com/api/document?collection=cases-ca&amp;id=urn:contentItem:5F81-VJV1-JSC5-M18D-00000-00&amp;context=" TargetMode="External" /><Relationship Id="rId235" Type="http://schemas.openxmlformats.org/officeDocument/2006/relationships/hyperlink" Target="https://advance.lexis.com/api/document?collection=cases-ca&amp;id=urn:contentItem:5F8T-N3V1-JFKM-609Y-00000-00&amp;context=" TargetMode="External" /><Relationship Id="rId236" Type="http://schemas.openxmlformats.org/officeDocument/2006/relationships/hyperlink" Target="https://advance.lexis.com/api/document?collection=cases-ca&amp;id=urn:contentItem:5F8T-N3V1-FC1F-M413-00000-00&amp;context=" TargetMode="External" /><Relationship Id="rId237" Type="http://schemas.openxmlformats.org/officeDocument/2006/relationships/hyperlink" Target="https://advance.lexis.com/api/document?collection=cases-ca&amp;id=urn:contentItem:5F7T-S7C1-F4NT-X32C-00000-00&amp;context=" TargetMode="External" /><Relationship Id="rId238" Type="http://schemas.openxmlformats.org/officeDocument/2006/relationships/hyperlink" Target="https://advance.lexis.com/api/document?collection=cases-ca&amp;id=urn:contentItem:5F7T-S7D1-DY89-M4BH-00000-00&amp;context=" TargetMode="External" /><Relationship Id="rId239" Type="http://schemas.openxmlformats.org/officeDocument/2006/relationships/hyperlink" Target="https://advance.lexis.com/api/document?collection=cases-ca&amp;id=urn:contentItem:5F7T-S6V1-JC0G-620Y-00000-00&amp;context=" TargetMode="External" /><Relationship Id="rId24" Type="http://schemas.openxmlformats.org/officeDocument/2006/relationships/header" Target="header9.xml" /><Relationship Id="rId240" Type="http://schemas.openxmlformats.org/officeDocument/2006/relationships/hyperlink" Target="https://advance.lexis.com/api/document?collection=cases-ca&amp;id=urn:contentItem:5F7T-S781-JSC5-M49F-00000-00&amp;context=" TargetMode="External" /><Relationship Id="rId241" Type="http://schemas.openxmlformats.org/officeDocument/2006/relationships/header" Target="header37.xml" /><Relationship Id="rId242" Type="http://schemas.openxmlformats.org/officeDocument/2006/relationships/header" Target="header38.xml" /><Relationship Id="rId243" Type="http://schemas.openxmlformats.org/officeDocument/2006/relationships/footer" Target="footer37.xml" /><Relationship Id="rId244" Type="http://schemas.openxmlformats.org/officeDocument/2006/relationships/footer" Target="footer38.xml" /><Relationship Id="rId245" Type="http://schemas.openxmlformats.org/officeDocument/2006/relationships/header" Target="header39.xml" /><Relationship Id="rId246" Type="http://schemas.openxmlformats.org/officeDocument/2006/relationships/footer" Target="footer39.xml" /><Relationship Id="rId247" Type="http://schemas.openxmlformats.org/officeDocument/2006/relationships/hyperlink" Target="https://advance.lexis.com/api/document?collection=cases-ca&amp;id=urn:contentItem:5F7T-S7G1-F5KY-B1G8-00000-00&amp;context=" TargetMode="External" /><Relationship Id="rId248" Type="http://schemas.openxmlformats.org/officeDocument/2006/relationships/hyperlink" Target="https://advance.lexis.com/api/document?collection=cases-ca&amp;id=urn:contentItem:5F7T-S7D1-FFFC-B11Y-00000-00&amp;context=" TargetMode="External" /><Relationship Id="rId249" Type="http://schemas.openxmlformats.org/officeDocument/2006/relationships/hyperlink" Target="https://advance.lexis.com/api/document?collection=legislation-ca&amp;id=urn:contentItem:5VYK-WB61-F22N-X4VP-00000-00&amp;context=" TargetMode="External" /><Relationship Id="rId25" Type="http://schemas.openxmlformats.org/officeDocument/2006/relationships/footer" Target="footer9.xml" /><Relationship Id="rId250" Type="http://schemas.openxmlformats.org/officeDocument/2006/relationships/hyperlink" Target="https://advance.lexis.com/api/document?collection=legislation-ca&amp;id=urn:contentItem:5VYK-WB31-F27X-6419-00000-00&amp;context=" TargetMode="External" /><Relationship Id="rId251" Type="http://schemas.openxmlformats.org/officeDocument/2006/relationships/hyperlink" Target="https://advance.lexis.com/api/document?collection=cases-ca&amp;id=urn:contentItem:5F7T-S7B1-JSRM-60JX-00000-00&amp;context=" TargetMode="External" /><Relationship Id="rId252" Type="http://schemas.openxmlformats.org/officeDocument/2006/relationships/hyperlink" Target="https://advance.lexis.com/api/document?collection=cases-ca&amp;id=urn:contentItem:5F7T-S7C1-FGRY-B0BG-00000-00&amp;context=" TargetMode="External" /><Relationship Id="rId253" Type="http://schemas.openxmlformats.org/officeDocument/2006/relationships/hyperlink" Target="https://advance.lexis.com/api/document?collection=cases-ca&amp;id=urn:contentItem:5F7T-S701-JJ6S-61TD-00000-00&amp;context=" TargetMode="External" /><Relationship Id="rId254" Type="http://schemas.openxmlformats.org/officeDocument/2006/relationships/hyperlink" Target="https://advance.lexis.com/api/document?collection=cases-ca&amp;id=urn:contentItem:5F8P-SBV1-DXWW-221H-00000-00&amp;context=" TargetMode="External" /><Relationship Id="rId255" Type="http://schemas.openxmlformats.org/officeDocument/2006/relationships/hyperlink" Target="https://advance.lexis.com/api/document?collection=cases-ca&amp;id=urn:contentItem:5F7T-S7F1-JFKM-61X3-00000-00&amp;context=" TargetMode="External" /><Relationship Id="rId256" Type="http://schemas.openxmlformats.org/officeDocument/2006/relationships/hyperlink" Target="https://advance.lexis.com/api/document?collection=cases-ca&amp;id=urn:contentItem:5F7T-S7F1-JFKM-61J1-00000-00&amp;context=" TargetMode="External" /><Relationship Id="rId257" Type="http://schemas.openxmlformats.org/officeDocument/2006/relationships/hyperlink" Target="https://advance.lexis.com/api/document?collection=cases-ca&amp;id=urn:contentItem:5F7T-S7F1-F7VM-S4CH-00000-00&amp;context=" TargetMode="External" /><Relationship Id="rId258" Type="http://schemas.openxmlformats.org/officeDocument/2006/relationships/hyperlink" Target="https://advance.lexis.com/api/document?collection=cases-ca&amp;id=urn:contentItem:5F7T-S7H1-K054-G27J-00000-00&amp;context=" TargetMode="External" /><Relationship Id="rId259" Type="http://schemas.openxmlformats.org/officeDocument/2006/relationships/hyperlink" Target="https://advance.lexis.com/api/document?collection=cases-ca&amp;id=urn:contentItem:5F8T-N3V1-FC1F-M3W8-00000-00&amp;context=" TargetMode="External" /><Relationship Id="rId26" Type="http://schemas.openxmlformats.org/officeDocument/2006/relationships/hyperlink" Target="https://advance.lexis.com/api/document?collection=cases-ca&amp;id=urn:contentItem:5HSD-C7M1-JFSV-G4BW-00000-00&amp;context=" TargetMode="External" /><Relationship Id="rId260" Type="http://schemas.openxmlformats.org/officeDocument/2006/relationships/hyperlink" Target="https://advance.lexis.com/api/document?collection=cases-ca&amp;id=urn:contentItem:5F7T-S771-F361-M1HH-00000-00&amp;context=" TargetMode="External" /><Relationship Id="rId261" Type="http://schemas.openxmlformats.org/officeDocument/2006/relationships/hyperlink" Target="https://advance.lexis.com/api/document?collection=cases-ca&amp;id=urn:contentItem:5F7T-S6X1-FJDY-X17B-00000-00&amp;context=" TargetMode="External" /><Relationship Id="rId262" Type="http://schemas.openxmlformats.org/officeDocument/2006/relationships/hyperlink" Target="https://advance.lexis.com/api/document?collection=cases-ca&amp;id=urn:contentItem:5F7T-S6W1-JYYX-61X7-00000-00&amp;context=" TargetMode="External" /><Relationship Id="rId263" Type="http://schemas.openxmlformats.org/officeDocument/2006/relationships/hyperlink" Target="https://advance.lexis.com/api/document?collection=cases-ca&amp;id=urn:contentItem:5F7T-S711-F4W2-61FJ-00000-00&amp;context=" TargetMode="External" /><Relationship Id="rId264" Type="http://schemas.openxmlformats.org/officeDocument/2006/relationships/hyperlink" Target="https://advance.lexis.com/api/document?collection=cases-ca&amp;id=urn:contentItem:5F7T-S6P1-F30T-B1Y4-00000-00&amp;context=" TargetMode="External" /><Relationship Id="rId265" Type="http://schemas.openxmlformats.org/officeDocument/2006/relationships/hyperlink" Target="https://advance.lexis.com/api/document?collection=cases-ca&amp;id=urn:contentItem:5F7T-S711-JB2B-S0YN-00000-00&amp;context=" TargetMode="External" /><Relationship Id="rId266" Type="http://schemas.openxmlformats.org/officeDocument/2006/relationships/hyperlink" Target="https://advance.lexis.com/api/document?collection=cases-ca&amp;id=urn:contentItem:5F7T-S781-F900-G0P8-00000-00&amp;context=" TargetMode="External" /><Relationship Id="rId267" Type="http://schemas.openxmlformats.org/officeDocument/2006/relationships/hyperlink" Target="https://advance.lexis.com/api/document?collection=cases-ca&amp;id=urn:contentItem:5F7T-S7C1-F7ND-G03T-00000-00&amp;context=" TargetMode="External" /><Relationship Id="rId268" Type="http://schemas.openxmlformats.org/officeDocument/2006/relationships/hyperlink" Target="https://advance.lexis.com/api/document?collection=cases-ca&amp;id=urn:contentItem:5F8P-SD61-JJD0-G22P-00000-00&amp;context=" TargetMode="External" /><Relationship Id="rId269" Type="http://schemas.openxmlformats.org/officeDocument/2006/relationships/hyperlink" Target="https://advance.lexis.com/api/document?collection=cases-ca&amp;id=urn:contentItem:5F8P-SD51-F8KH-X49H-00000-00&amp;context=" TargetMode="External" /><Relationship Id="rId27" Type="http://schemas.openxmlformats.org/officeDocument/2006/relationships/hyperlink" Target="https://advance.lexis.com/api/document?collection=legislation-ca&amp;id=urn:contentItem:5TBM-3RN1-FBV7-B0M1-00000-00&amp;context=" TargetMode="External" /><Relationship Id="rId270" Type="http://schemas.openxmlformats.org/officeDocument/2006/relationships/hyperlink" Target="https://advance.lexis.com/api/document?collection=cases-ca&amp;id=urn:contentItem:5F81-VJW1-JF75-M1FG-00000-00&amp;context=" TargetMode="External" /><Relationship Id="rId271" Type="http://schemas.openxmlformats.org/officeDocument/2006/relationships/hyperlink" Target="https://advance.lexis.com/api/document?collection=cases-ca&amp;id=urn:contentItem:5F81-VJX1-JYYX-603J-00000-00&amp;context=" TargetMode="External" /><Relationship Id="rId272" Type="http://schemas.openxmlformats.org/officeDocument/2006/relationships/hyperlink" Target="https://advance.lexis.com/api/document?collection=cases-ca&amp;id=urn:contentItem:5F8P-SD11-JWR6-S2BP-00000-00&amp;context=" TargetMode="External" /><Relationship Id="rId273" Type="http://schemas.openxmlformats.org/officeDocument/2006/relationships/hyperlink" Target="https://advance.lexis.com/api/document?collection=cases-ca&amp;id=urn:contentItem:5F81-VJX1-JJYN-B53J-00000-00&amp;context=" TargetMode="External" /><Relationship Id="rId274" Type="http://schemas.openxmlformats.org/officeDocument/2006/relationships/hyperlink" Target="https://advance.lexis.com/api/document?collection=cases-ca&amp;id=urn:contentItem:5F8T-N3S1-JBDT-B0CD-00000-00&amp;context=" TargetMode="External" /><Relationship Id="rId275" Type="http://schemas.openxmlformats.org/officeDocument/2006/relationships/hyperlink" Target="https://advance.lexis.com/api/document?collection=cases-ca&amp;id=urn:contentItem:5F81-WC31-F5KY-B4VP-00000-00&amp;context=" TargetMode="External" /><Relationship Id="rId276" Type="http://schemas.openxmlformats.org/officeDocument/2006/relationships/hyperlink" Target="https://advance.lexis.com/api/document?collection=cases-ca&amp;id=urn:contentItem:5F7T-S7C1-JSRM-60TH-00000-00&amp;context=" TargetMode="External" /><Relationship Id="rId277" Type="http://schemas.openxmlformats.org/officeDocument/2006/relationships/hyperlink" Target="https://advance.lexis.com/api/document?collection=cases-ca&amp;id=urn:contentItem:5F8T-N3T1-JGHR-M29X-00000-00&amp;context=" TargetMode="External" /><Relationship Id="rId278" Type="http://schemas.openxmlformats.org/officeDocument/2006/relationships/header" Target="header40.xml" /><Relationship Id="rId279" Type="http://schemas.openxmlformats.org/officeDocument/2006/relationships/header" Target="header41.xml" /><Relationship Id="rId28" Type="http://schemas.openxmlformats.org/officeDocument/2006/relationships/hyperlink" Target="https://advance.lexis.com/api/document?collection=legislation-ca&amp;id=urn:contentItem:5J77-2RF1-JGPY-X288-00000-00&amp;context=" TargetMode="External" /><Relationship Id="rId280" Type="http://schemas.openxmlformats.org/officeDocument/2006/relationships/footer" Target="footer40.xml" /><Relationship Id="rId281" Type="http://schemas.openxmlformats.org/officeDocument/2006/relationships/footer" Target="footer41.xml" /><Relationship Id="rId282" Type="http://schemas.openxmlformats.org/officeDocument/2006/relationships/header" Target="header42.xml" /><Relationship Id="rId283" Type="http://schemas.openxmlformats.org/officeDocument/2006/relationships/footer" Target="footer42.xml" /><Relationship Id="rId284" Type="http://schemas.openxmlformats.org/officeDocument/2006/relationships/hyperlink" Target="https://advance.lexis.com/api/document?collection=cases-ca&amp;id=urn:contentItem:5F7T-S7D1-JXG3-X0PK-00000-00&amp;context=" TargetMode="External" /><Relationship Id="rId285" Type="http://schemas.openxmlformats.org/officeDocument/2006/relationships/hyperlink" Target="https://advance.lexis.com/api/document?collection=legislation-ca&amp;id=urn:contentItem:5F41-1FN1-JSXV-G1VN-00000-00&amp;context=" TargetMode="External" /><Relationship Id="rId286" Type="http://schemas.openxmlformats.org/officeDocument/2006/relationships/hyperlink" Target="https://advance.lexis.com/api/document?collection=cases-ca&amp;id=urn:contentItem:5F7T-S761-FFMK-M14F-00000-00&amp;context=" TargetMode="External" /><Relationship Id="rId287" Type="http://schemas.openxmlformats.org/officeDocument/2006/relationships/hyperlink" Target="https://advance.lexis.com/api/document?collection=cases-ca&amp;id=urn:contentItem:5F7T-S7D1-FCSB-S35M-00000-00&amp;context=" TargetMode="External" /><Relationship Id="rId288" Type="http://schemas.openxmlformats.org/officeDocument/2006/relationships/hyperlink" Target="https://advance.lexis.com/api/document?collection=cases-ca&amp;id=urn:contentItem:5F7T-S721-F5T5-M20M-00000-00&amp;context=" TargetMode="External" /><Relationship Id="rId289" Type="http://schemas.openxmlformats.org/officeDocument/2006/relationships/hyperlink" Target="https://advance.lexis.com/api/document?collection=cases-ca&amp;id=urn:contentItem:5F7T-S6T1-JP9P-G180-00000-00&amp;context=" TargetMode="External" /><Relationship Id="rId29" Type="http://schemas.openxmlformats.org/officeDocument/2006/relationships/hyperlink" Target="https://advance.lexis.com/api/document?collection=legislation-ca&amp;id=urn:contentItem:5F41-1FN1-FCCX-61GD-00000-00&amp;context=" TargetMode="External" /><Relationship Id="rId290" Type="http://schemas.openxmlformats.org/officeDocument/2006/relationships/hyperlink" Target="https://advance.lexis.com/api/document?collection=cases-ca&amp;id=urn:contentItem:5F7T-S7C1-JS0R-2222-00000-00&amp;context=" TargetMode="External" /><Relationship Id="rId291" Type="http://schemas.openxmlformats.org/officeDocument/2006/relationships/hyperlink" Target="https://advance.lexis.com/api/document?collection=cases-ca&amp;id=urn:contentItem:5F7T-S761-FFMK-M15W-00000-00&amp;context=" TargetMode="External" /><Relationship Id="rId292" Type="http://schemas.openxmlformats.org/officeDocument/2006/relationships/hyperlink" Target="https://advance.lexis.com/api/document?collection=cases-ca&amp;id=urn:contentItem:5F7T-S6X1-K0BB-S0PN-00000-00&amp;context=" TargetMode="External" /><Relationship Id="rId293" Type="http://schemas.openxmlformats.org/officeDocument/2006/relationships/hyperlink" Target="https://advance.lexis.com/api/document?collection=cases-ca&amp;id=urn:contentItem:5F7T-S7B1-JSRM-60FM-00000-00&amp;context=" TargetMode="External" /><Relationship Id="rId294" Type="http://schemas.openxmlformats.org/officeDocument/2006/relationships/header" Target="header43.xml" /><Relationship Id="rId295" Type="http://schemas.openxmlformats.org/officeDocument/2006/relationships/header" Target="header44.xml" /><Relationship Id="rId296" Type="http://schemas.openxmlformats.org/officeDocument/2006/relationships/footer" Target="footer43.xml" /><Relationship Id="rId297" Type="http://schemas.openxmlformats.org/officeDocument/2006/relationships/footer" Target="footer44.xml" /><Relationship Id="rId298" Type="http://schemas.openxmlformats.org/officeDocument/2006/relationships/header" Target="header45.xml" /><Relationship Id="rId299" Type="http://schemas.openxmlformats.org/officeDocument/2006/relationships/footer" Target="footer45.xml" /><Relationship Id="rId3" Type="http://schemas.openxmlformats.org/officeDocument/2006/relationships/fontTable" Target="fontTable.xml" /><Relationship Id="rId30" Type="http://schemas.openxmlformats.org/officeDocument/2006/relationships/hyperlink" Target="https://advance.lexis.com/api/document?collection=legislation-ca&amp;id=urn:contentItem:5F3B-B9T1-JB2B-S0D5-00000-00&amp;context=" TargetMode="External" /><Relationship Id="rId300" Type="http://schemas.openxmlformats.org/officeDocument/2006/relationships/hyperlink" Target="https://advance.lexis.com/api/document?collection=cases-ca&amp;id=urn:contentItem:5F7T-S7K1-F1H1-22F8-00000-00&amp;context=" TargetMode="External" /><Relationship Id="rId301" Type="http://schemas.openxmlformats.org/officeDocument/2006/relationships/hyperlink" Target="https://advance.lexis.com/api/document?collection=cases-ca&amp;id=urn:contentItem:5F7T-S711-F4W2-61JR-00000-00&amp;context=" TargetMode="External" /><Relationship Id="rId302" Type="http://schemas.openxmlformats.org/officeDocument/2006/relationships/hyperlink" Target="https://advance.lexis.com/api/document?collection=cases-ca&amp;id=urn:contentItem:5F7T-S6T1-JT99-20X1-00000-00&amp;context=" TargetMode="External" /><Relationship Id="rId303" Type="http://schemas.openxmlformats.org/officeDocument/2006/relationships/hyperlink" Target="https://advance.lexis.com/api/document?collection=cases-ca&amp;id=urn:contentItem:5F7T-S7G1-JBT7-X49B-00000-00&amp;context=" TargetMode="External" /><Relationship Id="rId304" Type="http://schemas.openxmlformats.org/officeDocument/2006/relationships/hyperlink" Target="https://advance.lexis.com/api/document?collection=cases-ca&amp;id=urn:contentItem:5F7T-S751-JCJ5-24PY-00000-00&amp;context=" TargetMode="External" /><Relationship Id="rId305" Type="http://schemas.openxmlformats.org/officeDocument/2006/relationships/hyperlink" Target="https://advance.lexis.com/api/document?collection=cases-ca&amp;id=urn:contentItem:5F7T-S6S1-F60C-X0X7-00000-00&amp;context=" TargetMode="External" /><Relationship Id="rId306" Type="http://schemas.openxmlformats.org/officeDocument/2006/relationships/hyperlink" Target="https://advance.lexis.com/api/document?collection=cases-ca&amp;id=urn:contentItem:5F7T-S771-F2TK-2323-00000-00&amp;context=" TargetMode="External" /><Relationship Id="rId307" Type="http://schemas.openxmlformats.org/officeDocument/2006/relationships/hyperlink" Target="https://advance.lexis.com/api/document?collection=cases-ca&amp;id=urn:contentItem:5F7T-S731-F1WF-M212-00000-00&amp;context=" TargetMode="External" /><Relationship Id="rId308" Type="http://schemas.openxmlformats.org/officeDocument/2006/relationships/hyperlink" Target="https://advance.lexis.com/api/document?collection=cases-ca&amp;id=urn:contentItem:5F7T-S721-FG12-6237-00000-00&amp;context=" TargetMode="External" /><Relationship Id="rId309" Type="http://schemas.openxmlformats.org/officeDocument/2006/relationships/header" Target="header46.xml" /><Relationship Id="rId31" Type="http://schemas.openxmlformats.org/officeDocument/2006/relationships/hyperlink" Target="https://advance.lexis.com/api/document?collection=legislation-ca&amp;id=urn:contentItem:5F41-1FJ1-JK4W-M0C4-00000-00&amp;context=" TargetMode="External" /><Relationship Id="rId310" Type="http://schemas.openxmlformats.org/officeDocument/2006/relationships/header" Target="header47.xml" /><Relationship Id="rId311" Type="http://schemas.openxmlformats.org/officeDocument/2006/relationships/footer" Target="footer46.xml" /><Relationship Id="rId312" Type="http://schemas.openxmlformats.org/officeDocument/2006/relationships/footer" Target="footer47.xml" /><Relationship Id="rId313" Type="http://schemas.openxmlformats.org/officeDocument/2006/relationships/header" Target="header48.xml" /><Relationship Id="rId314" Type="http://schemas.openxmlformats.org/officeDocument/2006/relationships/footer" Target="footer48.xml" /><Relationship Id="rId315" Type="http://schemas.openxmlformats.org/officeDocument/2006/relationships/hyperlink" Target="https://advance.lexis.com/api/document?collection=cases-ca&amp;id=urn:contentItem:5F7T-S7H1-JS5Y-B2VP-00000-00&amp;context=" TargetMode="External" /><Relationship Id="rId316" Type="http://schemas.openxmlformats.org/officeDocument/2006/relationships/hyperlink" Target="https://advance.lexis.com/api/document?collection=cases-ca&amp;id=urn:contentItem:5F7T-S7G1-JN6B-S1CB-00000-00&amp;context=" TargetMode="External" /><Relationship Id="rId317" Type="http://schemas.openxmlformats.org/officeDocument/2006/relationships/hyperlink" Target="https://advance.lexis.com/api/document?collection=cases-ca&amp;id=urn:contentItem:5F7T-S7D1-JG02-S32H-00000-00&amp;context=" TargetMode="External" /><Relationship Id="rId318" Type="http://schemas.openxmlformats.org/officeDocument/2006/relationships/header" Target="header49.xml" /><Relationship Id="rId319" Type="http://schemas.openxmlformats.org/officeDocument/2006/relationships/header" Target="header50.xml" /><Relationship Id="rId32" Type="http://schemas.openxmlformats.org/officeDocument/2006/relationships/hyperlink" Target="https://advance.lexis.com/api/document?collection=legislation-ca&amp;id=urn:contentItem:5TTT-FT31-DYMS-61G8-00000-00&amp;context=" TargetMode="External" /><Relationship Id="rId320" Type="http://schemas.openxmlformats.org/officeDocument/2006/relationships/footer" Target="footer49.xml" /><Relationship Id="rId321" Type="http://schemas.openxmlformats.org/officeDocument/2006/relationships/footer" Target="footer50.xml" /><Relationship Id="rId322" Type="http://schemas.openxmlformats.org/officeDocument/2006/relationships/header" Target="header51.xml" /><Relationship Id="rId323" Type="http://schemas.openxmlformats.org/officeDocument/2006/relationships/footer" Target="footer51.xml" /><Relationship Id="rId324" Type="http://schemas.openxmlformats.org/officeDocument/2006/relationships/hyperlink" Target="https://advance.lexis.com/api/document?collection=cases-ca&amp;id=urn:contentItem:5TBT-2201-JC0G-603N-00000-00&amp;context=" TargetMode="External" /><Relationship Id="rId325" Type="http://schemas.openxmlformats.org/officeDocument/2006/relationships/hyperlink" Target="https://advance.lexis.com/api/document?collection=cases-ca&amp;id=urn:contentItem:5GGK-45G1-F7VM-S3BC-00000-00&amp;context=" TargetMode="External" /><Relationship Id="rId326" Type="http://schemas.openxmlformats.org/officeDocument/2006/relationships/hyperlink" Target="https://advance.lexis.com/api/document?collection=cases-ca&amp;id=urn:contentItem:5F7T-S7G1-JWR6-S1R8-00000-00&amp;context=" TargetMode="External" /><Relationship Id="rId327" Type="http://schemas.openxmlformats.org/officeDocument/2006/relationships/hyperlink" Target="https://advance.lexis.com/api/document?collection=cases-ca&amp;id=urn:contentItem:5F7T-S7C1-FGRY-B08S-00000-00&amp;context=" TargetMode="External" /><Relationship Id="rId328" Type="http://schemas.openxmlformats.org/officeDocument/2006/relationships/hyperlink" Target="https://advance.lexis.com/api/document?collection=cases-ca&amp;id=urn:contentItem:5R1B-8771-DY33-B2RG-00000-00&amp;context=" TargetMode="External" /><Relationship Id="rId329" Type="http://schemas.openxmlformats.org/officeDocument/2006/relationships/hyperlink" Target="https://advance.lexis.com/api/document?collection=cases-ca&amp;id=urn:contentItem:5K27-9DN1-FFMK-M1JY-00000-00&amp;context=" TargetMode="External" /><Relationship Id="rId33" Type="http://schemas.openxmlformats.org/officeDocument/2006/relationships/hyperlink" Target="https://advance.lexis.com/api/document?collection=cases-ca&amp;id=urn:contentItem:5F7T-S7H1-FCSB-S3SR-00000-00&amp;context=" TargetMode="External" /><Relationship Id="rId330" Type="http://schemas.openxmlformats.org/officeDocument/2006/relationships/hyperlink" Target="https://advance.lexis.com/api/document?collection=cases-ca&amp;id=urn:contentItem:5RVJ-TKN1-JS0R-2215-00000-00&amp;context=" TargetMode="External" /><Relationship Id="rId331" Type="http://schemas.openxmlformats.org/officeDocument/2006/relationships/hyperlink" Target="https://advance.lexis.com/api/document?collection=cases-ca&amp;id=urn:contentItem:5K8V-CV01-JG59-21Y6-00000-00&amp;context=" TargetMode="External" /><Relationship Id="rId332" Type="http://schemas.openxmlformats.org/officeDocument/2006/relationships/hyperlink" Target="https://advance.lexis.com/api/document?collection=cases-ca&amp;id=urn:contentItem:5M6F-5NT1-JN14-G0M0-00000-00&amp;context=" TargetMode="External" /><Relationship Id="rId333" Type="http://schemas.openxmlformats.org/officeDocument/2006/relationships/hyperlink" Target="https://advance.lexis.com/api/document?collection=cases-ca&amp;id=urn:contentItem:5F16-9371-F27X-61JX-00000-00&amp;context=" TargetMode="External" /><Relationship Id="rId334" Type="http://schemas.openxmlformats.org/officeDocument/2006/relationships/hyperlink" Target="https://advance.lexis.com/api/document?collection=cases-ca&amp;id=urn:contentItem:5K56-XNW1-F4GK-M22W-00000-00&amp;context=" TargetMode="External" /><Relationship Id="rId335" Type="http://schemas.openxmlformats.org/officeDocument/2006/relationships/hyperlink" Target="https://advance.lexis.com/api/document?collection=cases-ca&amp;id=urn:contentItem:5KMV-YXR1-F06F-20KD-00000-00&amp;context=" TargetMode="External" /><Relationship Id="rId336" Type="http://schemas.openxmlformats.org/officeDocument/2006/relationships/hyperlink" Target="https://advance.lexis.com/api/document?collection=cases-ca&amp;id=urn:contentItem:5P4T-8R71-F60C-X2B0-00000-00&amp;context=" TargetMode="External" /><Relationship Id="rId337" Type="http://schemas.openxmlformats.org/officeDocument/2006/relationships/hyperlink" Target="https://advance.lexis.com/api/document?collection=cases-ca&amp;id=urn:contentItem:5F81-VJY1-FBN1-22WR-00000-00&amp;context=" TargetMode="External" /><Relationship Id="rId338" Type="http://schemas.openxmlformats.org/officeDocument/2006/relationships/hyperlink" Target="https://advance.lexis.com/api/document?collection=cases-ca&amp;id=urn:contentItem:5F7T-S7G1-F5KY-B1J4-00000-00&amp;context=" TargetMode="External" /><Relationship Id="rId339" Type="http://schemas.openxmlformats.org/officeDocument/2006/relationships/hyperlink" Target="https://advance.lexis.com/api/document?collection=cases-ca&amp;id=urn:contentItem:5JCG-40J1-JG02-S13D-00000-00&amp;context=" TargetMode="External" /><Relationship Id="rId34" Type="http://schemas.openxmlformats.org/officeDocument/2006/relationships/hyperlink" Target="https://advance.lexis.com/api/document?collection=cases-ca&amp;id=urn:contentItem:5F7T-S7K1-F1H1-21XX-00000-00&amp;context=" TargetMode="External" /><Relationship Id="rId340" Type="http://schemas.openxmlformats.org/officeDocument/2006/relationships/hyperlink" Target="https://advance.lexis.com/api/document?collection=cases-ca&amp;id=urn:contentItem:5F7T-S7F1-F7VM-S43Y-00000-00&amp;context=" TargetMode="External" /><Relationship Id="rId341" Type="http://schemas.openxmlformats.org/officeDocument/2006/relationships/hyperlink" Target="https://advance.lexis.com/api/document?collection=cases-ca&amp;id=urn:contentItem:5F7T-S731-JC0G-63HG-00000-00&amp;context=" TargetMode="External" /><Relationship Id="rId342" Type="http://schemas.openxmlformats.org/officeDocument/2006/relationships/hyperlink" Target="https://advance.lexis.com/api/document?collection=cases-ca&amp;id=urn:contentItem:5F7T-S7H1-F016-S3R1-00000-00&amp;context=" TargetMode="External" /><Relationship Id="rId343" Type="http://schemas.openxmlformats.org/officeDocument/2006/relationships/hyperlink" Target="https://advance.lexis.com/api/document?collection=cases-ca&amp;id=urn:contentItem:5F7T-S7P1-JCRC-B242-00000-00&amp;context=" TargetMode="External" /><Relationship Id="rId344" Type="http://schemas.openxmlformats.org/officeDocument/2006/relationships/hyperlink" Target="https://advance.lexis.com/api/document?collection=cases-ca&amp;id=urn:contentItem:5F7T-S7N1-JGHR-M302-00000-00&amp;context=" TargetMode="External" /><Relationship Id="rId345" Type="http://schemas.openxmlformats.org/officeDocument/2006/relationships/hyperlink" Target="https://advance.lexis.com/api/document?collection=cases-ca&amp;id=urn:contentItem:5GCC-XVC1-JSRM-60HG-00000-00&amp;context=" TargetMode="External" /><Relationship Id="rId346" Type="http://schemas.openxmlformats.org/officeDocument/2006/relationships/hyperlink" Target="https://advance.lexis.com/api/document?collection=cases-ca&amp;id=urn:contentItem:5GC3-0GC1-F5DR-24R9-00000-00&amp;context=" TargetMode="External" /><Relationship Id="rId347" Type="http://schemas.openxmlformats.org/officeDocument/2006/relationships/hyperlink" Target="https://advance.lexis.com/api/document?collection=cases-ca&amp;id=urn:contentItem:5F16-93B1-JWR6-S4TM-00000-00&amp;context=" TargetMode="External" /><Relationship Id="rId348" Type="http://schemas.openxmlformats.org/officeDocument/2006/relationships/hyperlink" Target="https://advance.lexis.com/api/document?collection=cases-ca&amp;id=urn:contentItem:5F16-93C1-F65M-60HD-00000-00&amp;context=" TargetMode="External" /><Relationship Id="rId349" Type="http://schemas.openxmlformats.org/officeDocument/2006/relationships/header" Target="header52.xml" /><Relationship Id="rId35" Type="http://schemas.openxmlformats.org/officeDocument/2006/relationships/hyperlink" Target="https://advance.lexis.com/api/document?collection=cases-ca&amp;id=urn:contentItem:5F8T-N3V1-FC1F-M497-00000-00&amp;context=" TargetMode="External" /><Relationship Id="rId350" Type="http://schemas.openxmlformats.org/officeDocument/2006/relationships/header" Target="header53.xml" /><Relationship Id="rId351" Type="http://schemas.openxmlformats.org/officeDocument/2006/relationships/footer" Target="footer52.xml" /><Relationship Id="rId352" Type="http://schemas.openxmlformats.org/officeDocument/2006/relationships/footer" Target="footer53.xml" /><Relationship Id="rId353" Type="http://schemas.openxmlformats.org/officeDocument/2006/relationships/header" Target="header54.xml" /><Relationship Id="rId354" Type="http://schemas.openxmlformats.org/officeDocument/2006/relationships/footer" Target="footer54.xml" /><Relationship Id="rId355" Type="http://schemas.openxmlformats.org/officeDocument/2006/relationships/hyperlink" Target="https://advance.lexis.com/api/document?collection=cases-ca&amp;id=urn:contentItem:5F7T-S7D1-FC6N-X0SR-00000-00&amp;context=" TargetMode="External" /><Relationship Id="rId356" Type="http://schemas.openxmlformats.org/officeDocument/2006/relationships/hyperlink" Target="https://advance.lexis.com/api/document?collection=cases-ca&amp;id=urn:contentItem:5F7T-S7C1-F7VM-S3BN-00000-00&amp;context=" TargetMode="External" /><Relationship Id="rId357" Type="http://schemas.openxmlformats.org/officeDocument/2006/relationships/hyperlink" Target="https://advance.lexis.com/api/document?collection=legislation-ca&amp;id=urn:contentItem:5F41-1FK1-JGBH-B17V-00000-00&amp;context=" TargetMode="External" /><Relationship Id="rId358" Type="http://schemas.openxmlformats.org/officeDocument/2006/relationships/hyperlink" Target="https://advance.lexis.com/api/document?collection=cases-ca&amp;id=urn:contentItem:5F8T-N3V1-FC1F-M4FX-00000-00&amp;context=" TargetMode="External" /><Relationship Id="rId359" Type="http://schemas.openxmlformats.org/officeDocument/2006/relationships/hyperlink" Target="https://advance.lexis.com/api/document?collection=cases-ca&amp;id=urn:contentItem:5F81-YGM1-F5KY-B53G-00000-00&amp;context=" TargetMode="External" /><Relationship Id="rId36" Type="http://schemas.openxmlformats.org/officeDocument/2006/relationships/hyperlink" Target="https://advance.lexis.com/api/document?collection=cases-ca&amp;id=urn:contentItem:5F7T-S7D1-JS5Y-B2D4-00000-00&amp;context=" TargetMode="External" /><Relationship Id="rId360" Type="http://schemas.openxmlformats.org/officeDocument/2006/relationships/hyperlink" Target="https://advance.lexis.com/api/document?collection=cases-ca&amp;id=urn:contentItem:5F7T-S6W1-F4GK-M18S-00000-00&amp;context=" TargetMode="External" /><Relationship Id="rId361" Type="http://schemas.openxmlformats.org/officeDocument/2006/relationships/hyperlink" Target="https://advance.lexis.com/api/document?collection=cases-ca&amp;id=urn:contentItem:5F7T-S7D1-JN6B-S187-00000-00&amp;context=" TargetMode="External" /><Relationship Id="rId362" Type="http://schemas.openxmlformats.org/officeDocument/2006/relationships/hyperlink" Target="https://advance.lexis.com/api/document?collection=cases-ca&amp;id=urn:contentItem:5F7T-S7D1-F7ND-G0B2-00000-00&amp;context=" TargetMode="External" /><Relationship Id="rId363" Type="http://schemas.openxmlformats.org/officeDocument/2006/relationships/hyperlink" Target="https://advance.lexis.com/api/document?collection=cases-ca&amp;id=urn:contentItem:5F8T-N3V1-JFKM-6044-00000-00&amp;context=" TargetMode="External" /><Relationship Id="rId364" Type="http://schemas.openxmlformats.org/officeDocument/2006/relationships/hyperlink" Target="https://advance.lexis.com/api/document?collection=cases-ca&amp;id=urn:contentItem:5F7V-3DF1-FD4T-B1DR-00000-00&amp;context=" TargetMode="External" /><Relationship Id="rId365" Type="http://schemas.openxmlformats.org/officeDocument/2006/relationships/hyperlink" Target="https://advance.lexis.com/api/document?collection=cases-ca&amp;id=urn:contentItem:5F81-VJV1-DYFH-X4FG-00000-00&amp;context=" TargetMode="External" /><Relationship Id="rId366" Type="http://schemas.openxmlformats.org/officeDocument/2006/relationships/hyperlink" Target="https://advance.lexis.com/api/document?collection=cases-ca&amp;id=urn:contentItem:5F81-VJV1-F60C-X2WS-00000-00&amp;context=" TargetMode="External" /><Relationship Id="rId367" Type="http://schemas.openxmlformats.org/officeDocument/2006/relationships/hyperlink" Target="https://advance.lexis.com/api/document?collection=cases-ca&amp;id=urn:contentItem:5F81-VJV1-F60C-X2YC-00000-00&amp;context=" TargetMode="External" /><Relationship Id="rId368" Type="http://schemas.openxmlformats.org/officeDocument/2006/relationships/hyperlink" Target="https://advance.lexis.com/api/document?collection=cases-ca&amp;id=urn:contentItem:5F7H-KW61-F7VM-S0BB-00000-00&amp;context=" TargetMode="External" /><Relationship Id="rId369" Type="http://schemas.openxmlformats.org/officeDocument/2006/relationships/hyperlink" Target="https://advance.lexis.com/api/document?collection=cases-ca&amp;id=urn:contentItem:5F7T-S721-F8D9-M0V0-00000-00&amp;context=" TargetMode="External" /><Relationship Id="rId37" Type="http://schemas.openxmlformats.org/officeDocument/2006/relationships/hyperlink" Target="https://advance.lexis.com/api/document?collection=cases-ca&amp;id=urn:contentItem:5F82-1SF1-F361-M41C-00000-00&amp;context=" TargetMode="External" /><Relationship Id="rId370" Type="http://schemas.openxmlformats.org/officeDocument/2006/relationships/hyperlink" Target="https://advance.lexis.com/api/document?collection=cases-ca&amp;id=urn:contentItem:5F8W-WNC1-FBN1-226H-00000-00&amp;context=" TargetMode="External" /><Relationship Id="rId371" Type="http://schemas.openxmlformats.org/officeDocument/2006/relationships/hyperlink" Target="https://advance.lexis.com/api/document?collection=cases-ca&amp;id=urn:contentItem:5F8W-WNC1-FBN1-22F0-00000-00&amp;context=" TargetMode="External" /><Relationship Id="rId372" Type="http://schemas.openxmlformats.org/officeDocument/2006/relationships/hyperlink" Target="https://advance.lexis.com/api/document?collection=cases-ca&amp;id=urn:contentItem:5FBJ-YY31-FGRY-B2W7-00000-00&amp;context=" TargetMode="External" /><Relationship Id="rId373" Type="http://schemas.openxmlformats.org/officeDocument/2006/relationships/hyperlink" Target="https://advance.lexis.com/api/document?collection=cases-ca&amp;id=urn:contentItem:5F7T-S731-DY33-B177-00000-00&amp;context=" TargetMode="External" /><Relationship Id="rId374" Type="http://schemas.openxmlformats.org/officeDocument/2006/relationships/hyperlink" Target="https://advance.lexis.com/api/document?collection=cases-ca&amp;id=urn:contentItem:5F7T-S771-JJD0-G1J9-00000-00&amp;context=" TargetMode="External" /><Relationship Id="rId375" Type="http://schemas.openxmlformats.org/officeDocument/2006/relationships/hyperlink" Target="https://advance.lexis.com/api/document?collection=cases-ca&amp;id=urn:contentItem:5F7T-S7D1-F7ND-G0CP-00000-00&amp;context=" TargetMode="External" /><Relationship Id="rId376" Type="http://schemas.openxmlformats.org/officeDocument/2006/relationships/hyperlink" Target="https://advance.lexis.com/api/document?collection=cases-ca&amp;id=urn:contentItem:5F8N-K731-F361-M195-00000-00&amp;context=" TargetMode="External" /><Relationship Id="rId377" Type="http://schemas.openxmlformats.org/officeDocument/2006/relationships/hyperlink" Target="https://advance.lexis.com/api/document?collection=cases-ca&amp;id=urn:contentItem:5F7T-S6W1-JB7K-21CR-00000-00&amp;context=" TargetMode="External" /><Relationship Id="rId378" Type="http://schemas.openxmlformats.org/officeDocument/2006/relationships/hyperlink" Target="https://advance.lexis.com/api/document?collection=cases-ca&amp;id=urn:contentItem:5F7T-XPT1-JT99-21RM-00000-00&amp;context=" TargetMode="External" /><Relationship Id="rId379" Type="http://schemas.openxmlformats.org/officeDocument/2006/relationships/hyperlink" Target="https://advance.lexis.com/api/document?collection=cases-ca&amp;id=urn:contentItem:5F7T-S6T1-JK4W-M0KK-00000-00&amp;context=" TargetMode="External" /><Relationship Id="rId38" Type="http://schemas.openxmlformats.org/officeDocument/2006/relationships/hyperlink" Target="https://advance.lexis.com/api/document?collection=cases-ca&amp;id=urn:contentItem:5F8P-SFR1-JTGH-B06R-00000-00&amp;context=" TargetMode="External" /><Relationship Id="rId380" Type="http://schemas.openxmlformats.org/officeDocument/2006/relationships/hyperlink" Target="https://advance.lexis.com/api/document?collection=cases-ca&amp;id=urn:contentItem:5F7T-S771-JSJC-X089-00000-00&amp;context=" TargetMode="External" /><Relationship Id="rId381" Type="http://schemas.openxmlformats.org/officeDocument/2006/relationships/header" Target="header55.xml" /><Relationship Id="rId382" Type="http://schemas.openxmlformats.org/officeDocument/2006/relationships/header" Target="header56.xml" /><Relationship Id="rId383" Type="http://schemas.openxmlformats.org/officeDocument/2006/relationships/footer" Target="footer55.xml" /><Relationship Id="rId384" Type="http://schemas.openxmlformats.org/officeDocument/2006/relationships/footer" Target="footer56.xml" /><Relationship Id="rId385" Type="http://schemas.openxmlformats.org/officeDocument/2006/relationships/header" Target="header57.xml" /><Relationship Id="rId386" Type="http://schemas.openxmlformats.org/officeDocument/2006/relationships/footer" Target="footer57.xml" /><Relationship Id="rId387" Type="http://schemas.openxmlformats.org/officeDocument/2006/relationships/hyperlink" Target="https://advance.lexis.com/api/document?collection=cases-ca&amp;id=urn:contentItem:5F7T-S7F1-FBN1-21M8-00000-00&amp;context=" TargetMode="External" /><Relationship Id="rId388" Type="http://schemas.openxmlformats.org/officeDocument/2006/relationships/hyperlink" Target="https://advance.lexis.com/api/document?collection=cases-ca&amp;id=urn:contentItem:5F7T-S6V1-F956-S051-00000-00&amp;context=" TargetMode="External" /><Relationship Id="rId389" Type="http://schemas.openxmlformats.org/officeDocument/2006/relationships/hyperlink" Target="https://advance.lexis.com/api/document?collection=cases-ca&amp;id=urn:contentItem:5F7T-S6T1-JJ1H-X20X-00000-00&amp;context=" TargetMode="External" /><Relationship Id="rId39" Type="http://schemas.openxmlformats.org/officeDocument/2006/relationships/hyperlink" Target="https://advance.lexis.com/api/document?collection=cases-ca&amp;id=urn:contentItem:5F81-VJY1-F016-S295-00000-00&amp;context=" TargetMode="External" /><Relationship Id="rId390" Type="http://schemas.openxmlformats.org/officeDocument/2006/relationships/header" Target="header58.xml" /><Relationship Id="rId391" Type="http://schemas.openxmlformats.org/officeDocument/2006/relationships/header" Target="header59.xml" /><Relationship Id="rId392" Type="http://schemas.openxmlformats.org/officeDocument/2006/relationships/footer" Target="footer58.xml" /><Relationship Id="rId393" Type="http://schemas.openxmlformats.org/officeDocument/2006/relationships/footer" Target="footer59.xml" /><Relationship Id="rId394" Type="http://schemas.openxmlformats.org/officeDocument/2006/relationships/header" Target="header60.xml" /><Relationship Id="rId395" Type="http://schemas.openxmlformats.org/officeDocument/2006/relationships/footer" Target="footer60.xml" /><Relationship Id="rId396" Type="http://schemas.openxmlformats.org/officeDocument/2006/relationships/hyperlink" Target="https://advance.lexis.com/api/document?collection=cases-ca&amp;id=urn:contentItem:5F7T-S7H1-F4GK-M347-00000-00&amp;context=" TargetMode="External" /><Relationship Id="rId397" Type="http://schemas.openxmlformats.org/officeDocument/2006/relationships/hyperlink" Target="https://advance.lexis.com/api/document?collection=cases-ca&amp;id=urn:contentItem:5F7T-S7H1-FCSB-S3MT-00000-00&amp;context=" TargetMode="External" /><Relationship Id="rId398" Type="http://schemas.openxmlformats.org/officeDocument/2006/relationships/hyperlink" Target="https://advance.lexis.com/api/document?collection=cases-ca&amp;id=urn:contentItem:5F7T-S6Y1-JTNR-M45R-00000-00&amp;context=" TargetMode="External" /><Relationship Id="rId399" Type="http://schemas.openxmlformats.org/officeDocument/2006/relationships/hyperlink" Target="https://advance.lexis.com/api/document?collection=cases-ca&amp;id=urn:contentItem:5F7T-S6T1-JTNR-M2BP-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82-1SK1-FGJR-24GC-00000-00&amp;context=" TargetMode="External" /><Relationship Id="rId400" Type="http://schemas.openxmlformats.org/officeDocument/2006/relationships/hyperlink" Target="https://advance.lexis.com/api/document?collection=cases-ca&amp;id=urn:contentItem:5F7T-S6T1-JK4W-M03C-00000-00&amp;context=" TargetMode="External" /><Relationship Id="rId401" Type="http://schemas.openxmlformats.org/officeDocument/2006/relationships/hyperlink" Target="https://advance.lexis.com/api/document?collection=cases-ca&amp;id=urn:contentItem:5F7T-S721-F57G-S11S-00000-00&amp;context=" TargetMode="External" /><Relationship Id="rId402" Type="http://schemas.openxmlformats.org/officeDocument/2006/relationships/hyperlink" Target="https://advance.lexis.com/api/document?collection=cases-ca&amp;id=urn:contentItem:5F7T-S701-JGPY-X1GG-00000-00&amp;context=" TargetMode="External" /><Relationship Id="rId403" Type="http://schemas.openxmlformats.org/officeDocument/2006/relationships/hyperlink" Target="https://advance.lexis.com/api/document?collection=cases-ca&amp;id=urn:contentItem:5F7T-S7G1-JBT7-X40C-00000-00&amp;context=" TargetMode="External" /><Relationship Id="rId404" Type="http://schemas.openxmlformats.org/officeDocument/2006/relationships/header" Target="header61.xml" /><Relationship Id="rId405" Type="http://schemas.openxmlformats.org/officeDocument/2006/relationships/header" Target="header62.xml" /><Relationship Id="rId406" Type="http://schemas.openxmlformats.org/officeDocument/2006/relationships/footer" Target="footer61.xml" /><Relationship Id="rId407" Type="http://schemas.openxmlformats.org/officeDocument/2006/relationships/footer" Target="footer62.xml" /><Relationship Id="rId408" Type="http://schemas.openxmlformats.org/officeDocument/2006/relationships/header" Target="header63.xml" /><Relationship Id="rId409" Type="http://schemas.openxmlformats.org/officeDocument/2006/relationships/footer" Target="footer63.xml" /><Relationship Id="rId41" Type="http://schemas.openxmlformats.org/officeDocument/2006/relationships/hyperlink" Target="https://advance.lexis.com/api/document?collection=cases-ca&amp;id=urn:contentItem:5F8P-SFN1-F2TK-23TV-00000-00&amp;context=" TargetMode="External" /><Relationship Id="rId410" Type="http://schemas.openxmlformats.org/officeDocument/2006/relationships/hyperlink" Target="https://advance.lexis.com/api/document?collection=cases-ca&amp;id=urn:contentItem:5F7T-S7B1-JCJ5-202P-00000-00&amp;context=" TargetMode="External" /><Relationship Id="rId411" Type="http://schemas.openxmlformats.org/officeDocument/2006/relationships/hyperlink" Target="https://advance.lexis.com/api/document?collection=cases-ca&amp;id=urn:contentItem:5F7T-S7B1-JCJ5-205P-00000-00&amp;context=" TargetMode="External" /><Relationship Id="rId412" Type="http://schemas.openxmlformats.org/officeDocument/2006/relationships/hyperlink" Target="https://advance.lexis.com/api/document?collection=legislation-ca&amp;id=urn:contentItem:5F41-1FJ1-JK4W-M0GT-00000-00&amp;context=" TargetMode="External" /><Relationship Id="rId413" Type="http://schemas.openxmlformats.org/officeDocument/2006/relationships/hyperlink" Target="https://advance.lexis.com/api/document?collection=legislation-ca&amp;id=urn:contentItem:5F41-1FG1-FC1F-M0TW-00000-00&amp;context=" TargetMode="External" /><Relationship Id="rId414" Type="http://schemas.openxmlformats.org/officeDocument/2006/relationships/hyperlink" Target="https://advance.lexis.com/api/document?collection=cases-ca&amp;id=urn:contentItem:5F7T-S781-JC5P-G1HV-00000-00&amp;context=" TargetMode="External" /><Relationship Id="rId415" Type="http://schemas.openxmlformats.org/officeDocument/2006/relationships/hyperlink" Target="https://advance.lexis.com/api/document?collection=cases-ca&amp;id=urn:contentItem:5F7T-S721-F4NT-X2D4-00000-00&amp;context=" TargetMode="External" /><Relationship Id="rId416" Type="http://schemas.openxmlformats.org/officeDocument/2006/relationships/hyperlink" Target="https://advance.lexis.com/api/document?collection=cases-ca&amp;id=urn:contentItem:5F7T-S6X1-F7ND-G3Y2-00000-00&amp;context=" TargetMode="External" /><Relationship Id="rId417" Type="http://schemas.openxmlformats.org/officeDocument/2006/relationships/hyperlink" Target="https://advance.lexis.com/api/document?collection=cases-ca&amp;id=urn:contentItem:5F7T-S761-JGHR-M2B5-00000-00&amp;context=" TargetMode="External" /><Relationship Id="rId418" Type="http://schemas.openxmlformats.org/officeDocument/2006/relationships/header" Target="header64.xml" /><Relationship Id="rId419" Type="http://schemas.openxmlformats.org/officeDocument/2006/relationships/header" Target="header65.xml" /><Relationship Id="rId42" Type="http://schemas.openxmlformats.org/officeDocument/2006/relationships/hyperlink" Target="https://advance.lexis.com/api/document?collection=cases-ca&amp;id=urn:contentItem:5F8P-SFT1-JGPY-X0X3-00000-00&amp;context=" TargetMode="External" /><Relationship Id="rId420" Type="http://schemas.openxmlformats.org/officeDocument/2006/relationships/footer" Target="footer64.xml" /><Relationship Id="rId421" Type="http://schemas.openxmlformats.org/officeDocument/2006/relationships/footer" Target="footer65.xml" /><Relationship Id="rId422" Type="http://schemas.openxmlformats.org/officeDocument/2006/relationships/header" Target="header66.xml" /><Relationship Id="rId423" Type="http://schemas.openxmlformats.org/officeDocument/2006/relationships/footer" Target="footer66.xml" /><Relationship Id="rId424" Type="http://schemas.openxmlformats.org/officeDocument/2006/relationships/hyperlink" Target="https://advance.lexis.com/api/document?collection=cases-ca&amp;id=urn:contentItem:5F7T-S7H1-JS5Y-B2NV-00000-00&amp;context=" TargetMode="External" /><Relationship Id="rId425" Type="http://schemas.openxmlformats.org/officeDocument/2006/relationships/hyperlink" Target="https://advance.lexis.com/api/document?collection=cases-ca&amp;id=urn:contentItem:5F8T-N3V1-JFKM-609G-00000-00&amp;context=" TargetMode="External" /><Relationship Id="rId426" Type="http://schemas.openxmlformats.org/officeDocument/2006/relationships/hyperlink" Target="https://advance.lexis.com/api/document?collection=cases-ca&amp;id=urn:contentItem:5F7T-S7F1-JBT7-X2P8-00000-00&amp;context=" TargetMode="External" /><Relationship Id="rId427" Type="http://schemas.openxmlformats.org/officeDocument/2006/relationships/hyperlink" Target="https://advance.lexis.com/api/document?collection=cases-ca&amp;id=urn:contentItem:5F7T-S7C1-F4NT-X31C-00000-00&amp;context=" TargetMode="External" /><Relationship Id="rId428" Type="http://schemas.openxmlformats.org/officeDocument/2006/relationships/hyperlink" Target="https://advance.lexis.com/api/document?collection=cases-ca&amp;id=urn:contentItem:5F7T-S7C1-F4NT-X3JG-00000-00&amp;context=" TargetMode="External" /><Relationship Id="rId429" Type="http://schemas.openxmlformats.org/officeDocument/2006/relationships/header" Target="header67.xml" /><Relationship Id="rId43" Type="http://schemas.openxmlformats.org/officeDocument/2006/relationships/hyperlink" Target="https://advance.lexis.com/api/document?collection=cases-ca&amp;id=urn:contentItem:5F8P-SFK1-JBDT-B3M8-00000-00&amp;context=" TargetMode="External" /><Relationship Id="rId430" Type="http://schemas.openxmlformats.org/officeDocument/2006/relationships/header" Target="header68.xml" /><Relationship Id="rId431" Type="http://schemas.openxmlformats.org/officeDocument/2006/relationships/footer" Target="footer67.xml" /><Relationship Id="rId432" Type="http://schemas.openxmlformats.org/officeDocument/2006/relationships/footer" Target="footer68.xml" /><Relationship Id="rId433" Type="http://schemas.openxmlformats.org/officeDocument/2006/relationships/header" Target="header69.xml" /><Relationship Id="rId434" Type="http://schemas.openxmlformats.org/officeDocument/2006/relationships/footer" Target="footer69.xml" /><Relationship Id="rId435" Type="http://schemas.openxmlformats.org/officeDocument/2006/relationships/hyperlink" Target="https://advance.lexis.com/api/document?collection=cases-ca&amp;id=urn:contentItem:5GCC-XVC1-JSRM-60WY-00000-00&amp;context=" TargetMode="External" /><Relationship Id="rId436" Type="http://schemas.openxmlformats.org/officeDocument/2006/relationships/hyperlink" Target="https://advance.lexis.com/api/document?collection=legislation-ca&amp;id=urn:contentItem:5F41-1FJ1-JPGX-S0RN-00000-00&amp;context=" TargetMode="External" /><Relationship Id="rId437" Type="http://schemas.openxmlformats.org/officeDocument/2006/relationships/hyperlink" Target="https://advance.lexis.com/api/document?collection=cases-ca&amp;id=urn:contentItem:5F7T-S7D1-F7ND-G0FM-00000-00&amp;context=" TargetMode="External" /><Relationship Id="rId438" Type="http://schemas.openxmlformats.org/officeDocument/2006/relationships/hyperlink" Target="https://advance.lexis.com/api/document?collection=cases-ca&amp;id=urn:contentItem:5F7T-S7G1-JPP5-21V6-00000-00&amp;context=" TargetMode="External" /><Relationship Id="rId439" Type="http://schemas.openxmlformats.org/officeDocument/2006/relationships/hyperlink" Target="https://advance.lexis.com/api/document?collection=cases-ca&amp;id=urn:contentItem:5F7T-S6T1-JTNR-M2MX-00000-00&amp;context=" TargetMode="External" /><Relationship Id="rId44" Type="http://schemas.openxmlformats.org/officeDocument/2006/relationships/hyperlink" Target="https://advance.lexis.com/api/document?collection=cases-ca&amp;id=urn:contentItem:5F81-VJX1-FGY5-M3C6-00000-00&amp;context=" TargetMode="External" /><Relationship Id="rId440" Type="http://schemas.openxmlformats.org/officeDocument/2006/relationships/hyperlink" Target="https://advance.lexis.com/api/document?collection=cases-ca&amp;id=urn:contentItem:5F7T-S771-F2TK-2355-00000-00&amp;context=" TargetMode="External" /><Relationship Id="rId441" Type="http://schemas.openxmlformats.org/officeDocument/2006/relationships/hyperlink" Target="https://advance.lexis.com/api/document?collection=cases-ca&amp;id=urn:contentItem:5F7T-S7D1-JG02-S32C-00000-00&amp;context=" TargetMode="External" /><Relationship Id="rId442" Type="http://schemas.openxmlformats.org/officeDocument/2006/relationships/hyperlink" Target="https://advance.lexis.com/api/document?collection=cases-ca&amp;id=urn:contentItem:5F7T-S7J1-DXWW-24YD-00000-00&amp;context=" TargetMode="External" /><Relationship Id="rId443" Type="http://schemas.openxmlformats.org/officeDocument/2006/relationships/hyperlink" Target="https://advance.lexis.com/api/document?collection=cases-ca&amp;id=urn:contentItem:5F7T-S741-F528-G21K-00000-00&amp;context=" TargetMode="External" /><Relationship Id="rId444" Type="http://schemas.openxmlformats.org/officeDocument/2006/relationships/hyperlink" Target="https://advance.lexis.com/api/document?collection=cases-ca&amp;id=urn:contentItem:5F7T-S7P1-JCRC-B2DW-00000-00&amp;context=" TargetMode="External" /><Relationship Id="rId445" Type="http://schemas.openxmlformats.org/officeDocument/2006/relationships/header" Target="header70.xml" /><Relationship Id="rId446" Type="http://schemas.openxmlformats.org/officeDocument/2006/relationships/header" Target="header71.xml" /><Relationship Id="rId447" Type="http://schemas.openxmlformats.org/officeDocument/2006/relationships/footer" Target="footer70.xml" /><Relationship Id="rId448" Type="http://schemas.openxmlformats.org/officeDocument/2006/relationships/footer" Target="footer71.xml" /><Relationship Id="rId449" Type="http://schemas.openxmlformats.org/officeDocument/2006/relationships/header" Target="header72.xml" /><Relationship Id="rId45" Type="http://schemas.openxmlformats.org/officeDocument/2006/relationships/hyperlink" Target="https://advance.lexis.com/api/document?collection=cases-ca&amp;id=urn:contentItem:5F82-1SF1-JKPJ-G280-00000-00&amp;context=" TargetMode="External" /><Relationship Id="rId450" Type="http://schemas.openxmlformats.org/officeDocument/2006/relationships/footer" Target="footer72.xml" /><Relationship Id="rId451" Type="http://schemas.openxmlformats.org/officeDocument/2006/relationships/hyperlink" Target="https://advance.lexis.com/api/document?collection=cases-ca&amp;id=urn:contentItem:5VB3-JF51-FCYK-20CW-00000-00&amp;context=" TargetMode="External" /><Relationship Id="rId452" Type="http://schemas.openxmlformats.org/officeDocument/2006/relationships/hyperlink" Target="https://advance.lexis.com/api/document?collection=legislation-ca&amp;id=urn:contentItem:5F41-1FH1-F361-M0GH-00000-00&amp;context=" TargetMode="External" /><Relationship Id="rId453" Type="http://schemas.openxmlformats.org/officeDocument/2006/relationships/hyperlink" Target="https://advance.lexis.com/api/document?collection=cases-ca&amp;id=urn:contentItem:5NMS-1461-JN6B-S330-00000-00&amp;context=" TargetMode="External" /><Relationship Id="rId454" Type="http://schemas.openxmlformats.org/officeDocument/2006/relationships/hyperlink" Target="https://advance.lexis.com/api/document?collection=cases-ca&amp;id=urn:contentItem:5F7T-S741-F57G-S20F-00000-00&amp;context=" TargetMode="External" /><Relationship Id="rId455" Type="http://schemas.openxmlformats.org/officeDocument/2006/relationships/hyperlink" Target="https://advance.lexis.com/api/document?collection=cases-ca&amp;id=urn:contentItem:5GCC-XVC1-F900-G4XH-00000-00&amp;context=" TargetMode="External" /><Relationship Id="rId456" Type="http://schemas.openxmlformats.org/officeDocument/2006/relationships/hyperlink" Target="https://advance.lexis.com/api/document?collection=cases-ca&amp;id=urn:contentItem:5F7T-S7J1-JNS1-M2KK-00000-00&amp;context=" TargetMode="External" /><Relationship Id="rId457" Type="http://schemas.openxmlformats.org/officeDocument/2006/relationships/hyperlink" Target="https://advance.lexis.com/api/document?collection=cases-ca&amp;id=urn:contentItem:5F7T-S7K1-JKHB-6307-00000-00&amp;context=" TargetMode="External" /><Relationship Id="rId458" Type="http://schemas.openxmlformats.org/officeDocument/2006/relationships/hyperlink" Target="https://advance.lexis.com/api/document?collection=cases-ca&amp;id=urn:contentItem:5F7T-S7C1-FGRY-B081-00000-00&amp;context=" TargetMode="External" /><Relationship Id="rId459" Type="http://schemas.openxmlformats.org/officeDocument/2006/relationships/hyperlink" Target="https://advance.lexis.com/api/document?collection=cases-ca&amp;id=urn:contentItem:5F7T-S781-FH4C-X2V6-00000-00&amp;context=" TargetMode="External" /><Relationship Id="rId46" Type="http://schemas.openxmlformats.org/officeDocument/2006/relationships/hyperlink" Target="https://advance.lexis.com/api/document?collection=cases-ca&amp;id=urn:contentItem:5F8P-SGB1-JBT7-X33S-00000-00&amp;context=" TargetMode="External" /><Relationship Id="rId460" Type="http://schemas.openxmlformats.org/officeDocument/2006/relationships/hyperlink" Target="https://advance.lexis.com/api/document?collection=cases-ca&amp;id=urn:contentItem:5F7T-S7B1-F7ND-G4YG-00000-00&amp;context=" TargetMode="External" /><Relationship Id="rId461" Type="http://schemas.openxmlformats.org/officeDocument/2006/relationships/hyperlink" Target="https://advance.lexis.com/api/document?collection=cases-ca&amp;id=urn:contentItem:5F7T-S7G1-JPP5-21NY-00000-00&amp;context=" TargetMode="External" /><Relationship Id="rId462" Type="http://schemas.openxmlformats.org/officeDocument/2006/relationships/header" Target="header73.xml" /><Relationship Id="rId463" Type="http://schemas.openxmlformats.org/officeDocument/2006/relationships/header" Target="header74.xml" /><Relationship Id="rId464" Type="http://schemas.openxmlformats.org/officeDocument/2006/relationships/footer" Target="footer73.xml" /><Relationship Id="rId465" Type="http://schemas.openxmlformats.org/officeDocument/2006/relationships/footer" Target="footer74.xml" /><Relationship Id="rId466" Type="http://schemas.openxmlformats.org/officeDocument/2006/relationships/header" Target="header75.xml" /><Relationship Id="rId467" Type="http://schemas.openxmlformats.org/officeDocument/2006/relationships/footer" Target="footer75.xml" /><Relationship Id="rId468" Type="http://schemas.openxmlformats.org/officeDocument/2006/relationships/hyperlink" Target="https://advance.lexis.com/api/document?collection=cases-ca&amp;id=urn:contentItem:5F7T-S771-JSJC-X08G-00000-00&amp;context=" TargetMode="External" /><Relationship Id="rId469" Type="http://schemas.openxmlformats.org/officeDocument/2006/relationships/hyperlink" Target="https://advance.lexis.com/api/document?collection=cases-ca&amp;id=urn:contentItem:5F8T-N3V1-JF75-M3S6-00000-00&amp;context=" TargetMode="External" /><Relationship Id="rId47" Type="http://schemas.openxmlformats.org/officeDocument/2006/relationships/hyperlink" Target="https://advance.lexis.com/api/document?collection=cases-ca&amp;id=urn:contentItem:5F8P-SGC1-JG02-S2G0-00000-00&amp;context=" TargetMode="External" /><Relationship Id="rId470" Type="http://schemas.openxmlformats.org/officeDocument/2006/relationships/hyperlink" Target="https://advance.lexis.com/api/document?collection=cases-ca&amp;id=urn:contentItem:5F7T-S751-JNS1-M1B4-00000-00&amp;context=" TargetMode="External" /><Relationship Id="rId471" Type="http://schemas.openxmlformats.org/officeDocument/2006/relationships/hyperlink" Target="https://advance.lexis.com/api/document?collection=cases-ca&amp;id=urn:contentItem:5F7T-S741-FJM6-61HG-00000-00&amp;context=" TargetMode="External" /><Relationship Id="rId472" Type="http://schemas.openxmlformats.org/officeDocument/2006/relationships/hyperlink" Target="https://advance.lexis.com/api/document?collection=cases-ca&amp;id=urn:contentItem:5F7T-S731-DY33-B0XD-00000-00&amp;context=" TargetMode="External" /><Relationship Id="rId473" Type="http://schemas.openxmlformats.org/officeDocument/2006/relationships/hyperlink" Target="https://advance.lexis.com/api/document?collection=cases-ca&amp;id=urn:contentItem:5F7T-S761-F81W-21T9-00000-00&amp;context=" TargetMode="External" /><Relationship Id="rId474" Type="http://schemas.openxmlformats.org/officeDocument/2006/relationships/hyperlink" Target="https://advance.lexis.com/api/document?collection=cases-ca&amp;id=urn:contentItem:5F7T-S751-JG02-S25J-00000-00&amp;context=" TargetMode="External" /><Relationship Id="rId475" Type="http://schemas.openxmlformats.org/officeDocument/2006/relationships/hyperlink" Target="https://advance.lexis.com/api/document?collection=cases-ca&amp;id=urn:contentItem:5F7T-S751-JNS1-M1JC-00000-00&amp;context=" TargetMode="External" /><Relationship Id="rId476" Type="http://schemas.openxmlformats.org/officeDocument/2006/relationships/hyperlink" Target="https://advance.lexis.com/api/document?collection=cases-ca&amp;id=urn:contentItem:5F7T-S771-FG68-G0V8-00000-00&amp;context=" TargetMode="External" /><Relationship Id="rId477" Type="http://schemas.openxmlformats.org/officeDocument/2006/relationships/hyperlink" Target="https://advance.lexis.com/api/document?collection=cases-ca&amp;id=urn:contentItem:5F7T-S6T1-F2F4-G206-00000-00&amp;context=" TargetMode="External" /><Relationship Id="rId478" Type="http://schemas.openxmlformats.org/officeDocument/2006/relationships/hyperlink" Target="https://advance.lexis.com/api/document?collection=cases-ca&amp;id=urn:contentItem:5F7T-S6T1-JJ1H-X22G-00000-00&amp;context=" TargetMode="External" /><Relationship Id="rId479" Type="http://schemas.openxmlformats.org/officeDocument/2006/relationships/hyperlink" Target="https://advance.lexis.com/api/document?collection=cases-ca&amp;id=urn:contentItem:5F7T-S6R1-JW09-M09C-00000-00&amp;context=" TargetMode="External" /><Relationship Id="rId48" Type="http://schemas.openxmlformats.org/officeDocument/2006/relationships/hyperlink" Target="https://advance.lexis.com/api/document?collection=cases-ca&amp;id=urn:contentItem:5F7T-S7P1-JG02-S3YS-00000-00&amp;context=" TargetMode="External" /><Relationship Id="rId480" Type="http://schemas.openxmlformats.org/officeDocument/2006/relationships/hyperlink" Target="https://advance.lexis.com/api/document?collection=cases-ca&amp;id=urn:contentItem:5F7T-S6W1-JYYX-61V8-00000-00&amp;context=" TargetMode="External" /><Relationship Id="rId481" Type="http://schemas.openxmlformats.org/officeDocument/2006/relationships/hyperlink" Target="https://advance.lexis.com/api/document?collection=cases-ca&amp;id=urn:contentItem:5F81-VJT1-JK4W-M42G-00000-00&amp;context=" TargetMode="External" /><Relationship Id="rId482" Type="http://schemas.openxmlformats.org/officeDocument/2006/relationships/hyperlink" Target="https://advance.lexis.com/api/document?collection=cases-ca&amp;id=urn:contentItem:5F7T-S761-FFMK-M0T0-00000-00&amp;context=" TargetMode="External" /><Relationship Id="rId483" Type="http://schemas.openxmlformats.org/officeDocument/2006/relationships/hyperlink" Target="https://advance.lexis.com/api/document?collection=cases-ca&amp;id=urn:contentItem:5F8T-N3V1-JFKM-60C8-00000-00&amp;context=" TargetMode="External" /><Relationship Id="rId484" Type="http://schemas.openxmlformats.org/officeDocument/2006/relationships/hyperlink" Target="https://advance.lexis.com/api/document?collection=cases-ca&amp;id=urn:contentItem:5F7T-S711-F5KY-B10J-00000-00&amp;context=" TargetMode="External" /><Relationship Id="rId485" Type="http://schemas.openxmlformats.org/officeDocument/2006/relationships/hyperlink" Target="https://advance.lexis.com/api/document?collection=cases-ca&amp;id=urn:contentItem:5F7T-S721-FD4T-B15G-00000-00&amp;context=" TargetMode="External" /><Relationship Id="rId486" Type="http://schemas.openxmlformats.org/officeDocument/2006/relationships/header" Target="header76.xml" /><Relationship Id="rId487" Type="http://schemas.openxmlformats.org/officeDocument/2006/relationships/header" Target="header77.xml" /><Relationship Id="rId488" Type="http://schemas.openxmlformats.org/officeDocument/2006/relationships/footer" Target="footer76.xml" /><Relationship Id="rId489" Type="http://schemas.openxmlformats.org/officeDocument/2006/relationships/footer" Target="footer77.xml" /><Relationship Id="rId49" Type="http://schemas.openxmlformats.org/officeDocument/2006/relationships/hyperlink" Target="https://advance.lexis.com/api/document?collection=cases-ca&amp;id=urn:contentItem:5G68-9741-FCYK-21KH-00000-00&amp;context=" TargetMode="External" /><Relationship Id="rId490" Type="http://schemas.openxmlformats.org/officeDocument/2006/relationships/header" Target="header78.xml" /><Relationship Id="rId491" Type="http://schemas.openxmlformats.org/officeDocument/2006/relationships/footer" Target="footer78.xml" /><Relationship Id="rId492" Type="http://schemas.openxmlformats.org/officeDocument/2006/relationships/hyperlink" Target="https://advance.lexis.com/api/document?collection=cases-ca&amp;id=urn:contentItem:5F7T-S7D1-FBFS-S1KJ-00000-00&amp;context=" TargetMode="External" /><Relationship Id="rId493" Type="http://schemas.openxmlformats.org/officeDocument/2006/relationships/hyperlink" Target="https://advance.lexis.com/api/document?collection=cases-ca&amp;id=urn:contentItem:5F7T-S791-JCJ5-2548-00000-00&amp;context=" TargetMode="External" /><Relationship Id="rId494" Type="http://schemas.openxmlformats.org/officeDocument/2006/relationships/hyperlink" Target="https://advance.lexis.com/api/document?collection=cases-ca&amp;id=urn:contentItem:5F7T-S7B1-FH4C-X3VH-00000-00&amp;context=" TargetMode="External" /><Relationship Id="rId495" Type="http://schemas.openxmlformats.org/officeDocument/2006/relationships/hyperlink" Target="https://advance.lexis.com/api/document?collection=cases-ca&amp;id=urn:contentItem:5F7T-S731-F1WF-M2C0-00000-00&amp;context=" TargetMode="External" /><Relationship Id="rId496" Type="http://schemas.openxmlformats.org/officeDocument/2006/relationships/hyperlink" Target="https://advance.lexis.com/api/document?collection=cases-ca&amp;id=urn:contentItem:5F7T-S711-FJDY-X31M-00000-00&amp;context=" TargetMode="External" /><Relationship Id="rId497" Type="http://schemas.openxmlformats.org/officeDocument/2006/relationships/hyperlink" Target="https://advance.lexis.com/api/document?collection=cases-ca&amp;id=urn:contentItem:5F7T-S6W1-JB7K-21C4-00000-00&amp;context=" TargetMode="External" /><Relationship Id="rId498" Type="http://schemas.openxmlformats.org/officeDocument/2006/relationships/hyperlink" Target="https://advance.lexis.com/api/document?collection=cases-ca&amp;id=urn:contentItem:5F7T-S701-JF75-M4NJ-00000-00&amp;context=" TargetMode="External" /><Relationship Id="rId499" Type="http://schemas.openxmlformats.org/officeDocument/2006/relationships/hyperlink" Target="https://advance.lexis.com/api/document?collection=cases-ca&amp;id=urn:contentItem:5F7T-S741-DY89-M3S4-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61-FFMK-M0YJ-00000-00&amp;context=" TargetMode="External" /><Relationship Id="rId500" Type="http://schemas.openxmlformats.org/officeDocument/2006/relationships/hyperlink" Target="https://advance.lexis.com/api/document?collection=cases-ca&amp;id=urn:contentItem:5F7T-S6Y1-JNY7-X2NF-00000-00&amp;context=" TargetMode="External" /><Relationship Id="rId501" Type="http://schemas.openxmlformats.org/officeDocument/2006/relationships/header" Target="header79.xml" /><Relationship Id="rId502" Type="http://schemas.openxmlformats.org/officeDocument/2006/relationships/header" Target="header80.xml" /><Relationship Id="rId503" Type="http://schemas.openxmlformats.org/officeDocument/2006/relationships/footer" Target="footer79.xml" /><Relationship Id="rId504" Type="http://schemas.openxmlformats.org/officeDocument/2006/relationships/footer" Target="footer80.xml" /><Relationship Id="rId505" Type="http://schemas.openxmlformats.org/officeDocument/2006/relationships/header" Target="header81.xml" /><Relationship Id="rId506" Type="http://schemas.openxmlformats.org/officeDocument/2006/relationships/footer" Target="footer81.xml" /><Relationship Id="rId507" Type="http://schemas.openxmlformats.org/officeDocument/2006/relationships/hyperlink" Target="https://advance.lexis.com/api/document?collection=cases-ca&amp;id=urn:contentItem:5F7T-S7D1-F7ND-G098-00000-00&amp;context=" TargetMode="External" /><Relationship Id="rId508" Type="http://schemas.openxmlformats.org/officeDocument/2006/relationships/hyperlink" Target="https://advance.lexis.com/api/document?collection=legislation-ca&amp;id=urn:contentItem:5F41-1FJ1-JKPJ-G0P7-00000-00&amp;context=" TargetMode="External" /><Relationship Id="rId509" Type="http://schemas.openxmlformats.org/officeDocument/2006/relationships/hyperlink" Target="https://advance.lexis.com/api/document?collection=cases-ca&amp;id=urn:contentItem:5F7T-S711-F4W2-61PJ-00000-00&amp;context=" TargetMode="External" /><Relationship Id="rId51" Type="http://schemas.openxmlformats.org/officeDocument/2006/relationships/hyperlink" Target="https://advance.lexis.com/api/document?collection=cases-ca&amp;id=urn:contentItem:5F7T-S771-F2TK-22T7-00000-00&amp;context=" TargetMode="External" /><Relationship Id="rId510" Type="http://schemas.openxmlformats.org/officeDocument/2006/relationships/hyperlink" Target="https://advance.lexis.com/api/document?collection=cases-ca&amp;id=urn:contentItem:5F7T-S6W1-JB7K-21F4-00000-00&amp;context=" TargetMode="External" /><Relationship Id="rId511" Type="http://schemas.openxmlformats.org/officeDocument/2006/relationships/hyperlink" Target="https://advance.lexis.com/api/document?collection=cases-ca&amp;id=urn:contentItem:5F7T-S6X1-JTNR-M3X3-00000-00&amp;context=" TargetMode="External" /><Relationship Id="rId512" Type="http://schemas.openxmlformats.org/officeDocument/2006/relationships/hyperlink" Target="https://advance.lexis.com/api/document?collection=cases-ca&amp;id=urn:contentItem:5F7T-S771-JW5H-X258-00000-00&amp;context=" TargetMode="External" /><Relationship Id="rId513" Type="http://schemas.openxmlformats.org/officeDocument/2006/relationships/hyperlink" Target="https://advance.lexis.com/api/document?collection=cases-ca&amp;id=urn:contentItem:5F81-VJW1-FGY5-M2S9-00000-00&amp;context=" TargetMode="External" /><Relationship Id="rId514" Type="http://schemas.openxmlformats.org/officeDocument/2006/relationships/hyperlink" Target="https://advance.lexis.com/api/document?collection=cases-ca&amp;id=urn:contentItem:5F81-VJX1-JP9P-G50N-00000-00&amp;context=" TargetMode="External" /><Relationship Id="rId515" Type="http://schemas.openxmlformats.org/officeDocument/2006/relationships/hyperlink" Target="https://advance.lexis.com/api/document?collection=cases-ca&amp;id=urn:contentItem:5F7T-S6Y1-JTNR-M4HV-00000-00&amp;context=" TargetMode="External" /><Relationship Id="rId516" Type="http://schemas.openxmlformats.org/officeDocument/2006/relationships/header" Target="header82.xml" /><Relationship Id="rId517" Type="http://schemas.openxmlformats.org/officeDocument/2006/relationships/header" Target="header83.xml" /><Relationship Id="rId518" Type="http://schemas.openxmlformats.org/officeDocument/2006/relationships/footer" Target="footer82.xml" /><Relationship Id="rId519" Type="http://schemas.openxmlformats.org/officeDocument/2006/relationships/footer" Target="footer83.xml" /><Relationship Id="rId52" Type="http://schemas.openxmlformats.org/officeDocument/2006/relationships/hyperlink" Target="https://advance.lexis.com/api/document?collection=cases-ca&amp;id=urn:contentItem:5F8T-N3V1-FC1F-M486-00000-00&amp;context=" TargetMode="External" /><Relationship Id="rId520" Type="http://schemas.openxmlformats.org/officeDocument/2006/relationships/header" Target="header84.xml" /><Relationship Id="rId521" Type="http://schemas.openxmlformats.org/officeDocument/2006/relationships/footer" Target="footer84.xml" /><Relationship Id="rId522" Type="http://schemas.openxmlformats.org/officeDocument/2006/relationships/hyperlink" Target="https://advance.lexis.com/api/document?collection=cases-ca&amp;id=urn:contentItem:5G8K-Y431-JWR6-S2DM-00000-00&amp;context=" TargetMode="External" /><Relationship Id="rId523" Type="http://schemas.openxmlformats.org/officeDocument/2006/relationships/hyperlink" Target="https://advance.lexis.com/api/document?collection=cases-ca&amp;id=urn:contentItem:5F7T-S7D1-JS5Y-B2HY-00000-00&amp;context=" TargetMode="External" /><Relationship Id="rId524" Type="http://schemas.openxmlformats.org/officeDocument/2006/relationships/hyperlink" Target="https://advance.lexis.com/api/document?collection=cases-ca&amp;id=urn:contentItem:5F7T-S7H1-K054-G2BY-00000-00&amp;context=" TargetMode="External" /><Relationship Id="rId525" Type="http://schemas.openxmlformats.org/officeDocument/2006/relationships/hyperlink" Target="https://advance.lexis.com/api/document?collection=cases-ca&amp;id=urn:contentItem:5F81-VJS1-FFFC-B2NJ-00000-00&amp;context=" TargetMode="External" /><Relationship Id="rId526" Type="http://schemas.openxmlformats.org/officeDocument/2006/relationships/hyperlink" Target="https://advance.lexis.com/api/document?collection=cases-ca&amp;id=urn:contentItem:5F8P-SF21-F873-B193-00000-00&amp;context=" TargetMode="External" /><Relationship Id="rId527" Type="http://schemas.openxmlformats.org/officeDocument/2006/relationships/hyperlink" Target="https://advance.lexis.com/api/document?collection=cases-ca&amp;id=urn:contentItem:5F81-WC31-F5KY-B4W9-00000-00&amp;context=" TargetMode="External" /><Relationship Id="rId528" Type="http://schemas.openxmlformats.org/officeDocument/2006/relationships/hyperlink" Target="https://advance.lexis.com/api/document?collection=cases-ca&amp;id=urn:contentItem:5F7T-S7J1-JGBH-B222-00000-00&amp;context=" TargetMode="External" /><Relationship Id="rId529" Type="http://schemas.openxmlformats.org/officeDocument/2006/relationships/hyperlink" Target="https://advance.lexis.com/api/document?collection=cases-ca&amp;id=urn:contentItem:5F7T-S7J1-FGCG-S052-00000-00&amp;context=" TargetMode="External" /><Relationship Id="rId53" Type="http://schemas.openxmlformats.org/officeDocument/2006/relationships/hyperlink" Target="https://advance.lexis.com/api/document?collection=cases-ca&amp;id=urn:contentItem:5F7T-S7P1-JNJT-B2VP-00000-00&amp;context=" TargetMode="External" /><Relationship Id="rId530" Type="http://schemas.openxmlformats.org/officeDocument/2006/relationships/header" Target="header85.xml" /><Relationship Id="rId531" Type="http://schemas.openxmlformats.org/officeDocument/2006/relationships/header" Target="header86.xml" /><Relationship Id="rId532" Type="http://schemas.openxmlformats.org/officeDocument/2006/relationships/footer" Target="footer85.xml" /><Relationship Id="rId533" Type="http://schemas.openxmlformats.org/officeDocument/2006/relationships/footer" Target="footer86.xml" /><Relationship Id="rId534" Type="http://schemas.openxmlformats.org/officeDocument/2006/relationships/header" Target="header87.xml" /><Relationship Id="rId535" Type="http://schemas.openxmlformats.org/officeDocument/2006/relationships/footer" Target="footer87.xml" /><Relationship Id="rId536" Type="http://schemas.openxmlformats.org/officeDocument/2006/relationships/hyperlink" Target="https://advance.lexis.com/api/document?collection=cases-ca&amp;id=urn:contentItem:5F7T-S7D1-FCSB-S338-00000-00&amp;context=" TargetMode="External" /><Relationship Id="rId537" Type="http://schemas.openxmlformats.org/officeDocument/2006/relationships/hyperlink" Target="https://advance.lexis.com/api/document?collection=cases-ca&amp;id=urn:contentItem:5F7T-S781-JSC5-M4BT-00000-00&amp;context=" TargetMode="External" /><Relationship Id="rId538" Type="http://schemas.openxmlformats.org/officeDocument/2006/relationships/hyperlink" Target="https://advance.lexis.com/api/document?collection=cases-ca&amp;id=urn:contentItem:5F7T-S7C1-F4NT-X37W-00000-00&amp;context=" TargetMode="External" /><Relationship Id="rId539" Type="http://schemas.openxmlformats.org/officeDocument/2006/relationships/hyperlink" Target="https://advance.lexis.com/api/document?collection=cases-ca&amp;id=urn:contentItem:5F82-1SF1-JKPJ-G2K8-00000-00&amp;context=" TargetMode="External" /><Relationship Id="rId54" Type="http://schemas.openxmlformats.org/officeDocument/2006/relationships/hyperlink" Target="https://advance.lexis.com/api/document?collection=cases-ca&amp;id=urn:contentItem:5G7S-1GH1-JBDT-B3F9-00000-00&amp;context=" TargetMode="External" /><Relationship Id="rId540" Type="http://schemas.openxmlformats.org/officeDocument/2006/relationships/hyperlink" Target="https://advance.lexis.com/api/document?collection=cases-ca&amp;id=urn:contentItem:5F7T-S6T1-JP9P-G0X4-00000-00&amp;context=" TargetMode="External" /><Relationship Id="rId541" Type="http://schemas.openxmlformats.org/officeDocument/2006/relationships/hyperlink" Target="https://advance.lexis.com/api/document?collection=cases-ca&amp;id=urn:contentItem:5F7T-S731-F016-S331-00000-00&amp;context=" TargetMode="External" /><Relationship Id="rId542" Type="http://schemas.openxmlformats.org/officeDocument/2006/relationships/hyperlink" Target="https://advance.lexis.com/api/document?collection=cases-ca&amp;id=urn:contentItem:5F7T-S741-FJM6-61SH-00000-00&amp;context=" TargetMode="External" /><Relationship Id="rId543" Type="http://schemas.openxmlformats.org/officeDocument/2006/relationships/hyperlink" Target="https://advance.lexis.com/api/document?collection=cases-ca&amp;id=urn:contentItem:5F7T-S6X1-F06F-22C1-00000-00&amp;context=" TargetMode="External" /><Relationship Id="rId544" Type="http://schemas.openxmlformats.org/officeDocument/2006/relationships/hyperlink" Target="https://advance.lexis.com/api/document?collection=cases-ca&amp;id=urn:contentItem:5F8P-SCJ1-FGJR-23N1-00000-00&amp;context=" TargetMode="External" /><Relationship Id="rId545" Type="http://schemas.openxmlformats.org/officeDocument/2006/relationships/hyperlink" Target="https://advance.lexis.com/api/document?collection=cases-ca&amp;id=urn:contentItem:5F7T-S711-FJDY-X2YT-00000-00&amp;context=" TargetMode="External" /><Relationship Id="rId546" Type="http://schemas.openxmlformats.org/officeDocument/2006/relationships/hyperlink" Target="https://advance.lexis.com/api/document?collection=cases-ca&amp;id=urn:contentItem:5F7T-S7B1-JSRM-6046-00000-00&amp;context=" TargetMode="External" /><Relationship Id="rId547" Type="http://schemas.openxmlformats.org/officeDocument/2006/relationships/hyperlink" Target="https://advance.lexis.com/api/document?collection=cases-ca&amp;id=urn:contentItem:5F8T-N3V1-FC1F-M48G-00000-00&amp;context=" TargetMode="External" /><Relationship Id="rId548" Type="http://schemas.openxmlformats.org/officeDocument/2006/relationships/hyperlink" Target="https://advance.lexis.com/api/document?collection=cases-ca&amp;id=urn:contentItem:5F8T-N3N1-JWXF-24JF-00000-00&amp;context=" TargetMode="External" /><Relationship Id="rId549" Type="http://schemas.openxmlformats.org/officeDocument/2006/relationships/hyperlink" Target="https://advance.lexis.com/api/document?collection=cases-ca&amp;id=urn:contentItem:5F8T-N3V1-JF75-M3BC-00000-00&amp;context=" TargetMode="External" /><Relationship Id="rId55" Type="http://schemas.openxmlformats.org/officeDocument/2006/relationships/hyperlink" Target="https://advance.lexis.com/api/document?collection=cases-ca&amp;id=urn:contentItem:5F7T-S7P1-JP4G-61XK-00000-00&amp;context=" TargetMode="External" /><Relationship Id="rId550" Type="http://schemas.openxmlformats.org/officeDocument/2006/relationships/hyperlink" Target="https://advance.lexis.com/api/document?collection=cases-ca&amp;id=urn:contentItem:5F8T-N3V1-JF75-M3PV-00000-00&amp;context=" TargetMode="External" /><Relationship Id="rId551" Type="http://schemas.openxmlformats.org/officeDocument/2006/relationships/hyperlink" Target="https://advance.lexis.com/api/document?collection=cases-ca&amp;id=urn:contentItem:5F8P-SBV1-DXWW-2288-00000-00&amp;context=" TargetMode="External" /><Relationship Id="rId552" Type="http://schemas.openxmlformats.org/officeDocument/2006/relationships/hyperlink" Target="https://advance.lexis.com/api/document?collection=cases-ca&amp;id=urn:contentItem:5F8N-K6X1-JB2B-S4RJ-00000-00&amp;context=" TargetMode="External" /><Relationship Id="rId553" Type="http://schemas.openxmlformats.org/officeDocument/2006/relationships/hyperlink" Target="https://advance.lexis.com/api/document?collection=cases-ca&amp;id=urn:contentItem:5F7T-S7C1-F30T-B272-00000-00&amp;context=" TargetMode="External" /><Relationship Id="rId554" Type="http://schemas.openxmlformats.org/officeDocument/2006/relationships/hyperlink" Target="https://advance.lexis.com/api/document?collection=cases-ca&amp;id=urn:contentItem:5F8W-M491-K0HK-2415-00000-00&amp;context=" TargetMode="External" /><Relationship Id="rId555" Type="http://schemas.openxmlformats.org/officeDocument/2006/relationships/header" Target="header88.xml" /><Relationship Id="rId556" Type="http://schemas.openxmlformats.org/officeDocument/2006/relationships/header" Target="header89.xml" /><Relationship Id="rId557" Type="http://schemas.openxmlformats.org/officeDocument/2006/relationships/footer" Target="footer88.xml" /><Relationship Id="rId558" Type="http://schemas.openxmlformats.org/officeDocument/2006/relationships/footer" Target="footer89.xml" /><Relationship Id="rId559" Type="http://schemas.openxmlformats.org/officeDocument/2006/relationships/header" Target="header90.xml" /><Relationship Id="rId56" Type="http://schemas.openxmlformats.org/officeDocument/2006/relationships/hyperlink" Target="https://advance.lexis.com/api/document?collection=cases-ca&amp;id=urn:contentItem:5F7T-S7K1-JKHB-635J-00000-00&amp;context=" TargetMode="External" /><Relationship Id="rId560" Type="http://schemas.openxmlformats.org/officeDocument/2006/relationships/footer" Target="footer90.xml" /><Relationship Id="rId561" Type="http://schemas.openxmlformats.org/officeDocument/2006/relationships/hyperlink" Target="https://advance.lexis.com/api/document?collection=cases-ca&amp;id=urn:contentItem:5F7T-S7B1-FH4C-X3K3-00000-00&amp;context=" TargetMode="External" /><Relationship Id="rId562" Type="http://schemas.openxmlformats.org/officeDocument/2006/relationships/hyperlink" Target="https://advance.lexis.com/api/document?collection=cases-ca&amp;id=urn:contentItem:5F7T-S701-JF75-M4J3-00000-00&amp;context=" TargetMode="External" /><Relationship Id="rId563" Type="http://schemas.openxmlformats.org/officeDocument/2006/relationships/hyperlink" Target="https://advance.lexis.com/api/document?collection=cases-ca&amp;id=urn:contentItem:5F7T-S6T1-JP9P-G14S-00000-00&amp;context=" TargetMode="External" /><Relationship Id="rId564" Type="http://schemas.openxmlformats.org/officeDocument/2006/relationships/hyperlink" Target="https://advance.lexis.com/api/document?collection=cases-ca&amp;id=urn:contentItem:5F81-VJS1-FFFC-B2F6-00000-00&amp;context=" TargetMode="External" /><Relationship Id="rId565" Type="http://schemas.openxmlformats.org/officeDocument/2006/relationships/header" Target="header91.xml" /><Relationship Id="rId566" Type="http://schemas.openxmlformats.org/officeDocument/2006/relationships/header" Target="header92.xml" /><Relationship Id="rId567" Type="http://schemas.openxmlformats.org/officeDocument/2006/relationships/footer" Target="footer91.xml" /><Relationship Id="rId568" Type="http://schemas.openxmlformats.org/officeDocument/2006/relationships/footer" Target="footer92.xml" /><Relationship Id="rId569" Type="http://schemas.openxmlformats.org/officeDocument/2006/relationships/header" Target="header93.xml" /><Relationship Id="rId57" Type="http://schemas.openxmlformats.org/officeDocument/2006/relationships/hyperlink" Target="https://advance.lexis.com/api/document?collection=cases-ca&amp;id=urn:contentItem:5F7T-S7H1-JCRC-B16G-00000-00&amp;context=" TargetMode="External" /><Relationship Id="rId570" Type="http://schemas.openxmlformats.org/officeDocument/2006/relationships/footer" Target="footer93.xml" /><Relationship Id="rId571" Type="http://schemas.openxmlformats.org/officeDocument/2006/relationships/hyperlink" Target="https://advance.lexis.com/api/document?collection=cases-ca&amp;id=urn:contentItem:5F7T-S7D1-JG02-S2SX-00000-00&amp;context=" TargetMode="External" /><Relationship Id="rId572" Type="http://schemas.openxmlformats.org/officeDocument/2006/relationships/hyperlink" Target="https://advance.lexis.com/api/document?collection=cases-ca&amp;id=urn:contentItem:5F81-VJX1-JJYN-B4KT-00000-00&amp;context=" TargetMode="External" /><Relationship Id="rId573" Type="http://schemas.openxmlformats.org/officeDocument/2006/relationships/hyperlink" Target="https://advance.lexis.com/api/document?collection=cases-ca&amp;id=urn:contentItem:5F7T-S7C1-JCJ5-20KN-00000-00&amp;context=" TargetMode="External" /><Relationship Id="rId574" Type="http://schemas.openxmlformats.org/officeDocument/2006/relationships/hyperlink" Target="https://advance.lexis.com/api/document?collection=cases-ca&amp;id=urn:contentItem:5F7T-S7C1-FGRY-B0G8-00000-00&amp;context=" TargetMode="External" /><Relationship Id="rId575" Type="http://schemas.openxmlformats.org/officeDocument/2006/relationships/hyperlink" Target="https://advance.lexis.com/api/document?collection=cases-ca&amp;id=urn:contentItem:5F81-VJX1-FFTT-X1KB-00000-00&amp;context=" TargetMode="External" /><Relationship Id="rId576" Type="http://schemas.openxmlformats.org/officeDocument/2006/relationships/hyperlink" Target="https://advance.lexis.com/api/document?collection=cases-ca&amp;id=urn:contentItem:5F7T-S761-JX8W-M2NW-00000-00&amp;context=" TargetMode="External" /><Relationship Id="rId577" Type="http://schemas.openxmlformats.org/officeDocument/2006/relationships/hyperlink" Target="https://advance.lexis.com/api/document?collection=cases-ca&amp;id=urn:contentItem:5F7T-S7D1-FFFC-B14B-00000-00&amp;context=" TargetMode="External" /><Relationship Id="rId578" Type="http://schemas.openxmlformats.org/officeDocument/2006/relationships/hyperlink" Target="https://advance.lexis.com/api/document?collection=cases-ca&amp;id=urn:contentItem:5F8P-SD81-JX8W-M4JF-00000-00&amp;context=" TargetMode="External" /><Relationship Id="rId579" Type="http://schemas.openxmlformats.org/officeDocument/2006/relationships/hyperlink" Target="https://advance.lexis.com/api/document?collection=cases-ca&amp;id=urn:contentItem:5F7T-S771-JTGH-B1G5-00000-00&amp;context=" TargetMode="External" /><Relationship Id="rId58" Type="http://schemas.openxmlformats.org/officeDocument/2006/relationships/hyperlink" Target="https://advance.lexis.com/api/document?collection=cases-ca&amp;id=urn:contentItem:5F8T-N3V1-JF75-M3N0-00000-00&amp;context=" TargetMode="External" /><Relationship Id="rId580" Type="http://schemas.openxmlformats.org/officeDocument/2006/relationships/hyperlink" Target="https://advance.lexis.com/api/document?collection=cases-ca&amp;id=urn:contentItem:5F7T-S7B1-JSRM-6051-00000-00&amp;context=" TargetMode="External" /><Relationship Id="rId581" Type="http://schemas.openxmlformats.org/officeDocument/2006/relationships/header" Target="header94.xml" /><Relationship Id="rId582" Type="http://schemas.openxmlformats.org/officeDocument/2006/relationships/header" Target="header95.xml" /><Relationship Id="rId583" Type="http://schemas.openxmlformats.org/officeDocument/2006/relationships/footer" Target="footer94.xml" /><Relationship Id="rId584" Type="http://schemas.openxmlformats.org/officeDocument/2006/relationships/footer" Target="footer95.xml" /><Relationship Id="rId585" Type="http://schemas.openxmlformats.org/officeDocument/2006/relationships/header" Target="header96.xml" /><Relationship Id="rId586" Type="http://schemas.openxmlformats.org/officeDocument/2006/relationships/footer" Target="footer96.xml" /><Relationship Id="rId587" Type="http://schemas.openxmlformats.org/officeDocument/2006/relationships/hyperlink" Target="https://advance.lexis.com/api/document?collection=cases-ca&amp;id=urn:contentItem:5F7T-S7C1-FCSB-S220-00000-00&amp;context=" TargetMode="External" /><Relationship Id="rId588" Type="http://schemas.openxmlformats.org/officeDocument/2006/relationships/hyperlink" Target="https://advance.lexis.com/api/document?collection=cases-ca&amp;id=urn:contentItem:5F2P-SDF1-F27X-61XN-00000-00&amp;context=" TargetMode="External" /><Relationship Id="rId589" Type="http://schemas.openxmlformats.org/officeDocument/2006/relationships/hyperlink" Target="https://advance.lexis.com/api/document?collection=legislation-ca&amp;id=urn:contentItem:5F41-1FG1-JC0G-61JX-00000-00&amp;context=" TargetMode="External" /><Relationship Id="rId59" Type="http://schemas.openxmlformats.org/officeDocument/2006/relationships/hyperlink" Target="https://advance.lexis.com/api/document?collection=cases-ca&amp;id=urn:contentItem:5F7T-S7N1-JWR6-S2FP-00000-00&amp;context=" TargetMode="External" /><Relationship Id="rId590" Type="http://schemas.openxmlformats.org/officeDocument/2006/relationships/hyperlink" Target="https://advance.lexis.com/api/document?collection=cases-ca&amp;id=urn:contentItem:5F7T-S751-JG02-S2FM-00000-00&amp;context=" TargetMode="External" /><Relationship Id="rId591" Type="http://schemas.openxmlformats.org/officeDocument/2006/relationships/hyperlink" Target="https://advance.lexis.com/api/document?collection=cases-ca&amp;id=urn:contentItem:5F7T-S771-JW5H-X21R-00000-00&amp;context=" TargetMode="External" /><Relationship Id="rId592" Type="http://schemas.openxmlformats.org/officeDocument/2006/relationships/hyperlink" Target="https://advance.lexis.com/api/document?collection=cases-ca&amp;id=urn:contentItem:5F7T-S771-F81W-22SH-00000-00&amp;context=" TargetMode="External" /><Relationship Id="rId593" Type="http://schemas.openxmlformats.org/officeDocument/2006/relationships/hyperlink" Target="https://advance.lexis.com/api/document?collection=cases-ca&amp;id=urn:contentItem:5F7T-S761-F81W-21M6-00000-00&amp;context=" TargetMode="External" /><Relationship Id="rId594" Type="http://schemas.openxmlformats.org/officeDocument/2006/relationships/hyperlink" Target="https://advance.lexis.com/api/document?collection=cases-ca&amp;id=urn:contentItem:5F7T-S761-JGHR-M2PM-00000-00&amp;context=" TargetMode="External" /><Relationship Id="rId595" Type="http://schemas.openxmlformats.org/officeDocument/2006/relationships/hyperlink" Target="https://advance.lexis.com/api/document?collection=cases-ca&amp;id=urn:contentItem:5F7T-S761-JGHR-M2NB-00000-00&amp;context=" TargetMode="External" /><Relationship Id="rId596" Type="http://schemas.openxmlformats.org/officeDocument/2006/relationships/hyperlink" Target="https://advance.lexis.com/api/document?collection=cases-ca&amp;id=urn:contentItem:5F7T-S721-F8D9-M0MM-00000-00&amp;context=" TargetMode="External" /><Relationship Id="rId597" Type="http://schemas.openxmlformats.org/officeDocument/2006/relationships/hyperlink" Target="https://advance.lexis.com/api/document?collection=cases-ca&amp;id=urn:contentItem:5F7T-S781-F7G6-63KH-00000-00&amp;context=" TargetMode="External" /><Relationship Id="rId598" Type="http://schemas.openxmlformats.org/officeDocument/2006/relationships/hyperlink" Target="https://advance.lexis.com/api/document?collection=cases-ca&amp;id=urn:contentItem:5F7T-S751-JX3N-B0NX-00000-00&amp;context=" TargetMode="External" /><Relationship Id="rId599" Type="http://schemas.openxmlformats.org/officeDocument/2006/relationships/hyperlink" Target="https://advance.lexis.com/api/document?collection=cases-ca&amp;id=urn:contentItem:5F7T-S761-JGHR-M2S7-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P1-JG02-S3W9-00000-00&amp;context=" TargetMode="External" /><Relationship Id="rId600" Type="http://schemas.openxmlformats.org/officeDocument/2006/relationships/hyperlink" Target="https://advance.lexis.com/api/document?collection=cases-ca&amp;id=urn:contentItem:5F7T-S751-F361-M0X4-00000-00&amp;context=" TargetMode="External" /><Relationship Id="rId601" Type="http://schemas.openxmlformats.org/officeDocument/2006/relationships/hyperlink" Target="https://advance.lexis.com/api/document?collection=cases-ca&amp;id=urn:contentItem:5F7T-S771-JSJC-X05J-00000-00&amp;context=" TargetMode="External" /><Relationship Id="rId602" Type="http://schemas.openxmlformats.org/officeDocument/2006/relationships/hyperlink" Target="https://advance.lexis.com/api/document?collection=cases-ca&amp;id=urn:contentItem:5F7T-S751-JG02-S2J2-00000-00&amp;context=" TargetMode="External" /><Relationship Id="rId603" Type="http://schemas.openxmlformats.org/officeDocument/2006/relationships/hyperlink" Target="https://advance.lexis.com/api/document?collection=cases-ca&amp;id=urn:contentItem:5F7T-S751-JG02-S280-00000-00&amp;context=" TargetMode="External" /><Relationship Id="rId604" Type="http://schemas.openxmlformats.org/officeDocument/2006/relationships/hyperlink" Target="https://advance.lexis.com/api/document?collection=cases-ca&amp;id=urn:contentItem:5F7T-S741-DXPM-S141-00000-00&amp;context=" TargetMode="External" /><Relationship Id="rId605" Type="http://schemas.openxmlformats.org/officeDocument/2006/relationships/hyperlink" Target="https://advance.lexis.com/api/document?collection=cases-ca&amp;id=urn:contentItem:5F7T-S771-F2TK-2322-00000-00&amp;context=" TargetMode="External" /><Relationship Id="rId606" Type="http://schemas.openxmlformats.org/officeDocument/2006/relationships/hyperlink" Target="https://advance.lexis.com/api/document?collection=cases-ca&amp;id=urn:contentItem:5F7T-S771-F2TK-231K-00000-00&amp;context=" TargetMode="External" /><Relationship Id="rId607" Type="http://schemas.openxmlformats.org/officeDocument/2006/relationships/hyperlink" Target="https://advance.lexis.com/api/document?collection=cases-ca&amp;id=urn:contentItem:5F7T-S761-F81W-225C-00000-00&amp;context=" TargetMode="External" /><Relationship Id="rId608" Type="http://schemas.openxmlformats.org/officeDocument/2006/relationships/hyperlink" Target="https://advance.lexis.com/api/document?collection=cases-ca&amp;id=urn:contentItem:5F7T-S721-FD4T-B0MF-00000-00&amp;context=" TargetMode="External" /><Relationship Id="rId609" Type="http://schemas.openxmlformats.org/officeDocument/2006/relationships/hyperlink" Target="https://advance.lexis.com/api/document?collection=cases-ca&amp;id=urn:contentItem:5F7T-S731-DY33-B0YN-00000-00&amp;context=" TargetMode="External" /><Relationship Id="rId61" Type="http://schemas.openxmlformats.org/officeDocument/2006/relationships/hyperlink" Target="https://advance.lexis.com/api/document?collection=cases-ca&amp;id=urn:contentItem:5F8T-N3V1-JTGH-B1HX-00000-00&amp;context=" TargetMode="External" /><Relationship Id="rId610" Type="http://schemas.openxmlformats.org/officeDocument/2006/relationships/hyperlink" Target="https://advance.lexis.com/api/document?collection=cases-ca&amp;id=urn:contentItem:5F7T-S721-FG12-61XY-00000-00&amp;context=" TargetMode="External" /><Relationship Id="rId611" Type="http://schemas.openxmlformats.org/officeDocument/2006/relationships/hyperlink" Target="https://advance.lexis.com/api/document?collection=cases-ca&amp;id=urn:contentItem:5F7T-S711-JNY7-X30K-00000-00&amp;context=" TargetMode="External" /><Relationship Id="rId612" Type="http://schemas.openxmlformats.org/officeDocument/2006/relationships/hyperlink" Target="https://advance.lexis.com/api/document?collection=cases-ca&amp;id=urn:contentItem:5F7T-S6W1-JYYX-61TX-00000-00&amp;context=" TargetMode="External" /><Relationship Id="rId613" Type="http://schemas.openxmlformats.org/officeDocument/2006/relationships/header" Target="header97.xml" /><Relationship Id="rId614" Type="http://schemas.openxmlformats.org/officeDocument/2006/relationships/header" Target="header98.xml" /><Relationship Id="rId615" Type="http://schemas.openxmlformats.org/officeDocument/2006/relationships/footer" Target="footer97.xml" /><Relationship Id="rId616" Type="http://schemas.openxmlformats.org/officeDocument/2006/relationships/footer" Target="footer98.xml" /><Relationship Id="rId617" Type="http://schemas.openxmlformats.org/officeDocument/2006/relationships/header" Target="header99.xml" /><Relationship Id="rId618" Type="http://schemas.openxmlformats.org/officeDocument/2006/relationships/footer" Target="footer99.xml" /><Relationship Id="rId619" Type="http://schemas.openxmlformats.org/officeDocument/2006/relationships/hyperlink" Target="https://advance.lexis.com/api/document?collection=cases-ca&amp;id=urn:contentItem:5F7T-S7M1-F4W2-6291-00000-00&amp;context=" TargetMode="External" /><Relationship Id="rId62" Type="http://schemas.openxmlformats.org/officeDocument/2006/relationships/hyperlink" Target="https://advance.lexis.com/api/document?collection=cases-ca&amp;id=urn:contentItem:5HBF-Y861-FGRY-B2CX-00000-00&amp;context=" TargetMode="External" /><Relationship Id="rId620" Type="http://schemas.openxmlformats.org/officeDocument/2006/relationships/hyperlink" Target="https://advance.lexis.com/api/document?collection=cases-ca&amp;id=urn:contentItem:5F7T-S7M1-F4W2-6237-00000-00&amp;context=" TargetMode="External" /><Relationship Id="rId621" Type="http://schemas.openxmlformats.org/officeDocument/2006/relationships/hyperlink" Target="https://advance.lexis.com/api/document?collection=cases-ca&amp;id=urn:contentItem:5F7T-S7M1-F4W2-620R-00000-00&amp;context=" TargetMode="External" /><Relationship Id="rId622" Type="http://schemas.openxmlformats.org/officeDocument/2006/relationships/hyperlink" Target="https://advance.lexis.com/api/document?collection=cases-ca&amp;id=urn:contentItem:5F7T-S7H1-JG02-S3BF-00000-00&amp;context=" TargetMode="External" /><Relationship Id="rId623" Type="http://schemas.openxmlformats.org/officeDocument/2006/relationships/hyperlink" Target="https://advance.lexis.com/api/document?collection=cases-ca&amp;id=urn:contentItem:5F7T-S6V1-F956-S04T-00000-00&amp;context=" TargetMode="External" /><Relationship Id="rId624" Type="http://schemas.openxmlformats.org/officeDocument/2006/relationships/hyperlink" Target="https://advance.lexis.com/api/document?collection=cases-ca&amp;id=urn:contentItem:5F7T-S6X1-JXNB-631D-00000-00&amp;context=" TargetMode="External" /><Relationship Id="rId625" Type="http://schemas.openxmlformats.org/officeDocument/2006/relationships/hyperlink" Target="https://advance.lexis.com/api/document?collection=cases-ca&amp;id=urn:contentItem:5F16-93B1-F4GK-M451-00000-00&amp;context=" TargetMode="External" /><Relationship Id="rId626" Type="http://schemas.openxmlformats.org/officeDocument/2006/relationships/hyperlink" Target="https://advance.lexis.com/api/document?collection=cases-ca&amp;id=urn:contentItem:5F7V-3DH1-JCRC-B4T9-00000-00&amp;context=" TargetMode="External" /><Relationship Id="rId627" Type="http://schemas.openxmlformats.org/officeDocument/2006/relationships/hyperlink" Target="https://advance.lexis.com/api/document?collection=cases-ca&amp;id=urn:contentItem:5F81-VJT1-FD4T-B2HJ-00000-00&amp;context=" TargetMode="External" /><Relationship Id="rId628" Type="http://schemas.openxmlformats.org/officeDocument/2006/relationships/hyperlink" Target="https://advance.lexis.com/api/document?collection=cases-ca&amp;id=urn:contentItem:5F7T-S701-JF75-M4P2-00000-00&amp;context=" TargetMode="External" /><Relationship Id="rId629" Type="http://schemas.openxmlformats.org/officeDocument/2006/relationships/hyperlink" Target="https://advance.lexis.com/api/document?collection=cases-ca&amp;id=urn:contentItem:5F16-9351-JSXV-G4FP-00000-00&amp;context=" TargetMode="External" /><Relationship Id="rId63" Type="http://schemas.openxmlformats.org/officeDocument/2006/relationships/hyperlink" Target="https://advance.lexis.com/api/document?collection=cases-ca&amp;id=urn:contentItem:5F8T-N3V1-FC1F-M4BH-00000-00&amp;context=" TargetMode="External" /><Relationship Id="rId630" Type="http://schemas.openxmlformats.org/officeDocument/2006/relationships/hyperlink" Target="https://advance.lexis.com/api/document?collection=cases-ca&amp;id=urn:contentItem:5F7T-S6V1-JC0G-622N-00000-00&amp;context=" TargetMode="External" /><Relationship Id="rId631" Type="http://schemas.openxmlformats.org/officeDocument/2006/relationships/hyperlink" Target="https://advance.lexis.com/api/document?collection=cases-ca&amp;id=urn:contentItem:5F7T-S731-DY33-B17P-00000-00&amp;context=" TargetMode="External" /><Relationship Id="rId632" Type="http://schemas.openxmlformats.org/officeDocument/2006/relationships/hyperlink" Target="https://advance.lexis.com/api/document?collection=cases-ca&amp;id=urn:contentItem:5F7T-S761-F81W-21NN-00000-00&amp;context=" TargetMode="External" /><Relationship Id="rId633" Type="http://schemas.openxmlformats.org/officeDocument/2006/relationships/hyperlink" Target="https://advance.lexis.com/api/document?collection=cases-ca&amp;id=urn:contentItem:5F7T-S771-JTGH-B16H-00000-00&amp;context=" TargetMode="External" /><Relationship Id="rId634" Type="http://schemas.openxmlformats.org/officeDocument/2006/relationships/hyperlink" Target="https://advance.lexis.com/api/document?collection=cases-ca&amp;id=urn:contentItem:5F7T-XPW1-F1H1-203W-00000-00&amp;context=" TargetMode="External" /><Relationship Id="rId635" Type="http://schemas.openxmlformats.org/officeDocument/2006/relationships/hyperlink" Target="https://advance.lexis.com/api/document?collection=cases-ca&amp;id=urn:contentItem:5F7T-S711-JNY7-X38K-00000-00&amp;context=" TargetMode="External" /><Relationship Id="rId636" Type="http://schemas.openxmlformats.org/officeDocument/2006/relationships/hyperlink" Target="https://advance.lexis.com/api/document?collection=cases-ca&amp;id=urn:contentItem:5F16-9301-F8SS-63JH-00000-00&amp;context=" TargetMode="External" /><Relationship Id="rId637" Type="http://schemas.openxmlformats.org/officeDocument/2006/relationships/hyperlink" Target="https://advance.lexis.com/api/document?collection=cases-ca&amp;id=urn:contentItem:5F7T-S6Y1-JF75-M3Y3-00000-00&amp;context=" TargetMode="External" /><Relationship Id="rId638" Type="http://schemas.openxmlformats.org/officeDocument/2006/relationships/header" Target="header100.xml" /><Relationship Id="rId639" Type="http://schemas.openxmlformats.org/officeDocument/2006/relationships/header" Target="header101.xml" /><Relationship Id="rId64" Type="http://schemas.openxmlformats.org/officeDocument/2006/relationships/hyperlink" Target="https://advance.lexis.com/api/document?collection=cases-ca&amp;id=urn:contentItem:5F7T-S7K1-JX3N-B2Y3-00000-00&amp;context=" TargetMode="External" /><Relationship Id="rId640" Type="http://schemas.openxmlformats.org/officeDocument/2006/relationships/footer" Target="footer100.xml" /><Relationship Id="rId641" Type="http://schemas.openxmlformats.org/officeDocument/2006/relationships/footer" Target="footer101.xml" /><Relationship Id="rId642" Type="http://schemas.openxmlformats.org/officeDocument/2006/relationships/header" Target="header102.xml" /><Relationship Id="rId643" Type="http://schemas.openxmlformats.org/officeDocument/2006/relationships/footer" Target="footer102.xml" /><Relationship Id="rId644" Type="http://schemas.openxmlformats.org/officeDocument/2006/relationships/hyperlink" Target="https://advance.lexis.com/api/document?collection=cases-ca&amp;id=urn:contentItem:5K6X-JJV1-JSJC-X0V7-00000-00&amp;context=" TargetMode="External" /><Relationship Id="rId645" Type="http://schemas.openxmlformats.org/officeDocument/2006/relationships/hyperlink" Target="https://advance.lexis.com/api/document?collection=cases-ca&amp;id=urn:contentItem:5F7T-S7H1-JS5Y-B2NN-00000-00&amp;context=" TargetMode="External" /><Relationship Id="rId646" Type="http://schemas.openxmlformats.org/officeDocument/2006/relationships/hyperlink" Target="https://advance.lexis.com/api/document?collection=cases-ca&amp;id=urn:contentItem:5F7T-S781-F7G6-636J-00000-00&amp;context=" TargetMode="External" /><Relationship Id="rId647" Type="http://schemas.openxmlformats.org/officeDocument/2006/relationships/hyperlink" Target="https://advance.lexis.com/api/document?collection=cases-ca&amp;id=urn:contentItem:5F7T-S711-FJDY-X2WN-00000-00&amp;context=" TargetMode="External" /><Relationship Id="rId648" Type="http://schemas.openxmlformats.org/officeDocument/2006/relationships/hyperlink" Target="https://advance.lexis.com/api/document?collection=cases-ca&amp;id=urn:contentItem:5F7T-S6Y1-DY33-B02X-00000-00&amp;context=" TargetMode="External" /><Relationship Id="rId649" Type="http://schemas.openxmlformats.org/officeDocument/2006/relationships/hyperlink" Target="https://advance.lexis.com/api/document?collection=cases-ca&amp;id=urn:contentItem:5F7T-S781-F06F-243P-00000-00&amp;context=" TargetMode="External" /><Relationship Id="rId65" Type="http://schemas.openxmlformats.org/officeDocument/2006/relationships/hyperlink" Target="https://advance.lexis.com/api/document?collection=cases-ca&amp;id=urn:contentItem:5F8T-N3V1-JTGH-B1BC-00000-00&amp;context=" TargetMode="External" /><Relationship Id="rId650" Type="http://schemas.openxmlformats.org/officeDocument/2006/relationships/hyperlink" Target="https://advance.lexis.com/api/document?collection=cases-ca&amp;id=urn:contentItem:5F7T-S6T1-JJ1H-X22K-00000-00&amp;context=" TargetMode="External" /><Relationship Id="rId651" Type="http://schemas.openxmlformats.org/officeDocument/2006/relationships/header" Target="header103.xml" /><Relationship Id="rId652" Type="http://schemas.openxmlformats.org/officeDocument/2006/relationships/header" Target="header104.xml" /><Relationship Id="rId653" Type="http://schemas.openxmlformats.org/officeDocument/2006/relationships/footer" Target="footer103.xml" /><Relationship Id="rId654" Type="http://schemas.openxmlformats.org/officeDocument/2006/relationships/footer" Target="footer104.xml" /><Relationship Id="rId655" Type="http://schemas.openxmlformats.org/officeDocument/2006/relationships/header" Target="header105.xml" /><Relationship Id="rId656" Type="http://schemas.openxmlformats.org/officeDocument/2006/relationships/footer" Target="footer105.xml" /><Relationship Id="rId657" Type="http://schemas.openxmlformats.org/officeDocument/2006/relationships/hyperlink" Target="https://advance.lexis.com/api/document?collection=cases-ca&amp;id=urn:contentItem:5F7T-S781-FH4C-X2SP-00000-00&amp;context=" TargetMode="External" /><Relationship Id="rId658" Type="http://schemas.openxmlformats.org/officeDocument/2006/relationships/hyperlink" Target="https://advance.lexis.com/api/document?collection=cases-ca&amp;id=urn:contentItem:5F7T-S751-JBM1-M22B-00000-00&amp;context=" TargetMode="External" /><Relationship Id="rId659" Type="http://schemas.openxmlformats.org/officeDocument/2006/relationships/hyperlink" Target="https://advance.lexis.com/api/document?collection=cases-ca&amp;id=urn:contentItem:5F7T-S761-F7ND-G4GG-00000-00&amp;context=" TargetMode="External" /><Relationship Id="rId66" Type="http://schemas.openxmlformats.org/officeDocument/2006/relationships/hyperlink" Target="https://advance.lexis.com/api/document?collection=cases-ca&amp;id=urn:contentItem:5F8T-N3T1-JJSF-236F-00000-00&amp;context=" TargetMode="External" /><Relationship Id="rId660" Type="http://schemas.openxmlformats.org/officeDocument/2006/relationships/header" Target="header106.xml" /><Relationship Id="rId661" Type="http://schemas.openxmlformats.org/officeDocument/2006/relationships/header" Target="header107.xml" /><Relationship Id="rId662" Type="http://schemas.openxmlformats.org/officeDocument/2006/relationships/footer" Target="footer106.xml" /><Relationship Id="rId663" Type="http://schemas.openxmlformats.org/officeDocument/2006/relationships/footer" Target="footer107.xml" /><Relationship Id="rId664" Type="http://schemas.openxmlformats.org/officeDocument/2006/relationships/header" Target="header108.xml" /><Relationship Id="rId665" Type="http://schemas.openxmlformats.org/officeDocument/2006/relationships/footer" Target="footer108.xml" /><Relationship Id="rId666" Type="http://schemas.openxmlformats.org/officeDocument/2006/relationships/hyperlink" Target="https://advance.lexis.com/api/document?collection=cases-ca&amp;id=urn:contentItem:5F7T-S7M1-JPP5-22S1-00000-00&amp;context=" TargetMode="External" /><Relationship Id="rId667" Type="http://schemas.openxmlformats.org/officeDocument/2006/relationships/hyperlink" Target="https://advance.lexis.com/api/document?collection=legislation-ca&amp;id=urn:contentItem:5F3B-B7W1-JTGH-B00Y-00000-00&amp;context=" TargetMode="External" /><Relationship Id="rId668" Type="http://schemas.openxmlformats.org/officeDocument/2006/relationships/hyperlink" Target="https://advance.lexis.com/api/document?collection=legislation-ca&amp;id=urn:contentItem:5F41-1FJ1-JPGX-S0S5-00000-00&amp;context=" TargetMode="External" /><Relationship Id="rId669" Type="http://schemas.openxmlformats.org/officeDocument/2006/relationships/hyperlink" Target="https://advance.lexis.com/api/document?collection=cases-ca&amp;id=urn:contentItem:5F7T-S711-F5KY-B0P4-00000-00&amp;context=" TargetMode="External" /><Relationship Id="rId67" Type="http://schemas.openxmlformats.org/officeDocument/2006/relationships/hyperlink" Target="https://advance.lexis.com/api/document?collection=cases-ca&amp;id=urn:contentItem:5F7T-S7N1-F06F-24PN-00000-00&amp;context=" TargetMode="External" /><Relationship Id="rId670" Type="http://schemas.openxmlformats.org/officeDocument/2006/relationships/hyperlink" Target="https://advance.lexis.com/api/document?collection=cases-ca&amp;id=urn:contentItem:5F8T-N3V1-JTGH-B1GJ-00000-00&amp;context=" TargetMode="External" /><Relationship Id="rId671" Type="http://schemas.openxmlformats.org/officeDocument/2006/relationships/hyperlink" Target="https://advance.lexis.com/api/document?collection=cases-ca&amp;id=urn:contentItem:5F7T-S7D1-FBFS-S1W8-00000-00&amp;context=" TargetMode="External" /><Relationship Id="rId672" Type="http://schemas.openxmlformats.org/officeDocument/2006/relationships/hyperlink" Target="https://advance.lexis.com/api/document?collection=cases-ca&amp;id=urn:contentItem:5F7T-S761-F81W-21N5-00000-00&amp;context=" TargetMode="External" /><Relationship Id="rId673" Type="http://schemas.openxmlformats.org/officeDocument/2006/relationships/hyperlink" Target="https://advance.lexis.com/api/document?collection=cases-ca&amp;id=urn:contentItem:5F8T-N3V1-JTGH-B1GX-00000-00&amp;context=" TargetMode="External" /><Relationship Id="rId674" Type="http://schemas.openxmlformats.org/officeDocument/2006/relationships/hyperlink" Target="https://advance.lexis.com/api/document?collection=cases-ca&amp;id=urn:contentItem:5F7T-S7C1-FGRY-B057-00000-00&amp;context=" TargetMode="External" /><Relationship Id="rId675" Type="http://schemas.openxmlformats.org/officeDocument/2006/relationships/header" Target="header109.xml" /><Relationship Id="rId676" Type="http://schemas.openxmlformats.org/officeDocument/2006/relationships/header" Target="header110.xml" /><Relationship Id="rId677" Type="http://schemas.openxmlformats.org/officeDocument/2006/relationships/footer" Target="footer109.xml" /><Relationship Id="rId678" Type="http://schemas.openxmlformats.org/officeDocument/2006/relationships/footer" Target="footer110.xml" /><Relationship Id="rId679" Type="http://schemas.openxmlformats.org/officeDocument/2006/relationships/header" Target="header111.xml" /><Relationship Id="rId68" Type="http://schemas.openxmlformats.org/officeDocument/2006/relationships/hyperlink" Target="https://advance.lexis.com/api/document?collection=cases-ca&amp;id=urn:contentItem:5F8T-N3V1-JF75-M3BS-00000-00&amp;context=" TargetMode="External" /><Relationship Id="rId680" Type="http://schemas.openxmlformats.org/officeDocument/2006/relationships/footer" Target="footer111.xml" /><Relationship Id="rId681" Type="http://schemas.openxmlformats.org/officeDocument/2006/relationships/hyperlink" Target="https://advance.lexis.com/api/document?collection=cases-ca&amp;id=urn:contentItem:5F7T-S7K1-DY33-B1GF-00000-00&amp;context=" TargetMode="External" /><Relationship Id="rId682" Type="http://schemas.openxmlformats.org/officeDocument/2006/relationships/hyperlink" Target="https://advance.lexis.com/api/document?collection=legislation-ca&amp;id=urn:contentItem:5W2C-X5M1-JX3N-B3PS-00000-00&amp;context=" TargetMode="External" /><Relationship Id="rId683" Type="http://schemas.openxmlformats.org/officeDocument/2006/relationships/hyperlink" Target="https://advance.lexis.com/api/document?collection=cases-ca&amp;id=urn:contentItem:5F7T-S7D1-FC6N-X0NR-00000-00&amp;context=" TargetMode="External" /><Relationship Id="rId684" Type="http://schemas.openxmlformats.org/officeDocument/2006/relationships/hyperlink" Target="https://advance.lexis.com/api/document?collection=cases-ca&amp;id=urn:contentItem:5F7T-S7F1-JX3N-B1HJ-00000-00&amp;context=" TargetMode="External" /><Relationship Id="rId685" Type="http://schemas.openxmlformats.org/officeDocument/2006/relationships/hyperlink" Target="https://advance.lexis.com/api/document?collection=cases-ca&amp;id=urn:contentItem:5F82-1SH1-JCBX-S36J-00000-00&amp;context=" TargetMode="External" /><Relationship Id="rId686" Type="http://schemas.openxmlformats.org/officeDocument/2006/relationships/hyperlink" Target="https://advance.lexis.com/api/document?collection=cases-ca&amp;id=urn:contentItem:5F7T-S6V1-JFKM-61CW-00000-00&amp;context=" TargetMode="External" /><Relationship Id="rId687" Type="http://schemas.openxmlformats.org/officeDocument/2006/relationships/hyperlink" Target="https://advance.lexis.com/api/document?collection=cases-ca&amp;id=urn:contentItem:5F7T-S781-JC5P-G1JG-00000-00&amp;context=" TargetMode="External" /><Relationship Id="rId688" Type="http://schemas.openxmlformats.org/officeDocument/2006/relationships/hyperlink" Target="https://advance.lexis.com/api/document?collection=cases-ca&amp;id=urn:contentItem:5F7T-S771-JW5H-X1R6-00000-00&amp;context=" TargetMode="External" /><Relationship Id="rId689" Type="http://schemas.openxmlformats.org/officeDocument/2006/relationships/hyperlink" Target="https://advance.lexis.com/api/document?collection=cases-ca&amp;id=urn:contentItem:5F7T-S7H1-JFSV-G35P-00000-00&amp;context=" TargetMode="External" /><Relationship Id="rId69" Type="http://schemas.openxmlformats.org/officeDocument/2006/relationships/hyperlink" Target="https://advance.lexis.com/api/document?collection=cases-ca&amp;id=urn:contentItem:5F8T-N3V1-JFKM-600X-00000-00&amp;context=" TargetMode="External" /><Relationship Id="rId690" Type="http://schemas.openxmlformats.org/officeDocument/2006/relationships/hyperlink" Target="https://advance.lexis.com/api/document?collection=cases-ca&amp;id=urn:contentItem:5F7T-S7C1-F7VM-S386-00000-00&amp;context=" TargetMode="External" /><Relationship Id="rId691" Type="http://schemas.openxmlformats.org/officeDocument/2006/relationships/hyperlink" Target="https://advance.lexis.com/api/document?collection=cases-ca&amp;id=urn:contentItem:5F7T-S7H1-F016-S42W-00000-00&amp;context=" TargetMode="External" /><Relationship Id="rId692" Type="http://schemas.openxmlformats.org/officeDocument/2006/relationships/hyperlink" Target="https://advance.lexis.com/api/document?collection=cases-ca&amp;id=urn:contentItem:5F7T-S6V1-JFKM-612H-00000-00&amp;context=" TargetMode="External" /><Relationship Id="rId693" Type="http://schemas.openxmlformats.org/officeDocument/2006/relationships/hyperlink" Target="https://advance.lexis.com/api/document?collection=cases-ca&amp;id=urn:contentItem:5F7T-S761-JX8W-M330-00000-00&amp;context=" TargetMode="External" /><Relationship Id="rId694" Type="http://schemas.openxmlformats.org/officeDocument/2006/relationships/hyperlink" Target="https://advance.lexis.com/api/document?collection=cases-ca&amp;id=urn:contentItem:5F7T-S761-JS5Y-B1XS-00000-00&amp;context=" TargetMode="External" /><Relationship Id="rId695" Type="http://schemas.openxmlformats.org/officeDocument/2006/relationships/hyperlink" Target="https://advance.lexis.com/api/document?collection=cases-ca&amp;id=urn:contentItem:5F7T-S751-JX3N-B0V7-00000-00&amp;context=" TargetMode="External" /><Relationship Id="rId696" Type="http://schemas.openxmlformats.org/officeDocument/2006/relationships/hyperlink" Target="https://advance.lexis.com/api/document?collection=cases-ca&amp;id=urn:contentItem:5F7T-S7D1-FCSB-S339-00000-00&amp;context=" TargetMode="External" /><Relationship Id="rId697" Type="http://schemas.openxmlformats.org/officeDocument/2006/relationships/hyperlink" Target="https://advance.lexis.com/api/document?collection=cases-ca&amp;id=urn:contentItem:5F7T-S6Y1-F65M-60HX-00000-00&amp;context=" TargetMode="External" /><Relationship Id="rId698" Type="http://schemas.openxmlformats.org/officeDocument/2006/relationships/image" Target="media/image1.png" /><Relationship Id="rId699" Type="http://schemas.openxmlformats.org/officeDocument/2006/relationships/image" Target="media/image2.png" /><Relationship Id="rId7" Type="http://schemas.openxmlformats.org/officeDocument/2006/relationships/footer" Target="footer2.xml" /><Relationship Id="rId70" Type="http://schemas.openxmlformats.org/officeDocument/2006/relationships/hyperlink" Target="https://advance.lexis.com/api/document?collection=cases-ca&amp;id=urn:contentItem:5F8T-N3V1-FH4C-X1XK-00000-00&amp;context=" TargetMode="External" /><Relationship Id="rId700" Type="http://schemas.openxmlformats.org/officeDocument/2006/relationships/image" Target="media/image3.png" /><Relationship Id="rId701" Type="http://schemas.openxmlformats.org/officeDocument/2006/relationships/image" Target="media/image4.png" /><Relationship Id="rId702" Type="http://schemas.openxmlformats.org/officeDocument/2006/relationships/image" Target="media/image5.png" /><Relationship Id="rId703" Type="http://schemas.openxmlformats.org/officeDocument/2006/relationships/image" Target="media/image6.png" /><Relationship Id="rId704" Type="http://schemas.openxmlformats.org/officeDocument/2006/relationships/image" Target="media/image7.png" /><Relationship Id="rId705" Type="http://schemas.openxmlformats.org/officeDocument/2006/relationships/image" Target="media/image8.png" /><Relationship Id="rId706" Type="http://schemas.openxmlformats.org/officeDocument/2006/relationships/image" Target="media/image9.png" /><Relationship Id="rId707" Type="http://schemas.openxmlformats.org/officeDocument/2006/relationships/image" Target="media/image10.png" /><Relationship Id="rId708" Type="http://schemas.openxmlformats.org/officeDocument/2006/relationships/image" Target="media/image11.png" /><Relationship Id="rId709" Type="http://schemas.openxmlformats.org/officeDocument/2006/relationships/image" Target="media/image12.png" /><Relationship Id="rId71" Type="http://schemas.openxmlformats.org/officeDocument/2006/relationships/hyperlink" Target="https://advance.lexis.com/api/document?collection=cases-ca&amp;id=urn:contentItem:5F81-VJX1-JP9P-G3VP-00000-00&amp;context=" TargetMode="External" /><Relationship Id="rId710" Type="http://schemas.openxmlformats.org/officeDocument/2006/relationships/image" Target="media/image13.png" /><Relationship Id="rId711" Type="http://schemas.openxmlformats.org/officeDocument/2006/relationships/image" Target="media/image14.png" /><Relationship Id="rId712" Type="http://schemas.openxmlformats.org/officeDocument/2006/relationships/image" Target="media/image15.png" /><Relationship Id="rId713" Type="http://schemas.openxmlformats.org/officeDocument/2006/relationships/image" Target="media/image16.png" /><Relationship Id="rId714" Type="http://schemas.openxmlformats.org/officeDocument/2006/relationships/image" Target="media/image17.png" /><Relationship Id="rId715" Type="http://schemas.openxmlformats.org/officeDocument/2006/relationships/image" Target="media/image18.png" /><Relationship Id="rId716" Type="http://schemas.openxmlformats.org/officeDocument/2006/relationships/image" Target="media/image19.png" /><Relationship Id="rId717" Type="http://schemas.openxmlformats.org/officeDocument/2006/relationships/image" Target="media/image20.png" /><Relationship Id="rId718" Type="http://schemas.openxmlformats.org/officeDocument/2006/relationships/image" Target="media/image21.png" /><Relationship Id="rId719" Type="http://schemas.openxmlformats.org/officeDocument/2006/relationships/image" Target="media/image22.png" /><Relationship Id="rId72" Type="http://schemas.openxmlformats.org/officeDocument/2006/relationships/hyperlink" Target="https://advance.lexis.com/api/document?collection=cases-ca&amp;id=urn:contentItem:5F7T-S7H1-JCRC-B0PV-00000-00&amp;context=" TargetMode="External" /><Relationship Id="rId720" Type="http://schemas.openxmlformats.org/officeDocument/2006/relationships/image" Target="media/image23.png" /><Relationship Id="rId721" Type="http://schemas.openxmlformats.org/officeDocument/2006/relationships/image" Target="media/image24.png" /><Relationship Id="rId722" Type="http://schemas.openxmlformats.org/officeDocument/2006/relationships/header" Target="header112.xml" /><Relationship Id="rId723" Type="http://schemas.openxmlformats.org/officeDocument/2006/relationships/header" Target="header113.xml" /><Relationship Id="rId724" Type="http://schemas.openxmlformats.org/officeDocument/2006/relationships/footer" Target="footer112.xml" /><Relationship Id="rId725" Type="http://schemas.openxmlformats.org/officeDocument/2006/relationships/footer" Target="footer113.xml" /><Relationship Id="rId726" Type="http://schemas.openxmlformats.org/officeDocument/2006/relationships/header" Target="header114.xml" /><Relationship Id="rId727" Type="http://schemas.openxmlformats.org/officeDocument/2006/relationships/footer" Target="footer114.xml" /><Relationship Id="rId728" Type="http://schemas.openxmlformats.org/officeDocument/2006/relationships/hyperlink" Target="https://advance.lexis.com/api/document?collection=cases-ca&amp;id=urn:contentItem:5F7T-S7H1-JS5Y-B32K-00000-00&amp;context=" TargetMode="External" /><Relationship Id="rId729" Type="http://schemas.openxmlformats.org/officeDocument/2006/relationships/hyperlink" Target="https://advance.lexis.com/api/document?collection=legislation-ca&amp;id=urn:contentItem:5F97-RC81-JWBS-64BK-00000-00&amp;context=" TargetMode="External" /><Relationship Id="rId73" Type="http://schemas.openxmlformats.org/officeDocument/2006/relationships/hyperlink" Target="https://advance.lexis.com/api/document?collection=cases-ca&amp;id=urn:contentItem:5JDY-50V1-F65M-61YB-00000-00&amp;context=" TargetMode="External" /><Relationship Id="rId730" Type="http://schemas.openxmlformats.org/officeDocument/2006/relationships/hyperlink" Target="https://advance.lexis.com/api/document?collection=legislation-ca&amp;id=urn:contentItem:5W2C-X5M1-JW09-M3FR-00000-00&amp;context=" TargetMode="External" /><Relationship Id="rId731" Type="http://schemas.openxmlformats.org/officeDocument/2006/relationships/hyperlink" Target="https://advance.lexis.com/api/document?collection=cases-ca&amp;id=urn:contentItem:5F7T-S791-FJTD-G2VY-00000-00&amp;context=" TargetMode="External" /><Relationship Id="rId732" Type="http://schemas.openxmlformats.org/officeDocument/2006/relationships/hyperlink" Target="https://advance.lexis.com/api/document?collection=cases-ca&amp;id=urn:contentItem:5F7T-S6Y1-JNY7-X2P3-00000-00&amp;context=" TargetMode="External" /><Relationship Id="rId733" Type="http://schemas.openxmlformats.org/officeDocument/2006/relationships/hyperlink" Target="https://advance.lexis.com/api/document?collection=cases-ca&amp;id=urn:contentItem:5F7T-S7G1-F5KY-B1R6-00000-00&amp;context=" TargetMode="External" /><Relationship Id="rId734" Type="http://schemas.openxmlformats.org/officeDocument/2006/relationships/hyperlink" Target="https://advance.lexis.com/api/document?collection=cases-ca&amp;id=urn:contentItem:5F7T-S6Y1-JTNR-M4PK-00000-00&amp;context=" TargetMode="External" /><Relationship Id="rId735" Type="http://schemas.openxmlformats.org/officeDocument/2006/relationships/hyperlink" Target="https://advance.lexis.com/api/document?collection=cases-ca&amp;id=urn:contentItem:5F7T-S7F1-JBT7-X2R8-00000-00&amp;context=" TargetMode="External" /><Relationship Id="rId736" Type="http://schemas.openxmlformats.org/officeDocument/2006/relationships/hyperlink" Target="https://advance.lexis.com/api/document?collection=cases-ca&amp;id=urn:contentItem:5F8T-N3V1-JTGH-B0YX-00000-00&amp;context=" TargetMode="External" /><Relationship Id="rId737" Type="http://schemas.openxmlformats.org/officeDocument/2006/relationships/hyperlink" Target="https://advance.lexis.com/api/document?collection=cases-ca&amp;id=urn:contentItem:5F8T-N3T1-JJSF-2339-00000-00&amp;context=" TargetMode="External" /><Relationship Id="rId738" Type="http://schemas.openxmlformats.org/officeDocument/2006/relationships/hyperlink" Target="https://advance.lexis.com/api/document?collection=cases-ca&amp;id=urn:contentItem:5F7T-S7H1-JFKM-62PM-00000-00&amp;context=" TargetMode="External" /><Relationship Id="rId739" Type="http://schemas.openxmlformats.org/officeDocument/2006/relationships/hyperlink" Target="https://advance.lexis.com/api/document?collection=cases-ca&amp;id=urn:contentItem:5F8T-N3T1-JFKM-652P-00000-00&amp;context=" TargetMode="External" /><Relationship Id="rId74" Type="http://schemas.openxmlformats.org/officeDocument/2006/relationships/hyperlink" Target="https://advance.lexis.com/api/document?collection=cases-ca&amp;id=urn:contentItem:5F16-9361-F4GK-M3N1-00000-00&amp;context=" TargetMode="External" /><Relationship Id="rId740" Type="http://schemas.openxmlformats.org/officeDocument/2006/relationships/hyperlink" Target="https://advance.lexis.com/api/document?collection=cases-ca&amp;id=urn:contentItem:5F8T-N3T1-JJSF-23DG-00000-00&amp;context=" TargetMode="External" /><Relationship Id="rId741" Type="http://schemas.openxmlformats.org/officeDocument/2006/relationships/hyperlink" Target="https://advance.lexis.com/api/document?collection=cases-ca&amp;id=urn:contentItem:5F7H-KW61-F7VM-S04B-00000-00&amp;context=" TargetMode="External" /><Relationship Id="rId742" Type="http://schemas.openxmlformats.org/officeDocument/2006/relationships/hyperlink" Target="https://advance.lexis.com/api/document?collection=cases-ca&amp;id=urn:contentItem:5F7H-KW61-JWBS-60CM-00000-00&amp;context=" TargetMode="External" /><Relationship Id="rId743" Type="http://schemas.openxmlformats.org/officeDocument/2006/relationships/hyperlink" Target="https://advance.lexis.com/api/document?collection=cases-ca&amp;id=urn:contentItem:5F7T-S711-F4W2-61MS-00000-00&amp;context=" TargetMode="External" /><Relationship Id="rId744" Type="http://schemas.openxmlformats.org/officeDocument/2006/relationships/hyperlink" Target="https://advance.lexis.com/api/document?collection=cases-ca&amp;id=urn:contentItem:5F8T-N3T1-JGHR-M278-00000-00&amp;context=" TargetMode="External" /><Relationship Id="rId745" Type="http://schemas.openxmlformats.org/officeDocument/2006/relationships/hyperlink" Target="https://advance.lexis.com/api/document?collection=cases-ca&amp;id=urn:contentItem:5F8T-N3V1-JTGH-B1C7-00000-00&amp;context=" TargetMode="External" /><Relationship Id="rId746" Type="http://schemas.openxmlformats.org/officeDocument/2006/relationships/header" Target="header115.xml" /><Relationship Id="rId747" Type="http://schemas.openxmlformats.org/officeDocument/2006/relationships/header" Target="header116.xml" /><Relationship Id="rId748" Type="http://schemas.openxmlformats.org/officeDocument/2006/relationships/footer" Target="footer115.xml" /><Relationship Id="rId749" Type="http://schemas.openxmlformats.org/officeDocument/2006/relationships/footer" Target="footer116.xml" /><Relationship Id="rId75" Type="http://schemas.openxmlformats.org/officeDocument/2006/relationships/hyperlink" Target="https://advance.lexis.com/api/document?collection=cases-ca&amp;id=urn:contentItem:5F8T-N3V1-FC1F-M46D-00000-00&amp;context=" TargetMode="External" /><Relationship Id="rId750" Type="http://schemas.openxmlformats.org/officeDocument/2006/relationships/header" Target="header117.xml" /><Relationship Id="rId751" Type="http://schemas.openxmlformats.org/officeDocument/2006/relationships/footer" Target="footer117.xml" /><Relationship Id="rId752" Type="http://schemas.openxmlformats.org/officeDocument/2006/relationships/hyperlink" Target="https://advance.lexis.com/api/document?collection=cases-ca&amp;id=urn:contentItem:5F7T-S7G1-JWR6-S1G8-00000-00&amp;context=" TargetMode="External" /><Relationship Id="rId753" Type="http://schemas.openxmlformats.org/officeDocument/2006/relationships/hyperlink" Target="https://advance.lexis.com/api/document?collection=cases-ca&amp;id=urn:contentItem:5F7T-S781-F7G6-63BD-00000-00&amp;context=" TargetMode="External" /><Relationship Id="rId754" Type="http://schemas.openxmlformats.org/officeDocument/2006/relationships/hyperlink" Target="https://advance.lexis.com/api/document?collection=cases-ca&amp;id=urn:contentItem:5F7T-S6T1-FJTD-G17V-00000-00&amp;context=" TargetMode="External" /><Relationship Id="rId755" Type="http://schemas.openxmlformats.org/officeDocument/2006/relationships/hyperlink" Target="https://advance.lexis.com/api/document?collection=cases-ca&amp;id=urn:contentItem:5F7T-S7D1-F7ND-G0NP-00000-00&amp;context=" TargetMode="External" /><Relationship Id="rId756" Type="http://schemas.openxmlformats.org/officeDocument/2006/relationships/header" Target="header118.xml" /><Relationship Id="rId757" Type="http://schemas.openxmlformats.org/officeDocument/2006/relationships/header" Target="header119.xml" /><Relationship Id="rId758" Type="http://schemas.openxmlformats.org/officeDocument/2006/relationships/footer" Target="footer118.xml" /><Relationship Id="rId759" Type="http://schemas.openxmlformats.org/officeDocument/2006/relationships/footer" Target="footer119.xml" /><Relationship Id="rId76" Type="http://schemas.openxmlformats.org/officeDocument/2006/relationships/hyperlink" Target="https://advance.lexis.com/api/document?collection=cases-ca&amp;id=urn:contentItem:5F8P-SD51-F1H1-24BV-00000-00&amp;context=" TargetMode="External" /><Relationship Id="rId760" Type="http://schemas.openxmlformats.org/officeDocument/2006/relationships/header" Target="header120.xml" /><Relationship Id="rId761" Type="http://schemas.openxmlformats.org/officeDocument/2006/relationships/footer" Target="footer120.xml" /><Relationship Id="rId762" Type="http://schemas.openxmlformats.org/officeDocument/2006/relationships/hyperlink" Target="https://advance.lexis.com/api/document?collection=cases-ca&amp;id=urn:contentItem:5F7T-S771-F81W-22M5-00000-00&amp;context=" TargetMode="External" /><Relationship Id="rId763" Type="http://schemas.openxmlformats.org/officeDocument/2006/relationships/hyperlink" Target="https://advance.lexis.com/api/document?collection=cases-ca&amp;id=urn:contentItem:5F7T-S711-F4GK-M2NT-00000-00&amp;context=" TargetMode="External" /><Relationship Id="rId764" Type="http://schemas.openxmlformats.org/officeDocument/2006/relationships/hyperlink" Target="https://advance.lexis.com/api/document?collection=cases-ca&amp;id=urn:contentItem:5F7T-S761-JS5Y-B1S6-00000-00&amp;context=" TargetMode="External" /><Relationship Id="rId765" Type="http://schemas.openxmlformats.org/officeDocument/2006/relationships/hyperlink" Target="https://advance.lexis.com/api/document?collection=cases-ca&amp;id=urn:contentItem:5F7T-S751-F361-M0YY-00000-00&amp;context=" TargetMode="External" /><Relationship Id="rId766" Type="http://schemas.openxmlformats.org/officeDocument/2006/relationships/hyperlink" Target="https://advance.lexis.com/api/document?collection=cases-ca&amp;id=urn:contentItem:5F81-VJX1-JP9P-G4DW-00000-00&amp;context=" TargetMode="External" /><Relationship Id="rId767" Type="http://schemas.openxmlformats.org/officeDocument/2006/relationships/hyperlink" Target="https://advance.lexis.com/api/document?collection=cases-ca&amp;id=urn:contentItem:5F7T-S711-F4W2-61RK-00000-00&amp;context=" TargetMode="External" /><Relationship Id="rId768" Type="http://schemas.openxmlformats.org/officeDocument/2006/relationships/hyperlink" Target="https://advance.lexis.com/api/document?collection=cases-ca&amp;id=urn:contentItem:5XNC-BG51-JKHB-60VP-00000-00&amp;context=" TargetMode="External" /><Relationship Id="rId769" Type="http://schemas.openxmlformats.org/officeDocument/2006/relationships/header" Target="header121.xml" /><Relationship Id="rId77" Type="http://schemas.openxmlformats.org/officeDocument/2006/relationships/hyperlink" Target="https://advance.lexis.com/api/document?collection=cases-ca&amp;id=urn:contentItem:5F8P-SDJ1-K054-G24P-00000-00&amp;context=" TargetMode="External" /><Relationship Id="rId770" Type="http://schemas.openxmlformats.org/officeDocument/2006/relationships/header" Target="header122.xml" /><Relationship Id="rId771" Type="http://schemas.openxmlformats.org/officeDocument/2006/relationships/footer" Target="footer121.xml" /><Relationship Id="rId772" Type="http://schemas.openxmlformats.org/officeDocument/2006/relationships/footer" Target="footer122.xml" /><Relationship Id="rId773" Type="http://schemas.openxmlformats.org/officeDocument/2006/relationships/header" Target="header123.xml" /><Relationship Id="rId774" Type="http://schemas.openxmlformats.org/officeDocument/2006/relationships/footer" Target="footer123.xml" /><Relationship Id="rId775" Type="http://schemas.openxmlformats.org/officeDocument/2006/relationships/hyperlink" Target="https://advance.lexis.com/api/document?collection=cases-ca&amp;id=urn:contentItem:5F7T-S771-F81W-22DY-00000-00&amp;context=" TargetMode="External" /><Relationship Id="rId776" Type="http://schemas.openxmlformats.org/officeDocument/2006/relationships/hyperlink" Target="https://advance.lexis.com/api/document?collection=cases-ca&amp;id=urn:contentItem:5F7T-S731-F60C-X11W-00000-00&amp;context=" TargetMode="External" /><Relationship Id="rId777" Type="http://schemas.openxmlformats.org/officeDocument/2006/relationships/hyperlink" Target="https://advance.lexis.com/api/document?collection=cases-ca&amp;id=urn:contentItem:5F7T-S771-JSJC-X05N-00000-00&amp;context=" TargetMode="External" /><Relationship Id="rId778" Type="http://schemas.openxmlformats.org/officeDocument/2006/relationships/header" Target="header124.xml" /><Relationship Id="rId779" Type="http://schemas.openxmlformats.org/officeDocument/2006/relationships/header" Target="header125.xml" /><Relationship Id="rId78" Type="http://schemas.openxmlformats.org/officeDocument/2006/relationships/hyperlink" Target="https://advance.lexis.com/api/document?collection=cases-ca&amp;id=urn:contentItem:5F8P-SF91-JSC5-M1XG-00000-00&amp;context=" TargetMode="External" /><Relationship Id="rId780" Type="http://schemas.openxmlformats.org/officeDocument/2006/relationships/footer" Target="footer124.xml" /><Relationship Id="rId781" Type="http://schemas.openxmlformats.org/officeDocument/2006/relationships/footer" Target="footer125.xml" /><Relationship Id="rId782" Type="http://schemas.openxmlformats.org/officeDocument/2006/relationships/header" Target="header126.xml" /><Relationship Id="rId783" Type="http://schemas.openxmlformats.org/officeDocument/2006/relationships/footer" Target="footer126.xml" /><Relationship Id="rId784" Type="http://schemas.openxmlformats.org/officeDocument/2006/relationships/hyperlink" Target="https://advance.lexis.com/api/document?collection=cases-ca&amp;id=urn:contentItem:5F7T-S7D1-JG02-S2NT-00000-00&amp;context=" TargetMode="External" /><Relationship Id="rId785" Type="http://schemas.openxmlformats.org/officeDocument/2006/relationships/hyperlink" Target="https://advance.lexis.com/api/document?collection=legislation-ca&amp;id=urn:contentItem:5F41-1FJ1-F5KY-B1RT-00000-00&amp;context=" TargetMode="External" /><Relationship Id="rId786" Type="http://schemas.openxmlformats.org/officeDocument/2006/relationships/hyperlink" Target="https://advance.lexis.com/api/document?collection=cases-ca&amp;id=urn:contentItem:5F7T-S711-JC0G-634D-00000-00&amp;context=" TargetMode="External" /><Relationship Id="rId787" Type="http://schemas.openxmlformats.org/officeDocument/2006/relationships/hyperlink" Target="https://advance.lexis.com/api/document?collection=cases-ca&amp;id=urn:contentItem:5F7T-S7D1-JS5Y-B2FB-00000-00&amp;context=" TargetMode="External" /><Relationship Id="rId788" Type="http://schemas.openxmlformats.org/officeDocument/2006/relationships/hyperlink" Target="https://advance.lexis.com/api/document?collection=cases-ca&amp;id=urn:contentItem:5F7T-S7D1-JXG3-X0PP-00000-00&amp;context=" TargetMode="External" /><Relationship Id="rId789" Type="http://schemas.openxmlformats.org/officeDocument/2006/relationships/hyperlink" Target="https://advance.lexis.com/api/document?collection=cases-ca&amp;id=urn:contentItem:5F7T-S761-F81W-21V8-00000-00&amp;context=" TargetMode="External" /><Relationship Id="rId79" Type="http://schemas.openxmlformats.org/officeDocument/2006/relationships/hyperlink" Target="https://advance.lexis.com/api/document?collection=cases-ca&amp;id=urn:contentItem:5GSP-CPF1-JB7K-2008-00000-00&amp;context=" TargetMode="External" /><Relationship Id="rId790" Type="http://schemas.openxmlformats.org/officeDocument/2006/relationships/hyperlink" Target="https://advance.lexis.com/api/document?collection=cases-ca&amp;id=urn:contentItem:5F7T-S751-JP4G-613B-00000-00&amp;context=" TargetMode="External" /><Relationship Id="rId791" Type="http://schemas.openxmlformats.org/officeDocument/2006/relationships/hyperlink" Target="https://advance.lexis.com/api/document?collection=cases-ca&amp;id=urn:contentItem:5F7T-S771-JSJC-X0KK-00000-00&amp;context=" TargetMode="External" /><Relationship Id="rId792" Type="http://schemas.openxmlformats.org/officeDocument/2006/relationships/header" Target="header127.xml" /><Relationship Id="rId793" Type="http://schemas.openxmlformats.org/officeDocument/2006/relationships/header" Target="header128.xml" /><Relationship Id="rId794" Type="http://schemas.openxmlformats.org/officeDocument/2006/relationships/footer" Target="footer127.xml" /><Relationship Id="rId795" Type="http://schemas.openxmlformats.org/officeDocument/2006/relationships/footer" Target="footer128.xml" /><Relationship Id="rId796" Type="http://schemas.openxmlformats.org/officeDocument/2006/relationships/header" Target="header129.xml" /><Relationship Id="rId797" Type="http://schemas.openxmlformats.org/officeDocument/2006/relationships/footer" Target="footer129.xml" /><Relationship Id="rId798" Type="http://schemas.openxmlformats.org/officeDocument/2006/relationships/hyperlink" Target="https://advance.lexis.com/api/document?collection=cases-ca&amp;id=urn:contentItem:5F7T-S7C1-JS0R-224W-00000-00&amp;context=" TargetMode="External" /><Relationship Id="rId799" Type="http://schemas.openxmlformats.org/officeDocument/2006/relationships/hyperlink" Target="https://advance.lexis.com/api/document?collection=legislation-ca&amp;id=urn:contentItem:5F41-1FJ1-F5DR-206Y-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8T-N3V1-FH4C-X24V-00000-00&amp;context=" TargetMode="External" /><Relationship Id="rId800" Type="http://schemas.openxmlformats.org/officeDocument/2006/relationships/hyperlink" Target="https://advance.lexis.com/api/document?collection=cases-ca&amp;id=urn:contentItem:5F8T-N3V1-JF75-M3FN-00000-00&amp;context=" TargetMode="External" /><Relationship Id="rId801" Type="http://schemas.openxmlformats.org/officeDocument/2006/relationships/hyperlink" Target="https://advance.lexis.com/api/document?collection=cases-ca&amp;id=urn:contentItem:5F8T-N3T1-JFKM-6519-00000-00&amp;context=" TargetMode="External" /><Relationship Id="rId802" Type="http://schemas.openxmlformats.org/officeDocument/2006/relationships/hyperlink" Target="https://advance.lexis.com/api/document?collection=cases-ca&amp;id=urn:contentItem:5F7T-S771-JN14-G2RS-00000-00&amp;context=" TargetMode="External" /><Relationship Id="rId803" Type="http://schemas.openxmlformats.org/officeDocument/2006/relationships/hyperlink" Target="https://advance.lexis.com/api/document?collection=cases-ca&amp;id=urn:contentItem:5F82-1SF1-K054-G4DF-00000-00&amp;context=" TargetMode="External" /><Relationship Id="rId804" Type="http://schemas.openxmlformats.org/officeDocument/2006/relationships/header" Target="header130.xml" /><Relationship Id="rId805" Type="http://schemas.openxmlformats.org/officeDocument/2006/relationships/header" Target="header131.xml" /><Relationship Id="rId806" Type="http://schemas.openxmlformats.org/officeDocument/2006/relationships/footer" Target="footer130.xml" /><Relationship Id="rId807" Type="http://schemas.openxmlformats.org/officeDocument/2006/relationships/footer" Target="footer131.xml" /><Relationship Id="rId808" Type="http://schemas.openxmlformats.org/officeDocument/2006/relationships/header" Target="header132.xml" /><Relationship Id="rId809" Type="http://schemas.openxmlformats.org/officeDocument/2006/relationships/footer" Target="footer132.xml" /><Relationship Id="rId81" Type="http://schemas.openxmlformats.org/officeDocument/2006/relationships/hyperlink" Target="https://advance.lexis.com/api/document?collection=cases-ca&amp;id=urn:contentItem:5F8T-N3V1-FH4C-X247-00000-00&amp;context=" TargetMode="External" /><Relationship Id="rId810" Type="http://schemas.openxmlformats.org/officeDocument/2006/relationships/hyperlink" Target="https://advance.lexis.com/api/document?collection=cases-ca&amp;id=urn:contentItem:5F7T-S7H1-JCRC-B0VS-00000-00&amp;context=" TargetMode="External" /><Relationship Id="rId811" Type="http://schemas.openxmlformats.org/officeDocument/2006/relationships/hyperlink" Target="https://advance.lexis.com/api/document?collection=cases-ca&amp;id=urn:contentItem:5F7T-S7F1-JX3N-B1BJ-00000-00&amp;context=" TargetMode="External" /><Relationship Id="rId812" Type="http://schemas.openxmlformats.org/officeDocument/2006/relationships/hyperlink" Target="https://advance.lexis.com/api/document?collection=cases-ca&amp;id=urn:contentItem:5F7T-S7F1-DXWW-24JP-00000-00&amp;context=" TargetMode="External" /><Relationship Id="rId813" Type="http://schemas.openxmlformats.org/officeDocument/2006/relationships/hyperlink" Target="https://advance.lexis.com/api/document?collection=cases-ca&amp;id=urn:contentItem:5F7T-S7G1-FCYK-20F6-00000-00&amp;context=" TargetMode="External" /><Relationship Id="rId814" Type="http://schemas.openxmlformats.org/officeDocument/2006/relationships/header" Target="header133.xml" /><Relationship Id="rId815" Type="http://schemas.openxmlformats.org/officeDocument/2006/relationships/header" Target="header134.xml" /><Relationship Id="rId816" Type="http://schemas.openxmlformats.org/officeDocument/2006/relationships/footer" Target="footer133.xml" /><Relationship Id="rId817" Type="http://schemas.openxmlformats.org/officeDocument/2006/relationships/footer" Target="footer134.xml" /><Relationship Id="rId818" Type="http://schemas.openxmlformats.org/officeDocument/2006/relationships/header" Target="header135.xml" /><Relationship Id="rId819" Type="http://schemas.openxmlformats.org/officeDocument/2006/relationships/footer" Target="footer135.xml" /><Relationship Id="rId82" Type="http://schemas.openxmlformats.org/officeDocument/2006/relationships/hyperlink" Target="https://advance.lexis.com/api/document?collection=cases-ca&amp;id=urn:contentItem:5F7T-S751-F361-M0R6-00000-00&amp;context=" TargetMode="External" /><Relationship Id="rId820" Type="http://schemas.openxmlformats.org/officeDocument/2006/relationships/hyperlink" Target="https://advance.lexis.com/api/document?collection=cases-ca&amp;id=urn:contentItem:5F7T-S7C1-JS0R-229F-00000-00&amp;context=" TargetMode="External" /><Relationship Id="rId821" Type="http://schemas.openxmlformats.org/officeDocument/2006/relationships/hyperlink" Target="https://advance.lexis.com/api/document?collection=cases-ca&amp;id=urn:contentItem:5F7T-S731-F1WF-M284-00000-00&amp;context=" TargetMode="External" /><Relationship Id="rId822" Type="http://schemas.openxmlformats.org/officeDocument/2006/relationships/hyperlink" Target="https://advance.lexis.com/api/document?collection=cases-ca&amp;id=urn:contentItem:5F8P-SDG1-JGPY-X2K2-00000-00&amp;context=" TargetMode="External" /><Relationship Id="rId823" Type="http://schemas.openxmlformats.org/officeDocument/2006/relationships/hyperlink" Target="https://advance.lexis.com/api/document?collection=cases-ca&amp;id=urn:contentItem:5F81-VJX1-F5T5-M4C9-00000-00&amp;context=" TargetMode="External" /><Relationship Id="rId824" Type="http://schemas.openxmlformats.org/officeDocument/2006/relationships/hyperlink" Target="https://advance.lexis.com/api/document?collection=cases-ca&amp;id=urn:contentItem:5F81-VJX1-JX3N-B1CF-00000-00&amp;context=" TargetMode="External" /><Relationship Id="rId825" Type="http://schemas.openxmlformats.org/officeDocument/2006/relationships/hyperlink" Target="https://advance.lexis.com/api/document?collection=cases-ca&amp;id=urn:contentItem:5F7T-S761-F81W-227G-00000-00&amp;context=" TargetMode="External" /><Relationship Id="rId826" Type="http://schemas.openxmlformats.org/officeDocument/2006/relationships/hyperlink" Target="https://advance.lexis.com/api/document?collection=cases-ca&amp;id=urn:contentItem:5F7T-S771-JTGH-B1FR-00000-00&amp;context=" TargetMode="External" /><Relationship Id="rId827" Type="http://schemas.openxmlformats.org/officeDocument/2006/relationships/hyperlink" Target="https://advance.lexis.com/api/document?collection=cases-ca&amp;id=urn:contentItem:5F7T-S6X1-F7G6-62H1-00000-00&amp;context=" TargetMode="External" /><Relationship Id="rId828" Type="http://schemas.openxmlformats.org/officeDocument/2006/relationships/hyperlink" Target="https://advance.lexis.com/api/document?collection=cases-ca&amp;id=urn:contentItem:5F8P-T8T1-JT99-23XD-00000-00&amp;context=" TargetMode="External" /><Relationship Id="rId829" Type="http://schemas.openxmlformats.org/officeDocument/2006/relationships/hyperlink" Target="https://advance.lexis.com/api/document?collection=cases-ca&amp;id=urn:contentItem:5F7T-S741-DY89-M3P4-00000-00&amp;context=" TargetMode="External" /><Relationship Id="rId83" Type="http://schemas.openxmlformats.org/officeDocument/2006/relationships/hyperlink" Target="https://advance.lexis.com/api/document?collection=cases-ca&amp;id=urn:contentItem:5F7T-S7F1-DXWW-2497-00000-00&amp;context=" TargetMode="External" /><Relationship Id="rId830" Type="http://schemas.openxmlformats.org/officeDocument/2006/relationships/hyperlink" Target="https://advance.lexis.com/api/document?collection=cases-ca&amp;id=urn:contentItem:5F81-VJX1-FGY5-M3C9-00000-00&amp;context=" TargetMode="External" /><Relationship Id="rId831" Type="http://schemas.openxmlformats.org/officeDocument/2006/relationships/hyperlink" Target="https://advance.lexis.com/api/document?collection=cases-ca&amp;id=urn:contentItem:5F7T-S6Y1-F81W-214W-00000-00&amp;context=" TargetMode="External" /><Relationship Id="rId832" Type="http://schemas.openxmlformats.org/officeDocument/2006/relationships/header" Target="header136.xml" /><Relationship Id="rId833" Type="http://schemas.openxmlformats.org/officeDocument/2006/relationships/header" Target="header137.xml" /><Relationship Id="rId834" Type="http://schemas.openxmlformats.org/officeDocument/2006/relationships/footer" Target="footer136.xml" /><Relationship Id="rId835" Type="http://schemas.openxmlformats.org/officeDocument/2006/relationships/footer" Target="footer137.xml" /><Relationship Id="rId836" Type="http://schemas.openxmlformats.org/officeDocument/2006/relationships/header" Target="header138.xml" /><Relationship Id="rId837" Type="http://schemas.openxmlformats.org/officeDocument/2006/relationships/footer" Target="footer138.xml" /><Relationship Id="rId838" Type="http://schemas.openxmlformats.org/officeDocument/2006/relationships/hyperlink" Target="https://advance.lexis.com/api/document?collection=cases-ca&amp;id=urn:contentItem:5V50-77F1-JCRC-B39H-00000-00&amp;context=" TargetMode="External" /><Relationship Id="rId839" Type="http://schemas.openxmlformats.org/officeDocument/2006/relationships/hyperlink" Target="https://advance.lexis.com/api/document?collection=cases-ca&amp;id=urn:contentItem:5G53-RJN1-FBFS-S4V5-00000-00&amp;context=" TargetMode="External" /><Relationship Id="rId84" Type="http://schemas.openxmlformats.org/officeDocument/2006/relationships/hyperlink" Target="https://advance.lexis.com/api/document?collection=cases-ca&amp;id=urn:contentItem:5G4S-FF61-K0HK-24T9-00000-00&amp;context=" TargetMode="External" /><Relationship Id="rId840" Type="http://schemas.openxmlformats.org/officeDocument/2006/relationships/hyperlink" Target="https://advance.lexis.com/api/document?collection=cases-ca&amp;id=urn:contentItem:5F7T-S7F1-JFKM-61VX-00000-00&amp;context=" TargetMode="External" /><Relationship Id="rId841" Type="http://schemas.openxmlformats.org/officeDocument/2006/relationships/hyperlink" Target="https://advance.lexis.com/api/document?collection=cases-ca&amp;id=urn:contentItem:5F7T-S7N1-JW09-M0YW-00000-00&amp;context=" TargetMode="External" /><Relationship Id="rId842" Type="http://schemas.openxmlformats.org/officeDocument/2006/relationships/hyperlink" Target="https://advance.lexis.com/api/document?collection=cases-ca&amp;id=urn:contentItem:5F7T-S7G1-JPP5-222K-00000-00&amp;context=" TargetMode="External" /><Relationship Id="rId843" Type="http://schemas.openxmlformats.org/officeDocument/2006/relationships/hyperlink" Target="https://advance.lexis.com/api/document?collection=cases-ca&amp;id=urn:contentItem:5F8P-SCJ1-JNJT-B3GB-00000-00&amp;context=" TargetMode="External" /><Relationship Id="rId844" Type="http://schemas.openxmlformats.org/officeDocument/2006/relationships/hyperlink" Target="https://advance.lexis.com/api/document?collection=cases-ca&amp;id=urn:contentItem:5F7T-S7N1-F57G-S27R-00000-00&amp;context=" TargetMode="External" /><Relationship Id="rId845" Type="http://schemas.openxmlformats.org/officeDocument/2006/relationships/hyperlink" Target="https://advance.lexis.com/api/document?collection=cases-ca&amp;id=urn:contentItem:5F7T-S7P1-F2TK-23PJ-00000-00&amp;context=" TargetMode="External" /><Relationship Id="rId846" Type="http://schemas.openxmlformats.org/officeDocument/2006/relationships/hyperlink" Target="https://advance.lexis.com/api/document?collection=cases-ca&amp;id=urn:contentItem:5F7T-S7P1-JP4G-61NF-00000-00&amp;context=" TargetMode="External" /><Relationship Id="rId847" Type="http://schemas.openxmlformats.org/officeDocument/2006/relationships/hyperlink" Target="https://advance.lexis.com/api/document?collection=cases-ca&amp;id=urn:contentItem:5G5K-89P1-K054-G33N-00000-00&amp;context=" TargetMode="External" /><Relationship Id="rId848" Type="http://schemas.openxmlformats.org/officeDocument/2006/relationships/hyperlink" Target="https://advance.lexis.com/api/document?collection=cases-ca&amp;id=urn:contentItem:5G44-J3J1-JT42-S3KN-00000-00&amp;context=" TargetMode="External" /><Relationship Id="rId849" Type="http://schemas.openxmlformats.org/officeDocument/2006/relationships/hyperlink" Target="https://advance.lexis.com/api/document?collection=cases-ca&amp;id=urn:contentItem:5NP1-5SB1-JX8W-M2B6-00000-00&amp;context=" TargetMode="External" /><Relationship Id="rId85" Type="http://schemas.openxmlformats.org/officeDocument/2006/relationships/hyperlink" Target="https://advance.lexis.com/api/document?collection=cases-ca&amp;id=urn:contentItem:5GC0-P401-FCYK-23R3-00000-00&amp;context=" TargetMode="External" /><Relationship Id="rId850" Type="http://schemas.openxmlformats.org/officeDocument/2006/relationships/header" Target="header139.xml" /><Relationship Id="rId851" Type="http://schemas.openxmlformats.org/officeDocument/2006/relationships/header" Target="header140.xml" /><Relationship Id="rId852" Type="http://schemas.openxmlformats.org/officeDocument/2006/relationships/footer" Target="footer139.xml" /><Relationship Id="rId853" Type="http://schemas.openxmlformats.org/officeDocument/2006/relationships/footer" Target="footer140.xml" /><Relationship Id="rId854" Type="http://schemas.openxmlformats.org/officeDocument/2006/relationships/header" Target="header141.xml" /><Relationship Id="rId855" Type="http://schemas.openxmlformats.org/officeDocument/2006/relationships/footer" Target="footer141.xml" /><Relationship Id="rId856" Type="http://schemas.openxmlformats.org/officeDocument/2006/relationships/hyperlink" Target="https://advance.lexis.com/api/document?collection=cases-ca&amp;id=urn:contentItem:5F7T-S7F1-JFKM-61RV-00000-00&amp;context=" TargetMode="External" /><Relationship Id="rId857" Type="http://schemas.openxmlformats.org/officeDocument/2006/relationships/hyperlink" Target="https://advance.lexis.com/api/document?collection=cases-ca&amp;id=urn:contentItem:5F7T-S7D1-JG02-S2TD-00000-00&amp;context=" TargetMode="External" /><Relationship Id="rId858" Type="http://schemas.openxmlformats.org/officeDocument/2006/relationships/hyperlink" Target="https://advance.lexis.com/api/document?collection=cases-ca&amp;id=urn:contentItem:5F7T-S7F1-JBT7-X308-00000-00&amp;context=" TargetMode="External" /><Relationship Id="rId859" Type="http://schemas.openxmlformats.org/officeDocument/2006/relationships/hyperlink" Target="https://advance.lexis.com/api/document?collection=cases-ca&amp;id=urn:contentItem:5F7T-S781-DYMS-61FB-00000-00&amp;context=" TargetMode="External" /><Relationship Id="rId86" Type="http://schemas.openxmlformats.org/officeDocument/2006/relationships/hyperlink" Target="https://advance.lexis.com/api/document?collection=cases-ca&amp;id=urn:contentItem:5G0F-55K1-DXHD-G46R-00000-00&amp;context=" TargetMode="External" /><Relationship Id="rId860" Type="http://schemas.openxmlformats.org/officeDocument/2006/relationships/hyperlink" Target="https://advance.lexis.com/api/document?collection=cases-ca&amp;id=urn:contentItem:5F7T-S7C1-JS0R-22GW-00000-00&amp;context=" TargetMode="External" /><Relationship Id="rId861" Type="http://schemas.openxmlformats.org/officeDocument/2006/relationships/hyperlink" Target="https://advance.lexis.com/api/document?collection=cases-ca&amp;id=urn:contentItem:5F7T-S741-DY89-M3M1-00000-00&amp;context=" TargetMode="External" /><Relationship Id="rId862" Type="http://schemas.openxmlformats.org/officeDocument/2006/relationships/hyperlink" Target="https://advance.lexis.com/api/document?collection=cases-ca&amp;id=urn:contentItem:5F7T-S7D1-FC6N-X0GF-00000-00&amp;context=" TargetMode="External" /><Relationship Id="rId863" Type="http://schemas.openxmlformats.org/officeDocument/2006/relationships/hyperlink" Target="https://advance.lexis.com/api/document?collection=cases-ca&amp;id=urn:contentItem:5F7T-S7F1-JK4W-M1GJ-00000-00&amp;context=" TargetMode="External" /><Relationship Id="rId864" Type="http://schemas.openxmlformats.org/officeDocument/2006/relationships/header" Target="header142.xml" /><Relationship Id="rId865" Type="http://schemas.openxmlformats.org/officeDocument/2006/relationships/header" Target="header143.xml" /><Relationship Id="rId866" Type="http://schemas.openxmlformats.org/officeDocument/2006/relationships/footer" Target="footer142.xml" /><Relationship Id="rId867" Type="http://schemas.openxmlformats.org/officeDocument/2006/relationships/footer" Target="footer143.xml" /><Relationship Id="rId868" Type="http://schemas.openxmlformats.org/officeDocument/2006/relationships/header" Target="header144.xml" /><Relationship Id="rId869" Type="http://schemas.openxmlformats.org/officeDocument/2006/relationships/footer" Target="footer144.xml" /><Relationship Id="rId87" Type="http://schemas.openxmlformats.org/officeDocument/2006/relationships/hyperlink" Target="https://advance.lexis.com/api/document?collection=cases-ca&amp;id=urn:contentItem:5F7T-S751-JP4G-614D-00000-00&amp;context=" TargetMode="External" /><Relationship Id="rId870" Type="http://schemas.openxmlformats.org/officeDocument/2006/relationships/hyperlink" Target="https://advance.lexis.com/api/document?collection=cases-ca&amp;id=urn:contentItem:5F7T-S7H1-FCSB-S3SP-00000-00&amp;context=" TargetMode="External" /><Relationship Id="rId871" Type="http://schemas.openxmlformats.org/officeDocument/2006/relationships/hyperlink" Target="https://advance.lexis.com/api/document?collection=legislation-ca&amp;id=urn:contentItem:5F3B-BB01-F2F4-G0H1-00000-00&amp;context=" TargetMode="External" /><Relationship Id="rId872" Type="http://schemas.openxmlformats.org/officeDocument/2006/relationships/hyperlink" Target="https://advance.lexis.com/api/document?collection=cases-ca&amp;id=urn:contentItem:5F8P-SC71-FFTT-X0YK-00000-00&amp;context=" TargetMode="External" /><Relationship Id="rId873" Type="http://schemas.openxmlformats.org/officeDocument/2006/relationships/hyperlink" Target="https://advance.lexis.com/api/document?collection=cases-ca&amp;id=urn:contentItem:5F81-VJS1-JNY7-X3DY-00000-00&amp;context=" TargetMode="External" /><Relationship Id="rId874" Type="http://schemas.openxmlformats.org/officeDocument/2006/relationships/hyperlink" Target="https://advance.lexis.com/api/document?collection=cases-ca&amp;id=urn:contentItem:5F7T-S761-F81W-221T-00000-00&amp;context=" TargetMode="External" /><Relationship Id="rId875" Type="http://schemas.openxmlformats.org/officeDocument/2006/relationships/hyperlink" Target="https://advance.lexis.com/api/document?collection=cases-ca&amp;id=urn:contentItem:5F8P-SCH1-JSJC-X3V3-00000-00&amp;context=" TargetMode="External" /><Relationship Id="rId876" Type="http://schemas.openxmlformats.org/officeDocument/2006/relationships/header" Target="header145.xml" /><Relationship Id="rId877" Type="http://schemas.openxmlformats.org/officeDocument/2006/relationships/header" Target="header146.xml" /><Relationship Id="rId878" Type="http://schemas.openxmlformats.org/officeDocument/2006/relationships/footer" Target="footer145.xml" /><Relationship Id="rId879" Type="http://schemas.openxmlformats.org/officeDocument/2006/relationships/footer" Target="footer146.xml" /><Relationship Id="rId88" Type="http://schemas.openxmlformats.org/officeDocument/2006/relationships/hyperlink" Target="https://advance.lexis.com/api/document?collection=cases-ca&amp;id=urn:contentItem:5F7T-S7C1-FGRY-B0NK-00000-00&amp;context=" TargetMode="External" /><Relationship Id="rId880" Type="http://schemas.openxmlformats.org/officeDocument/2006/relationships/header" Target="header147.xml" /><Relationship Id="rId881" Type="http://schemas.openxmlformats.org/officeDocument/2006/relationships/footer" Target="footer147.xml" /><Relationship Id="rId882" Type="http://schemas.openxmlformats.org/officeDocument/2006/relationships/hyperlink" Target="https://advance.lexis.com/api/document?collection=cases-ca&amp;id=urn:contentItem:5F7T-S7D1-JS5Y-B2DK-00000-00&amp;context=" TargetMode="External" /><Relationship Id="rId883" Type="http://schemas.openxmlformats.org/officeDocument/2006/relationships/hyperlink" Target="https://advance.lexis.com/api/document?collection=cases-ca&amp;id=urn:contentItem:5F7T-S701-JJ6S-61W4-00000-00&amp;context=" TargetMode="External" /><Relationship Id="rId884" Type="http://schemas.openxmlformats.org/officeDocument/2006/relationships/hyperlink" Target="https://advance.lexis.com/api/document?collection=cases-ca&amp;id=urn:contentItem:5F7T-S701-JGPY-X1F5-00000-00&amp;context=" TargetMode="External" /><Relationship Id="rId885" Type="http://schemas.openxmlformats.org/officeDocument/2006/relationships/hyperlink" Target="https://advance.lexis.com/api/document?collection=cases-ca&amp;id=urn:contentItem:5F7T-S741-F8D9-M1R3-00000-00&amp;context=" TargetMode="External" /><Relationship Id="rId886" Type="http://schemas.openxmlformats.org/officeDocument/2006/relationships/hyperlink" Target="https://advance.lexis.com/api/document?collection=cases-ca&amp;id=urn:contentItem:5F7V-3DH1-FK0M-S20T-00000-00&amp;context=" TargetMode="External" /><Relationship Id="rId887" Type="http://schemas.openxmlformats.org/officeDocument/2006/relationships/hyperlink" Target="https://advance.lexis.com/api/document?collection=cases-ca&amp;id=urn:contentItem:5F7T-S6S1-JX3N-B01M-00000-00&amp;context=" TargetMode="External" /><Relationship Id="rId888" Type="http://schemas.openxmlformats.org/officeDocument/2006/relationships/header" Target="header148.xml" /><Relationship Id="rId889" Type="http://schemas.openxmlformats.org/officeDocument/2006/relationships/header" Target="header149.xml" /><Relationship Id="rId89" Type="http://schemas.openxmlformats.org/officeDocument/2006/relationships/header" Target="header10.xml" /><Relationship Id="rId890" Type="http://schemas.openxmlformats.org/officeDocument/2006/relationships/footer" Target="footer148.xml" /><Relationship Id="rId891" Type="http://schemas.openxmlformats.org/officeDocument/2006/relationships/footer" Target="footer149.xml" /><Relationship Id="rId892" Type="http://schemas.openxmlformats.org/officeDocument/2006/relationships/header" Target="header150.xml" /><Relationship Id="rId893" Type="http://schemas.openxmlformats.org/officeDocument/2006/relationships/footer" Target="footer150.xml" /><Relationship Id="rId894" Type="http://schemas.openxmlformats.org/officeDocument/2006/relationships/hyperlink" Target="https://advance.lexis.com/api/document?collection=cases-ca&amp;id=urn:contentItem:5F7T-S781-F27X-61H5-00000-00&amp;context=" TargetMode="External" /><Relationship Id="rId895" Type="http://schemas.openxmlformats.org/officeDocument/2006/relationships/numbering" Target="numbering.xml" /><Relationship Id="rId896" Type="http://schemas.openxmlformats.org/officeDocument/2006/relationships/styles" Target="styles.xml" /><Relationship Id="rId9" Type="http://schemas.openxmlformats.org/officeDocument/2006/relationships/footer" Target="footer3.xml" /><Relationship Id="rId90" Type="http://schemas.openxmlformats.org/officeDocument/2006/relationships/header" Target="header11.xml" /><Relationship Id="rId91" Type="http://schemas.openxmlformats.org/officeDocument/2006/relationships/footer" Target="footer10.xml" /><Relationship Id="rId92" Type="http://schemas.openxmlformats.org/officeDocument/2006/relationships/footer" Target="footer11.xml" /><Relationship Id="rId93" Type="http://schemas.openxmlformats.org/officeDocument/2006/relationships/header" Target="header12.xml" /><Relationship Id="rId94" Type="http://schemas.openxmlformats.org/officeDocument/2006/relationships/footer" Target="footer12.xml" /><Relationship Id="rId95" Type="http://schemas.openxmlformats.org/officeDocument/2006/relationships/hyperlink" Target="https://advance.lexis.com/api/document?collection=cases-ca&amp;id=urn:contentItem:5F7T-S7F1-DXWW-23F9-00000-00&amp;context=" TargetMode="External" /><Relationship Id="rId96" Type="http://schemas.openxmlformats.org/officeDocument/2006/relationships/hyperlink" Target="https://advance.lexis.com/api/document?collection=cases-ca&amp;id=urn:contentItem:5K6Y-81M1-JGPY-X1RN-00000-00&amp;context=" TargetMode="External" /><Relationship Id="rId97" Type="http://schemas.openxmlformats.org/officeDocument/2006/relationships/hyperlink" Target="https://advance.lexis.com/api/document?collection=cases-ca&amp;id=urn:contentItem:5F8T-N3T1-JFKM-6545-00000-00&amp;context=" TargetMode="External" /><Relationship Id="rId98" Type="http://schemas.openxmlformats.org/officeDocument/2006/relationships/hyperlink" Target="https://advance.lexis.com/api/document?collection=cases-ca&amp;id=urn:contentItem:5F8T-N3V1-JFKM-609S-00000-00&amp;context=" TargetMode="External" /><Relationship Id="rId99" Type="http://schemas.openxmlformats.org/officeDocument/2006/relationships/hyperlink" Target="https://advance.lexis.com/api/document?collection=cases-ca&amp;id=urn:contentItem:5F7T-S6X1-F7ND-G3F8-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Sofiak v. British Columbia (Workers' Compensation Board), [2001] B.C.J. No. 2313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115051198</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